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3.1 RLHF 与 DPO 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理解DPO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推导DPO的loss function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0" w:id="0"/>
      <w:r>
        <w:rPr>
          <w:rFonts w:eastAsia="等线" w:ascii="Arial" w:cs="Arial" w:hAnsi="Arial"/>
          <w:b w:val="true"/>
          <w:sz w:val="28"/>
        </w:rPr>
        <w:t>一、 范式转移：从“反馈循环”到“解析映射”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传统的 RLHF 流程（以 PPO 为代表）本质上是在构建一套复杂的</w:t>
      </w:r>
      <w:r>
        <w:rPr>
          <w:rFonts w:eastAsia="等线" w:ascii="Arial" w:cs="Arial" w:hAnsi="Arial"/>
          <w:b w:val="true"/>
          <w:sz w:val="22"/>
        </w:rPr>
        <w:t>外部反馈系统</w:t>
      </w:r>
      <w:r>
        <w:rPr>
          <w:rFonts w:eastAsia="等线" w:ascii="Arial" w:cs="Arial" w:hAnsi="Arial"/>
          <w:sz w:val="22"/>
        </w:rPr>
        <w:t>。它通过训练奖励模型来模拟人类的价值观，再让策略模型在不断尝试生成中通过试错（Trial and Error）来获取奖励信号。这种“采样-评分-更新”的反馈循环不仅对计算资源（显存、算力）要求极高，更因为涉及多模型（Policy/Critic/Reward/Ref）的动态博弈，导致训练极其脆弱且难以收敛。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DPO 的核心贡献</w:t>
      </w:r>
      <w:r>
        <w:rPr>
          <w:rFonts w:eastAsia="等线" w:ascii="Arial" w:cs="Arial" w:hAnsi="Arial"/>
          <w:sz w:val="22"/>
        </w:rPr>
        <w:t>在于它将偏好学习从一个</w:t>
      </w:r>
      <w:r>
        <w:rPr>
          <w:rFonts w:eastAsia="等线" w:ascii="Arial" w:cs="Arial" w:hAnsi="Arial"/>
          <w:b w:val="true"/>
          <w:sz w:val="22"/>
        </w:rPr>
        <w:t>强化学习问题</w:t>
      </w:r>
      <w:r>
        <w:rPr>
          <w:rFonts w:eastAsia="等线" w:ascii="Arial" w:cs="Arial" w:hAnsi="Arial"/>
          <w:sz w:val="22"/>
        </w:rPr>
        <w:t>降维成了一个</w:t>
      </w:r>
      <w:r>
        <w:rPr>
          <w:rFonts w:eastAsia="等线" w:ascii="Arial" w:cs="Arial" w:hAnsi="Arial"/>
          <w:b w:val="true"/>
          <w:sz w:val="22"/>
        </w:rPr>
        <w:t>对比学习问题</w:t>
      </w:r>
      <w:r>
        <w:rPr>
          <w:rFonts w:eastAsia="等线" w:ascii="Arial" w:cs="Arial" w:hAnsi="Arial"/>
          <w:sz w:val="22"/>
        </w:rPr>
        <w:t>。通过数学证明，作者发现奖励函数可以被表达为策略模型概率分布的对数比值。这意味着：我们不再需要通过一个“裁判”来传递反馈，偏好信号可以直接作用于模型参数。这种映射让模型能够跳过繁琐的试错阶段，直接从偏好数据中提取对齐特征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二、 核心架构：双模型对比机制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DPO 舍弃了 PPO 庞大的“四驾马车”组件(Policy, Critic, Reference, Reward)，将系统精简为基于</w:t>
      </w:r>
      <w:r>
        <w:rPr>
          <w:rFonts w:eastAsia="等线" w:ascii="Arial" w:cs="Arial" w:hAnsi="Arial"/>
          <w:b w:val="true"/>
          <w:sz w:val="22"/>
        </w:rPr>
        <w:t>概率差值对比</w:t>
      </w:r>
      <w:r>
        <w:rPr>
          <w:rFonts w:eastAsia="等线" w:ascii="Arial" w:cs="Arial" w:hAnsi="Arial"/>
          <w:sz w:val="22"/>
        </w:rPr>
        <w:t>的双模型结构：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在线策略 (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>)</w:t>
      </w:r>
      <w:r>
        <w:rPr>
          <w:rFonts w:eastAsia="等线" w:ascii="Arial" w:cs="Arial" w:hAnsi="Arial"/>
          <w:sz w:val="22"/>
        </w:rPr>
        <w:t>：当前处于学习状态的目标模型。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冻结参考 (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ref</m:t>
              </m:r>
            </m:sub>
          </m:sSub>
        </m:oMath>
      </m:oMathPara>
      <w:r>
        <w:rPr>
          <w:rFonts w:eastAsia="等线" w:ascii="Arial" w:cs="Arial" w:hAnsi="Arial"/>
          <w:b w:val="true"/>
          <w:sz w:val="22"/>
        </w:rPr>
        <w:t>)</w:t>
      </w:r>
      <w:r>
        <w:rPr>
          <w:rFonts w:eastAsia="等线" w:ascii="Arial" w:cs="Arial" w:hAnsi="Arial"/>
          <w:sz w:val="22"/>
        </w:rPr>
        <w:t>：作为基准的原始 SFT 模型，用于锚定模型的底层语言能力。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DPO损失函数：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DPO</m:t>
              </m:r>
            </m:sub>
          </m:sSub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;</m:t>
          </m:r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ref</m:t>
              </m:r>
            </m:sub>
          </m:sSub>
          <m:r>
            <w:rPr>
              <w:rFonts w:ascii="Cambria Math" w:hAnsi="Cambria Math"/>
            </w:rPr>
            <m:t>)=−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σ</m:t>
              </m:r>
              <m:d>
                <m:e>
                  <m:r>
                    <w:rPr>
                      <w:rFonts w:ascii="Cambria Math" w:hAnsi="Cambria Math"/>
                    </w:rPr>
                    <m:t>β</m:t>
                  </m:r>
                  <m: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|x)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ref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|x)</m:t>
                      </m:r>
                    </m:den>
                  </m:f>
                  <m:r>
                    <w:rPr>
                      <w:rFonts w:ascii="Cambria Math" w:hAnsi="Cambria Math"/>
                    </w:rPr>
                    <m:t>−</m:t>
                  </m:r>
                  <m:r>
                    <w:rPr>
                      <w:rFonts w:ascii="Cambria Math" w:hAnsi="Cambria Math"/>
                    </w:rPr>
                    <m:t>β</m:t>
                  </m:r>
                  <m: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|x)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ref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|x)</m:t>
                      </m:r>
                    </m:den>
                  </m:f>
                </m:e>
              </m:d>
            </m:e>
          </m:d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公式拆解与物理意义：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隐式奖励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(y|x)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ref</m:t>
                  </m:r>
                </m:sub>
              </m:sSub>
              <m:r>
                <w:rPr>
                  <w:rFonts w:ascii="Cambria Math" w:hAnsi="Cambria Math"/>
                </w:rPr>
                <m:t>(y|x)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：代表相对于原始模型，现在的模型有多喜欢这个回答。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差值项</w:t>
      </w:r>
      <w:r>
        <w:rPr>
          <w:rFonts w:eastAsia="等线" w:ascii="Arial" w:cs="Arial" w:hAnsi="Arial"/>
          <w:sz w:val="22"/>
        </w:rPr>
        <w:t xml:space="preserve">：（对好回答的喜欢程度）—（对坏回答的喜欢程度）。我们希望模型对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的概率增益远超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σ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(Sigmoid 函数)</w:t>
      </w:r>
      <w:r>
        <w:rPr>
          <w:rFonts w:eastAsia="等线" w:ascii="Arial" w:cs="Arial" w:hAnsi="Arial"/>
          <w:sz w:val="22"/>
        </w:rPr>
        <w:t xml:space="preserve">：将这个毫无边界的差值挤压到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(0,1)</m:t>
          </m:r>
        </m:oMath>
      </m:oMathPara>
      <w:r>
        <w:rPr>
          <w:rFonts w:eastAsia="等线" w:ascii="Arial" w:cs="Arial" w:hAnsi="Arial"/>
          <w:sz w:val="22"/>
        </w:rPr>
        <w:t xml:space="preserve"> 之间，转化为一个类似于“分类正确率”的置信度概率。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  <m:r>
            <m:rPr>
              <m:sty m:val="p"/>
            </m:rPr>
            <w:rPr>
              <w:rFonts w:ascii="Cambria Math" w:hAnsi="Cambria Math"/>
            </w:rPr>
            <m:t>log</m:t>
          </m:r>
        </m:oMath>
      </m:oMathPara>
      <w:r>
        <w:rPr>
          <w:rFonts w:eastAsia="等线" w:ascii="Arial" w:cs="Arial" w:hAnsi="Arial"/>
          <w:sz w:val="22"/>
        </w:rPr>
        <w:t>：标准的二元交叉熵损失。最小化该 Loss，即在最大化好坏回答之间的概率鸿沟。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这种机制不再是简单地让学生模仿标准答案（SFT 的做法），而是通过</w:t>
      </w:r>
      <w:r>
        <w:rPr>
          <w:rFonts w:eastAsia="等线" w:ascii="Arial" w:cs="Arial" w:hAnsi="Arial"/>
          <w:b w:val="true"/>
          <w:sz w:val="22"/>
        </w:rPr>
        <w:t>对比“现在的我”与“过去的我”</w:t>
      </w:r>
      <w:r>
        <w:rPr>
          <w:rFonts w:eastAsia="等线" w:ascii="Arial" w:cs="Arial" w:hAnsi="Arial"/>
          <w:sz w:val="22"/>
        </w:rPr>
        <w:t>，在概率分布中制造出巨大的落差。这种落差的大小，精准地刻画了模型对人类偏好的对齐深度：模型不仅要学会什么是“对的”，更要在概率空间中主动拉开“好”与“坏”的距离。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三、 数学准备与理论推导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要从数学上完成上述范式转换，我们需要借助两个基础工具：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Bradley-Terry (BT) 模型（量化偏好）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将人类的相对偏好转化为绝对的分数概率。假设给定提示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，回答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</m:t>
          </m:r>
        </m:oMath>
      </m:oMathPara>
      <w:r>
        <w:rPr>
          <w:rFonts w:eastAsia="等线" w:ascii="Arial" w:cs="Arial" w:hAnsi="Arial"/>
          <w:sz w:val="22"/>
        </w:rPr>
        <w:t xml:space="preserve"> 有一个潜在奖励分数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r(x,y)</m:t>
          </m:r>
        </m:oMath>
      </m:oMathPara>
      <w:r>
        <w:rPr>
          <w:rFonts w:eastAsia="等线" w:ascii="Arial" w:cs="Arial" w:hAnsi="Arial"/>
          <w:sz w:val="22"/>
        </w:rPr>
        <w:t xml:space="preserve">。那么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战胜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的概率，由它们得分的差值经过 Sigmoid 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σ</m:t>
          </m:r>
        </m:oMath>
      </m:oMathPara>
      <w:r>
        <w:rPr>
          <w:rFonts w:eastAsia="等线" w:ascii="Arial" w:cs="Arial" w:hAnsi="Arial"/>
          <w:sz w:val="22"/>
        </w:rPr>
        <w:t xml:space="preserve"> 映射而来：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P(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&gt;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)=σ(r(x,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)−r(x,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))=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⁡(−(r(x,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)−r(x,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)))</m:t>
              </m:r>
            </m:den>
          </m:f>
        </m:oMath>
      </m:oMathPara>
    </w:p>
    <w:p>
      <w:pPr>
        <w:spacing w:before="120" w:after="120" w:line="288" w:lineRule="auto"/>
        <w:ind w:left="453"/>
        <w:jc w:val="left"/>
      </w:pP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KL 散度（限制偏移）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衡量当前策略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π(y|x)</m:t>
          </m:r>
        </m:oMath>
      </m:oMathPara>
      <w:r>
        <w:rPr>
          <w:rFonts w:eastAsia="等线" w:ascii="Arial" w:cs="Arial" w:hAnsi="Arial"/>
          <w:sz w:val="22"/>
        </w:rPr>
        <w:t xml:space="preserve"> 和参考策略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ref</m:t>
              </m:r>
            </m:sub>
          </m:sSub>
          <m:r>
            <w:rPr>
              <w:rFonts w:ascii="Cambria Math" w:hAnsi="Cambria Math"/>
            </w:rPr>
            <m:t>(y|x)</m:t>
          </m:r>
        </m:oMath>
      </m:oMathPara>
      <w:r>
        <w:rPr>
          <w:rFonts w:eastAsia="等线" w:ascii="Arial" w:cs="Arial" w:hAnsi="Arial"/>
          <w:sz w:val="22"/>
        </w:rPr>
        <w:t xml:space="preserve"> 的差异：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KL</m:t>
              </m:r>
            </m:sub>
          </m:sSub>
          <m:r>
            <w:rPr>
              <w:rFonts w:ascii="Cambria Math" w:hAnsi="Cambria Math"/>
            </w:rPr>
            <m:t>[P||Q]=</m:t>
          </m:r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x∼P</m:t>
              </m:r>
            </m:sub>
          </m:sSub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P(x)</m:t>
                  </m:r>
                </m:num>
                <m:den>
                  <m:r>
                    <w:rPr>
                      <w:rFonts w:ascii="Cambria Math" w:hAnsi="Cambria Math"/>
                    </w:rPr>
                    <m:t>Q(x)</m:t>
                  </m:r>
                </m:den>
              </m:f>
            </m:e>
          </m:d>
        </m:oMath>
      </m:oMathPara>
      <w:r>
        <w:rPr>
          <w:rFonts w:eastAsia="等线" w:ascii="Arial" w:cs="Arial" w:hAnsi="Arial"/>
          <w:sz w:val="22"/>
        </w:rPr>
        <w:t>。在 RLHF 中，它用于约束模型，防止其为了迎合偏好而丧失原本的语言能力。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 RLHF 中的作用（奖励漂移与稳定性）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防御奖励作弊（Reward Hacking）</w:t>
      </w:r>
      <w:r>
        <w:rPr>
          <w:rFonts w:eastAsia="等线" w:ascii="Arial" w:cs="Arial" w:hAnsi="Arial"/>
          <w:sz w:val="22"/>
        </w:rPr>
        <w:t>：如果没有 KL 约束，模型可能会发现某些奇怪的 Token 组合（如重复特定符号）能骗取奖励模型的高分，从而导致生成内容彻底崩坏。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保留基座能力</w:t>
      </w:r>
      <w:r>
        <w:rPr>
          <w:rFonts w:eastAsia="等线" w:ascii="Arial" w:cs="Arial" w:hAnsi="Arial"/>
          <w:sz w:val="22"/>
        </w:rPr>
        <w:t xml:space="preserve">：参考模型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ref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通常是经过海量数据预训练和 SFT 后的状态，代表了模型原本的博学和流畅性。KL 约束像一根“橡皮筋”，允许模型根据偏好调整分布，但不允许它彻底抛弃原始的语言规律。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核心推导过程：从 RLHF 到 DPO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1: 定义 RLHF 的全局优化目标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我们要最大化生成回答的奖励期望，同时引入 KL 散度惩罚：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π</m:t>
              </m:r>
            </m:lim>
          </m:limLow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x∼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,y∼π</m:t>
              </m:r>
            </m:sub>
          </m:sSub>
          <m:r>
            <w:rPr>
              <w:rFonts w:ascii="Cambria Math" w:hAnsi="Cambria Math"/>
            </w:rPr>
            <m:t>[r(x,y)]−β</m:t>
          </m:r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KL</m:t>
              </m:r>
            </m:sub>
          </m:sSub>
          <m:r>
            <w:rPr>
              <w:rFonts w:ascii="Cambria Math" w:hAnsi="Cambria Math"/>
            </w:rPr>
            <m:t>[π(y|x)||</m:t>
          </m:r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ref</m:t>
              </m:r>
            </m:sub>
          </m:sSub>
          <m:r>
            <w:rPr>
              <w:rFonts w:ascii="Cambria Math" w:hAnsi="Cambria Math"/>
            </w:rPr>
            <m:t>(y|x)]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(其中 </w:t>
      </w:r>
      <w:r>
        <w:rPr>
          <w:rFonts w:eastAsia="等线" w:ascii="Arial" w:cs="Arial" w:hAnsi="Arial"/>
          <w:i w:val="true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cr m:val="script"/>
            </m:rPr>
            <w:rPr>
              <w:rFonts w:ascii="Cambria Math" w:hAnsi="Cambria Math"/>
            </w:rPr>
            <m:t>D</m:t>
          </m:r>
        </m:oMath>
      </m:oMathPara>
      <w:r>
        <w:rPr>
          <w:rFonts w:eastAsia="等线" w:ascii="Arial" w:cs="Arial" w:hAnsi="Arial"/>
          <w:sz w:val="22"/>
        </w:rPr>
        <w:t xml:space="preserve"> 是 Prompt 的分布；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β</m:t>
          </m:r>
        </m:oMath>
      </m:oMathPara>
      <w:r>
        <w:rPr>
          <w:rFonts w:eastAsia="等线" w:ascii="Arial" w:cs="Arial" w:hAnsi="Arial"/>
          <w:i w:val="true"/>
          <w:sz w:val="22"/>
        </w:rPr>
        <w:t xml:space="preserve"> 是控制 KL 惩罚强度的超参数。)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2: 目标展开与对数转换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 KL 散度展开为期望形式，并将整个式子转化为求最小值问题（取负号）：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π</m:t>
              </m:r>
            </m:lim>
          </m:limLow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x,y∼π</m:t>
              </m:r>
            </m:sub>
          </m:sSub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>β</m:t>
              </m:r>
              <m: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π(y|x)</m:t>
                  </m:r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ref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(y|x)</m:t>
                  </m:r>
                </m:den>
              </m:f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)</m:t>
              </m:r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提取常数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β</m:t>
          </m:r>
        </m:oMath>
      </m:oMathPara>
      <w:r>
        <w:rPr>
          <w:rFonts w:eastAsia="等线" w:ascii="Arial" w:cs="Arial" w:hAnsi="Arial"/>
          <w:sz w:val="22"/>
        </w:rPr>
        <w:t>，以便在对数内部凑出一个隐式分布：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π</m:t>
              </m:r>
            </m:lim>
          </m:limLow>
          <m:r>
            <w:rPr>
              <w:rFonts w:ascii="Cambria Math" w:hAnsi="Cambria Math"/>
            </w:rPr>
            <m:t>β</m:t>
          </m:r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x,y∼π</m:t>
              </m:r>
            </m:sub>
          </m:sSub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π(y|x)</m:t>
                  </m:r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ref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(y|x)</m:t>
                  </m:r>
                </m:den>
              </m:f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β</m:t>
                  </m:r>
                </m:den>
              </m:f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)</m:t>
              </m:r>
            </m:e>
          </m:d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Step 3: 构造配分函数与解析最优解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这是推导中最精妙的一步。我们将后项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>r(x,y)</m:t>
          </m:r>
        </m:oMath>
      </m:oMathPara>
      <w:r>
        <w:rPr>
          <w:rFonts w:eastAsia="等线" w:ascii="Arial" w:cs="Arial" w:hAnsi="Arial"/>
          <w:sz w:val="22"/>
        </w:rPr>
        <w:t xml:space="preserve"> 改写为对数形式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d>
            <m:e>
              <m: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(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β</m:t>
                  </m:r>
                </m:den>
              </m:f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)</m:t>
              </m:r>
            </m:e>
          </m:d>
        </m:oMath>
      </m:oMathPara>
      <w:r>
        <w:rPr>
          <w:rFonts w:eastAsia="等线" w:ascii="Arial" w:cs="Arial" w:hAnsi="Arial"/>
          <w:sz w:val="22"/>
        </w:rPr>
        <w:t xml:space="preserve"> 并合并：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β</m:t>
          </m:r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x,y∼π</m:t>
              </m:r>
            </m:sub>
          </m:sSub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π(y|x)</m:t>
                  </m:r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ref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(y|x)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  <m:r>
                    <w:rPr>
                      <w:rFonts w:ascii="Cambria Math" w:hAnsi="Cambria Math"/>
                    </w:rPr>
                    <m:t>⁡(</m:t>
                  </m:r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β</m:t>
                      </m:r>
                    </m:den>
                  </m:f>
                  <m:r>
                    <w:rPr>
                      <w:rFonts w:ascii="Cambria Math" w:hAnsi="Cambria Math"/>
                    </w:rPr>
                    <m:t>r(x,y))</m:t>
                  </m:r>
                </m:den>
              </m:f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分母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ref</m:t>
              </m:r>
            </m:sub>
          </m:sSub>
          <m:r>
            <w:rPr>
              <w:rFonts w:ascii="Cambria Math" w:hAnsi="Cambria Math"/>
            </w:rPr>
            <m:t>(y|x)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⁡(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>r(x,y))</m:t>
          </m:r>
        </m:oMath>
      </m:oMathPara>
      <w:r>
        <w:rPr>
          <w:rFonts w:eastAsia="等线" w:ascii="Arial" w:cs="Arial" w:hAnsi="Arial"/>
          <w:sz w:val="22"/>
        </w:rPr>
        <w:t xml:space="preserve"> 并非合法的概率分布。为此，我们引入配分函数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Z(x)</m:t>
          </m:r>
        </m:oMath>
      </m:oMathPara>
      <w:r>
        <w:rPr>
          <w:rFonts w:eastAsia="等线" w:ascii="Arial" w:cs="Arial" w:hAnsi="Arial"/>
          <w:sz w:val="22"/>
        </w:rPr>
        <w:t xml:space="preserve"> 进行归一化：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Z(x)=</m:t>
          </m:r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y</m:t>
              </m:r>
            </m:sub>
            <m:sup/>
            <m:e/>
          </m:nary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ref</m:t>
              </m:r>
            </m:sub>
          </m:sSub>
          <m:r>
            <w:rPr>
              <w:rFonts w:ascii="Cambria Math" w:hAnsi="Cambria Math"/>
            </w:rPr>
            <m:t>(y|x)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β</m:t>
                  </m:r>
                </m:den>
              </m:f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)</m:t>
              </m:r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此时，我们可以定义一个完美的目标分布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(y|x)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(y|x)=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ref</m:t>
                  </m:r>
                </m:sub>
              </m:sSub>
              <m:r>
                <w:rPr>
                  <w:rFonts w:ascii="Cambria Math" w:hAnsi="Cambria Math"/>
                </w:rPr>
                <m:t>(y|x)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⁡(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β</m:t>
                  </m:r>
                </m:den>
              </m:f>
              <m:r>
                <w:rPr>
                  <w:rFonts w:ascii="Cambria Math" w:hAnsi="Cambria Math"/>
                </w:rPr>
                <m:t>r(x,y))</m:t>
              </m:r>
            </m:num>
            <m:den>
              <m:r>
                <w:rPr>
                  <w:rFonts w:ascii="Cambria Math" w:hAnsi="Cambria Math"/>
                </w:rPr>
                <m:t>Z(x)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代回原式，并分离出与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π</m:t>
          </m:r>
        </m:oMath>
      </m:oMathPara>
      <w:r>
        <w:rPr>
          <w:rFonts w:eastAsia="等线" w:ascii="Arial" w:cs="Arial" w:hAnsi="Arial"/>
          <w:sz w:val="22"/>
        </w:rPr>
        <w:t xml:space="preserve"> 无关的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Z(x)</m:t>
          </m:r>
        </m:oMath>
      </m:oMathPara>
      <w:r>
        <w:rPr>
          <w:rFonts w:eastAsia="等线" w:ascii="Arial" w:cs="Arial" w:hAnsi="Arial"/>
          <w:sz w:val="22"/>
        </w:rPr>
        <w:t xml:space="preserve"> 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π</m:t>
              </m:r>
            </m:lim>
          </m:limLow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x,y∼π</m:t>
              </m:r>
            </m:sub>
          </m:sSub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π(y|x)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∗</m:t>
                      </m:r>
                    </m:sup>
                  </m:sSup>
                  <m:r>
                    <w:rPr>
                      <w:rFonts w:ascii="Cambria Math" w:hAnsi="Cambria Math"/>
                    </w:rPr>
                    <m:t>(y|x)</m:t>
                  </m:r>
                </m:den>
              </m:f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=</m:t>
          </m:r>
          <m:limLow>
            <m:e>
              <m: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π</m:t>
              </m:r>
            </m:lim>
          </m:limLow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KL</m:t>
              </m:r>
            </m:sub>
          </m:sSub>
          <m:r>
            <w:rPr>
              <w:rFonts w:ascii="Cambria Math" w:hAnsi="Cambria Math"/>
            </w:rPr>
            <m:t>[π(y|x)||</m:t>
          </m:r>
          <m:sSup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(y|x)]−</m:t>
          </m:r>
          <m:sSub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[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⁡Z(x)]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由于 KL 散度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≥0</m:t>
          </m:r>
        </m:oMath>
      </m:oMathPara>
      <w:r>
        <w:rPr>
          <w:rFonts w:eastAsia="等线" w:ascii="Arial" w:cs="Arial" w:hAnsi="Arial"/>
          <w:sz w:val="22"/>
        </w:rPr>
        <w:t xml:space="preserve">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⁡Z(x)</m:t>
          </m:r>
        </m:oMath>
      </m:oMathPara>
      <w:r>
        <w:rPr>
          <w:rFonts w:eastAsia="等线" w:ascii="Arial" w:cs="Arial" w:hAnsi="Arial"/>
          <w:sz w:val="22"/>
        </w:rPr>
        <w:t xml:space="preserve"> 在给定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 xml:space="preserve"> 时是常数，当且仅当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π(y|x)=</m:t>
          </m:r>
          <m:sSup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  <m:r>
            <w:rPr>
              <w:rFonts w:ascii="Cambria Math" w:hAnsi="Cambria Math"/>
            </w:rPr>
            <m:t>(y|x)</m:t>
          </m:r>
        </m:oMath>
      </m:oMathPara>
      <w:r>
        <w:rPr>
          <w:rFonts w:eastAsia="等线" w:ascii="Arial" w:cs="Arial" w:hAnsi="Arial"/>
          <w:sz w:val="22"/>
        </w:rPr>
        <w:t xml:space="preserve"> 时，RLHF 目标达到理论最优。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4: 奖励函数的重参数化 (Reparameterization)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“奖励函数的重参数化”是指：</w:t>
      </w:r>
      <w:r>
        <w:rPr>
          <w:rFonts w:eastAsia="等线" w:ascii="Arial" w:cs="Arial" w:hAnsi="Arial"/>
          <w:b w:val="true"/>
          <w:sz w:val="22"/>
        </w:rPr>
        <w:t xml:space="preserve">原本我们需要显式训练一个奖励模型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ϕ</m:t>
              </m:r>
            </m:sub>
          </m:sSub>
          <m:r>
            <w:rPr>
              <w:rFonts w:ascii="Cambria Math" w:hAnsi="Cambria Math"/>
            </w:rPr>
            <m:t>(x,y)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，现在我们通过数学变换，将这个奖励函数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表达为策略模型 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π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的函数。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现在，我们对找到的最优策略公式两边取对数并移项，用策略来反向表达奖励：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(y|x)=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ref</m:t>
              </m:r>
            </m:sub>
          </m:sSub>
          <m:r>
            <w:rPr>
              <w:rFonts w:ascii="Cambria Math" w:hAnsi="Cambria Math"/>
            </w:rPr>
            <m:t>(y|x)+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>r(x,y)−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⁡Z(x)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得出 DPO 的核心洞察——</w:t>
      </w:r>
      <w:r>
        <w:rPr>
          <w:rFonts w:eastAsia="等线" w:ascii="Arial" w:cs="Arial" w:hAnsi="Arial"/>
          <w:b w:val="true"/>
          <w:sz w:val="22"/>
        </w:rPr>
        <w:t>隐式奖励（Implicit Reward）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r(x,y)=β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(y|x)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ref</m:t>
                  </m:r>
                </m:sub>
              </m:sSub>
              <m:r>
                <w:rPr>
                  <w:rFonts w:ascii="Cambria Math" w:hAnsi="Cambria Math"/>
                </w:rPr>
                <m:t>(y|x)</m:t>
              </m:r>
            </m:den>
          </m:f>
          <m:r>
            <w:rPr>
              <w:rFonts w:ascii="Cambria Math" w:hAnsi="Cambria Math"/>
            </w:rPr>
            <m:t>+β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⁡Z(x)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5: 代入 BT 模型，消解配分函数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最后，我们将重构出的隐式奖励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r(x,y)</m:t>
          </m:r>
        </m:oMath>
      </m:oMathPara>
      <w:r>
        <w:rPr>
          <w:rFonts w:eastAsia="等线" w:ascii="Arial" w:cs="Arial" w:hAnsi="Arial"/>
          <w:sz w:val="22"/>
        </w:rPr>
        <w:t xml:space="preserve"> 代回 Bradley-Terry 偏好模型的差值计算中：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r(x,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)−r(x,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)=</m:t>
          </m:r>
          <m:d>
            <m:e>
              <m:r>
                <w:rPr>
                  <w:rFonts w:ascii="Cambria Math" w:hAnsi="Cambria Math"/>
                </w:rPr>
                <m:t>β</m:t>
              </m:r>
              <m: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θ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|x)</m:t>
                  </m:r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ref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|x)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β</m:t>
              </m:r>
              <m: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−</m:t>
          </m:r>
          <m:d>
            <m:e>
              <m:r>
                <w:rPr>
                  <w:rFonts w:ascii="Cambria Math" w:hAnsi="Cambria Math"/>
                </w:rPr>
                <m:t>β</m:t>
              </m:r>
              <m: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θ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|x)</m:t>
                  </m:r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ref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|x)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β</m:t>
              </m:r>
              <m: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极度优雅的事情发生了：那个在计算上几乎不可解的配分函数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Z(x)</m:t>
          </m:r>
        </m:oMath>
      </m:oMathPara>
      <w:r>
        <w:rPr>
          <w:rFonts w:eastAsia="等线" w:ascii="Arial" w:cs="Arial" w:hAnsi="Arial"/>
          <w:sz w:val="22"/>
        </w:rPr>
        <w:t>，因为是常数项，</w:t>
      </w:r>
      <w:r>
        <w:rPr>
          <w:rFonts w:eastAsia="等线" w:ascii="Arial" w:cs="Arial" w:hAnsi="Arial"/>
          <w:b w:val="true"/>
          <w:sz w:val="22"/>
        </w:rPr>
        <w:t>直接在减法中被完美抵消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经过上述抵消，我们将差值代回最大似然估计（最小化负对数似然），得到了 DPO 极度简洁的分类损失函数。对于每一组偏好数据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(x,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DPO</m:t>
              </m:r>
            </m:sub>
          </m:sSub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;</m:t>
          </m:r>
          <m:sSub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ref</m:t>
              </m:r>
            </m:sub>
          </m:sSub>
          <m:r>
            <w:rPr>
              <w:rFonts w:ascii="Cambria Math" w:hAnsi="Cambria Math"/>
            </w:rPr>
            <m:t>)=−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σ</m:t>
              </m:r>
              <m:d>
                <m:e>
                  <m:r>
                    <w:rPr>
                      <w:rFonts w:ascii="Cambria Math" w:hAnsi="Cambria Math"/>
                    </w:rPr>
                    <m:t>β</m:t>
                  </m:r>
                  <m: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|x)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ref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|x)</m:t>
                      </m:r>
                    </m:den>
                  </m:f>
                  <m:r>
                    <w:rPr>
                      <w:rFonts w:ascii="Cambria Math" w:hAnsi="Cambria Math"/>
                    </w:rPr>
                    <m:t>−</m:t>
                  </m:r>
                  <m:r>
                    <w:rPr>
                      <w:rFonts w:ascii="Cambria Math" w:hAnsi="Cambria Math"/>
                    </w:rPr>
                    <m:t>β</m:t>
                  </m:r>
                  <m: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>⁡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|x)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ref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|x)</m:t>
                      </m:r>
                    </m:den>
                  </m:f>
                </m:e>
              </m:d>
            </m:e>
          </m:d>
        </m:oMath>
      </m:oMathPara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87314">
    <w:lvl>
      <w:start w:val="1"/>
      <w:numFmt w:val="decimal"/>
      <w:suff w:val="tab"/>
      <w:lvlText w:val="%1."/>
      <w:rPr>
        <w:color w:val="3370ff"/>
      </w:rPr>
    </w:lvl>
  </w:abstractNum>
  <w:abstractNum w:abstractNumId="2587315">
    <w:lvl>
      <w:start w:val="2"/>
      <w:numFmt w:val="decimal"/>
      <w:suff w:val="tab"/>
      <w:lvlText w:val="%1."/>
      <w:rPr>
        <w:color w:val="3370ff"/>
      </w:rPr>
    </w:lvl>
  </w:abstractNum>
  <w:abstractNum w:abstractNumId="2587316">
    <w:lvl>
      <w:start w:val="1"/>
      <w:numFmt w:val="decimal"/>
      <w:suff w:val="tab"/>
      <w:lvlText w:val="%1."/>
      <w:rPr>
        <w:color w:val="3370ff"/>
      </w:rPr>
    </w:lvl>
  </w:abstractNum>
  <w:abstractNum w:abstractNumId="2587317">
    <w:lvl>
      <w:start w:val="2"/>
      <w:numFmt w:val="decimal"/>
      <w:suff w:val="tab"/>
      <w:lvlText w:val="%1."/>
      <w:rPr>
        <w:color w:val="3370ff"/>
      </w:rPr>
    </w:lvl>
  </w:abstractNum>
  <w:abstractNum w:abstractNumId="2587318">
    <w:lvl>
      <w:start w:val="1"/>
      <w:numFmt w:val="decimal"/>
      <w:suff w:val="tab"/>
      <w:lvlText w:val="%1."/>
      <w:rPr>
        <w:color w:val="3370ff"/>
      </w:rPr>
    </w:lvl>
  </w:abstractNum>
  <w:abstractNum w:abstractNumId="2587319">
    <w:lvl>
      <w:start w:val="2"/>
      <w:numFmt w:val="decimal"/>
      <w:suff w:val="tab"/>
      <w:lvlText w:val="%1."/>
      <w:rPr>
        <w:color w:val="3370ff"/>
      </w:rPr>
    </w:lvl>
  </w:abstractNum>
  <w:abstractNum w:abstractNumId="2587320">
    <w:lvl>
      <w:start w:val="3"/>
      <w:numFmt w:val="decimal"/>
      <w:suff w:val="tab"/>
      <w:lvlText w:val="%1."/>
      <w:rPr>
        <w:color w:val="3370ff"/>
      </w:rPr>
    </w:lvl>
  </w:abstractNum>
  <w:abstractNum w:abstractNumId="2587321">
    <w:lvl>
      <w:start w:val="4"/>
      <w:numFmt w:val="decimal"/>
      <w:suff w:val="tab"/>
      <w:lvlText w:val="%1."/>
      <w:rPr>
        <w:color w:val="3370ff"/>
      </w:rPr>
    </w:lvl>
  </w:abstractNum>
  <w:abstractNum w:abstractNumId="2587322">
    <w:lvl>
      <w:start w:val="1"/>
      <w:numFmt w:val="decimal"/>
      <w:suff w:val="tab"/>
      <w:lvlText w:val="%1."/>
      <w:rPr>
        <w:color w:val="3370ff"/>
      </w:rPr>
    </w:lvl>
  </w:abstractNum>
  <w:abstractNum w:abstractNumId="2587323">
    <w:lvl>
      <w:start w:val="2"/>
      <w:numFmt w:val="decimal"/>
      <w:suff w:val="tab"/>
      <w:lvlText w:val="%1."/>
      <w:rPr>
        <w:color w:val="3370ff"/>
      </w:rPr>
    </w:lvl>
  </w:abstractNum>
  <w:abstractNum w:abstractNumId="2587324">
    <w:lvl>
      <w:numFmt w:val="bullet"/>
      <w:suff w:val="tab"/>
      <w:lvlText w:val="•"/>
      <w:rPr>
        <w:color w:val="3370ff"/>
      </w:rPr>
    </w:lvl>
  </w:abstractNum>
  <w:abstractNum w:abstractNumId="2587325">
    <w:lvl>
      <w:numFmt w:val="bullet"/>
      <w:suff w:val="tab"/>
      <w:lvlText w:val="•"/>
      <w:rPr>
        <w:color w:val="3370ff"/>
      </w:rPr>
    </w:lvl>
  </w:abstractNum>
  <w:num w:numId="1">
    <w:abstractNumId w:val="2587314"/>
  </w:num>
  <w:num w:numId="2">
    <w:abstractNumId w:val="2587315"/>
  </w:num>
  <w:num w:numId="3">
    <w:abstractNumId w:val="2587316"/>
  </w:num>
  <w:num w:numId="4">
    <w:abstractNumId w:val="2587317"/>
  </w:num>
  <w:num w:numId="5">
    <w:abstractNumId w:val="2587318"/>
  </w:num>
  <w:num w:numId="6">
    <w:abstractNumId w:val="2587319"/>
  </w:num>
  <w:num w:numId="7">
    <w:abstractNumId w:val="2587320"/>
  </w:num>
  <w:num w:numId="8">
    <w:abstractNumId w:val="2587321"/>
  </w:num>
  <w:num w:numId="9">
    <w:abstractNumId w:val="2587322"/>
  </w:num>
  <w:num w:numId="10">
    <w:abstractNumId w:val="2587323"/>
  </w:num>
  <w:num w:numId="11">
    <w:abstractNumId w:val="2587324"/>
  </w:num>
  <w:num w:numId="12">
    <w:abstractNumId w:val="25873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2026-07-26T08:30:21Z</dcterms:created>
  <dc:creator>Apache POI</dc:creator>
</cp:coreProperties>
</file>