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C85E3" w14:textId="77777777" w:rsidR="00AB5C70" w:rsidRDefault="008C1901" w:rsidP="007C15B3">
      <w:pPr>
        <w:pStyle w:val="Heading1"/>
        <w:spacing w:before="0"/>
        <w:rPr>
          <w:rFonts w:ascii="Calibri" w:hAnsi="Calibri"/>
          <w:color w:val="auto"/>
          <w:sz w:val="24"/>
          <w:szCs w:val="24"/>
        </w:rPr>
      </w:pPr>
      <w:bookmarkStart w:id="0" w:name="the-supervisory-capaital-assessment-prog"/>
      <w:bookmarkEnd w:id="0"/>
      <w:r w:rsidRPr="00973C14">
        <w:rPr>
          <w:rFonts w:ascii="Calibri" w:hAnsi="Calibri"/>
          <w:color w:val="auto"/>
          <w:sz w:val="24"/>
          <w:szCs w:val="24"/>
        </w:rPr>
        <w:t xml:space="preserve">The Supervisory </w:t>
      </w:r>
      <w:r w:rsidR="00FC697F" w:rsidRPr="00973C14">
        <w:rPr>
          <w:rFonts w:ascii="Calibri" w:hAnsi="Calibri"/>
          <w:color w:val="auto"/>
          <w:sz w:val="24"/>
          <w:szCs w:val="24"/>
        </w:rPr>
        <w:t>Capital</w:t>
      </w:r>
      <w:r w:rsidRPr="00973C14">
        <w:rPr>
          <w:rFonts w:ascii="Calibri" w:hAnsi="Calibri"/>
          <w:color w:val="auto"/>
          <w:sz w:val="24"/>
          <w:szCs w:val="24"/>
        </w:rPr>
        <w:t xml:space="preserve"> Assessment Program (SCAP)</w:t>
      </w:r>
    </w:p>
    <w:p w14:paraId="129860F5" w14:textId="77777777" w:rsidR="00CC2CFD" w:rsidRPr="00CC2CFD" w:rsidRDefault="00CC2CFD" w:rsidP="00CC2CFD">
      <w:pPr>
        <w:pStyle w:val="BodyText"/>
      </w:pPr>
    </w:p>
    <w:p w14:paraId="567AA601" w14:textId="01247F86" w:rsidR="00BE2472" w:rsidRPr="00973C14" w:rsidRDefault="008C1901" w:rsidP="007C15B3">
      <w:pPr>
        <w:pStyle w:val="Compact"/>
        <w:numPr>
          <w:ilvl w:val="0"/>
          <w:numId w:val="3"/>
        </w:numPr>
        <w:spacing w:before="0" w:after="0"/>
        <w:rPr>
          <w:rFonts w:ascii="Calibri" w:hAnsi="Calibri"/>
        </w:rPr>
      </w:pPr>
      <w:r w:rsidRPr="00973C14">
        <w:rPr>
          <w:rFonts w:ascii="Calibri" w:hAnsi="Calibri"/>
        </w:rPr>
        <w:t>Overview</w:t>
      </w:r>
    </w:p>
    <w:p w14:paraId="31C2C076" w14:textId="77777777" w:rsidR="00EF0A0B" w:rsidRDefault="008C1901" w:rsidP="007C15B3">
      <w:pPr>
        <w:pStyle w:val="Compact"/>
        <w:numPr>
          <w:ilvl w:val="0"/>
          <w:numId w:val="3"/>
        </w:numPr>
        <w:spacing w:before="0" w:after="0"/>
        <w:rPr>
          <w:rFonts w:ascii="Calibri" w:hAnsi="Calibri"/>
        </w:rPr>
      </w:pPr>
      <w:r w:rsidRPr="00973C14">
        <w:rPr>
          <w:rFonts w:ascii="Calibri" w:hAnsi="Calibri"/>
        </w:rPr>
        <w:t>Key Design Decisions</w:t>
      </w:r>
    </w:p>
    <w:p w14:paraId="087F18BA" w14:textId="0EE44B46" w:rsidR="008D3662" w:rsidRPr="00973C14" w:rsidRDefault="008D3662" w:rsidP="007C15B3">
      <w:pPr>
        <w:pStyle w:val="Compact"/>
        <w:numPr>
          <w:ilvl w:val="0"/>
          <w:numId w:val="3"/>
        </w:numPr>
        <w:spacing w:before="0" w:after="0"/>
        <w:rPr>
          <w:rFonts w:ascii="Calibri" w:hAnsi="Calibri"/>
        </w:rPr>
      </w:pPr>
      <w:r>
        <w:rPr>
          <w:rFonts w:ascii="Calibri" w:hAnsi="Calibri"/>
        </w:rPr>
        <w:t>Evaluation</w:t>
      </w:r>
    </w:p>
    <w:p w14:paraId="175E4BDB" w14:textId="4CB338D7" w:rsidR="00EF0A0B" w:rsidRDefault="001951AB" w:rsidP="007C15B3">
      <w:pPr>
        <w:pStyle w:val="Compact"/>
        <w:numPr>
          <w:ilvl w:val="0"/>
          <w:numId w:val="3"/>
        </w:numPr>
        <w:spacing w:before="0" w:after="0"/>
        <w:rPr>
          <w:rFonts w:ascii="Calibri" w:hAnsi="Calibri"/>
        </w:rPr>
      </w:pPr>
      <w:r>
        <w:rPr>
          <w:rFonts w:ascii="Calibri" w:hAnsi="Calibri"/>
        </w:rPr>
        <w:t>Resources</w:t>
      </w:r>
      <w:r w:rsidR="00CC2CFD">
        <w:rPr>
          <w:rFonts w:ascii="Calibri" w:hAnsi="Calibri"/>
        </w:rPr>
        <w:t xml:space="preserve"> Cited</w:t>
      </w:r>
    </w:p>
    <w:p w14:paraId="22316A65" w14:textId="57E8EA9D" w:rsidR="001951AB" w:rsidRPr="00973C14" w:rsidRDefault="001951AB" w:rsidP="007C15B3">
      <w:pPr>
        <w:pStyle w:val="Compact"/>
        <w:numPr>
          <w:ilvl w:val="0"/>
          <w:numId w:val="3"/>
        </w:numPr>
        <w:spacing w:before="0" w:after="0"/>
        <w:rPr>
          <w:rFonts w:ascii="Calibri" w:hAnsi="Calibri"/>
        </w:rPr>
      </w:pPr>
      <w:r>
        <w:rPr>
          <w:rFonts w:ascii="Calibri" w:hAnsi="Calibri"/>
        </w:rPr>
        <w:t xml:space="preserve">List of Other </w:t>
      </w:r>
      <w:r w:rsidR="00B92973">
        <w:rPr>
          <w:rFonts w:ascii="Calibri" w:hAnsi="Calibri"/>
        </w:rPr>
        <w:t>Resources</w:t>
      </w:r>
    </w:p>
    <w:p w14:paraId="1790D3FF" w14:textId="77777777" w:rsidR="00545F2F" w:rsidRPr="00973C14" w:rsidRDefault="008C1901" w:rsidP="007C15B3">
      <w:pPr>
        <w:pStyle w:val="Compact"/>
        <w:numPr>
          <w:ilvl w:val="0"/>
          <w:numId w:val="3"/>
        </w:numPr>
        <w:spacing w:before="0" w:after="0"/>
        <w:rPr>
          <w:rFonts w:ascii="Calibri" w:hAnsi="Calibri"/>
        </w:rPr>
      </w:pPr>
      <w:r w:rsidRPr="00973C14">
        <w:rPr>
          <w:rFonts w:ascii="Calibri" w:hAnsi="Calibri"/>
        </w:rPr>
        <w:t>Interview Questions</w:t>
      </w:r>
      <w:bookmarkStart w:id="1" w:name="program-overview"/>
      <w:bookmarkEnd w:id="1"/>
    </w:p>
    <w:p w14:paraId="2A21A366" w14:textId="77777777" w:rsidR="002E6A16" w:rsidRPr="00973C14" w:rsidRDefault="002E6A16" w:rsidP="002E6A16">
      <w:pPr>
        <w:pStyle w:val="Compact"/>
        <w:spacing w:after="200"/>
        <w:rPr>
          <w:rFonts w:ascii="Calibri" w:hAnsi="Calibri"/>
        </w:rPr>
      </w:pPr>
    </w:p>
    <w:p w14:paraId="17FC0331" w14:textId="0DA0723E" w:rsidR="0035793F" w:rsidRPr="00973C14" w:rsidRDefault="0035793F" w:rsidP="008B65AC">
      <w:pPr>
        <w:pStyle w:val="Heading2"/>
        <w:spacing w:after="200"/>
        <w:rPr>
          <w:rFonts w:ascii="Calibri" w:hAnsi="Calibri"/>
          <w:color w:val="auto"/>
          <w:sz w:val="24"/>
          <w:szCs w:val="24"/>
        </w:rPr>
      </w:pPr>
      <w:r w:rsidRPr="00973C14">
        <w:rPr>
          <w:rFonts w:ascii="Calibri" w:hAnsi="Calibri"/>
          <w:color w:val="auto"/>
          <w:sz w:val="24"/>
          <w:szCs w:val="24"/>
        </w:rPr>
        <w:t>Executive Summary</w:t>
      </w:r>
    </w:p>
    <w:p w14:paraId="2E0C95CB" w14:textId="459F1B5E" w:rsidR="00046342" w:rsidRPr="00973C14" w:rsidRDefault="0035793F" w:rsidP="00046342">
      <w:pPr>
        <w:pStyle w:val="FirstParagraph"/>
        <w:spacing w:after="200"/>
        <w:rPr>
          <w:rFonts w:ascii="Calibri" w:hAnsi="Calibri"/>
        </w:rPr>
      </w:pPr>
      <w:r w:rsidRPr="00973C14">
        <w:rPr>
          <w:rFonts w:ascii="Calibri" w:hAnsi="Calibri"/>
        </w:rPr>
        <w:t xml:space="preserve">When President Obama took office in 2009, the Treasury focused on restarting bank lending and repairing the ability of the banking system as a whole to perform the role of credit intermediation. In order to do so, the Treasury needed to raise public confidence that banks had sufficient buffers to withstand even a very adverse economic scenario, especially given heightened uncertainty surrounding the outlook for the U.S. economy and potential losses in the banking system. The Supervisory Capital Assessment Program (SCAP)—the so-called "stress tests"—sought to rigorously measure the resilience of the largest bank holding companies. Those found to have insufficient </w:t>
      </w:r>
      <w:r w:rsidR="00B267B1">
        <w:rPr>
          <w:rFonts w:ascii="Calibri" w:hAnsi="Calibri"/>
        </w:rPr>
        <w:t xml:space="preserve">capital </w:t>
      </w:r>
      <w:r w:rsidRPr="00973C14">
        <w:rPr>
          <w:rFonts w:ascii="Calibri" w:hAnsi="Calibri"/>
        </w:rPr>
        <w:t>buffers were able to raise funds from the private sector, and if unable to do so, the Capital Assistance Program (CAP) would capitalize the firm with public capital. Ultimately, the SCAP test results were accepted as credible, the tested firms collectively raised more than enough private capital</w:t>
      </w:r>
      <w:r w:rsidR="002B03E9" w:rsidRPr="00973C14">
        <w:rPr>
          <w:rFonts w:ascii="Calibri" w:hAnsi="Calibri"/>
        </w:rPr>
        <w:t xml:space="preserve"> in the following six months</w:t>
      </w:r>
      <w:r w:rsidRPr="00973C14">
        <w:rPr>
          <w:rFonts w:ascii="Calibri" w:hAnsi="Calibri"/>
        </w:rPr>
        <w:t xml:space="preserve"> to fill the capital shortfall </w:t>
      </w:r>
      <w:r w:rsidR="00FD19C1">
        <w:rPr>
          <w:rFonts w:ascii="Calibri" w:hAnsi="Calibri"/>
        </w:rPr>
        <w:t xml:space="preserve">calculated by the </w:t>
      </w:r>
      <w:r w:rsidRPr="00973C14">
        <w:rPr>
          <w:rFonts w:ascii="Calibri" w:hAnsi="Calibri"/>
        </w:rPr>
        <w:t>the SCAP and the CAP was unused.</w:t>
      </w:r>
    </w:p>
    <w:p w14:paraId="678637A6" w14:textId="68869649" w:rsidR="00EF0A0B" w:rsidRPr="00973C14" w:rsidRDefault="00D87C51" w:rsidP="008B65AC">
      <w:pPr>
        <w:pStyle w:val="Heading2"/>
        <w:spacing w:after="200"/>
        <w:rPr>
          <w:rFonts w:ascii="Calibri" w:hAnsi="Calibri"/>
          <w:color w:val="auto"/>
          <w:sz w:val="24"/>
          <w:szCs w:val="24"/>
        </w:rPr>
      </w:pPr>
      <w:r w:rsidRPr="00973C14">
        <w:rPr>
          <w:rFonts w:ascii="Calibri" w:hAnsi="Calibri"/>
          <w:color w:val="auto"/>
          <w:sz w:val="24"/>
          <w:szCs w:val="24"/>
        </w:rPr>
        <w:t>Overview</w:t>
      </w:r>
    </w:p>
    <w:p w14:paraId="428BB869" w14:textId="6CA4C3FC" w:rsidR="00EF0A0B" w:rsidRPr="00973C14" w:rsidRDefault="006502AB" w:rsidP="008B65AC">
      <w:pPr>
        <w:pStyle w:val="Heading3"/>
        <w:spacing w:after="200"/>
        <w:rPr>
          <w:rFonts w:ascii="Calibri" w:hAnsi="Calibri"/>
          <w:color w:val="auto"/>
          <w:sz w:val="24"/>
          <w:szCs w:val="24"/>
        </w:rPr>
      </w:pPr>
      <w:bookmarkStart w:id="2" w:name="overview"/>
      <w:bookmarkStart w:id="3" w:name="why-the-scap-was-needed"/>
      <w:bookmarkEnd w:id="2"/>
      <w:bookmarkEnd w:id="3"/>
      <w:r w:rsidRPr="00973C14">
        <w:rPr>
          <w:rFonts w:ascii="Calibri" w:hAnsi="Calibri"/>
          <w:color w:val="auto"/>
          <w:sz w:val="24"/>
          <w:szCs w:val="24"/>
        </w:rPr>
        <w:t>Program Description</w:t>
      </w:r>
    </w:p>
    <w:p w14:paraId="052E5E1A" w14:textId="6B1A652C" w:rsidR="00EF0A0B" w:rsidRPr="00973C14" w:rsidRDefault="008C1901" w:rsidP="008B65AC">
      <w:pPr>
        <w:pStyle w:val="FirstParagraph"/>
        <w:spacing w:after="200"/>
        <w:rPr>
          <w:rFonts w:ascii="Calibri" w:hAnsi="Calibri"/>
        </w:rPr>
      </w:pPr>
      <w:r w:rsidRPr="00973C14">
        <w:rPr>
          <w:rFonts w:ascii="Calibri" w:hAnsi="Calibri"/>
        </w:rPr>
        <w:t>In February 2009, the Treasury announced the Capital Assistance Program (CAP) in conjunction with the Supervisory Capital Assessment Program (SCAP). Their purpose was “to restore confidence throughout the financial system that the nation’s largest banking institutions have a sufficient capital cushion against larger than expected future losses, should they occur due to a more severe economic environment, and to support lending to creditworthy borrowers.” The Treasury was concerned about the lack of near-term private capital inflows large enough to break the dynamic between the perceived shortage of capital in the system and the loss of confidence that shortage engenders in the health of individual institutions in the strained economic environment.</w:t>
      </w:r>
      <w:r w:rsidR="00F54412" w:rsidRPr="00973C14">
        <w:rPr>
          <w:rFonts w:ascii="Calibri" w:hAnsi="Calibri"/>
        </w:rPr>
        <w:t xml:space="preserve"> (Treasury White Paper).</w:t>
      </w:r>
    </w:p>
    <w:p w14:paraId="5EDCC9A2" w14:textId="54C83F69" w:rsidR="00EF0A0B" w:rsidRPr="00973C14" w:rsidRDefault="008C1901" w:rsidP="008B65AC">
      <w:pPr>
        <w:pStyle w:val="BodyText"/>
        <w:spacing w:after="200"/>
        <w:rPr>
          <w:rFonts w:ascii="Calibri" w:hAnsi="Calibri"/>
        </w:rPr>
      </w:pPr>
      <w:r w:rsidRPr="00973C14">
        <w:rPr>
          <w:rFonts w:ascii="Calibri" w:hAnsi="Calibri"/>
        </w:rPr>
        <w:t>To restore confidence, the SCAP employed a stress test and publicly released the results and methodology of the tests. Firms that required additional capital to meet their SCAP buffer</w:t>
      </w:r>
      <w:r w:rsidR="004C6BA7">
        <w:rPr>
          <w:rFonts w:ascii="Calibri" w:hAnsi="Calibri"/>
        </w:rPr>
        <w:t>s</w:t>
      </w:r>
      <w:r w:rsidRPr="00973C14">
        <w:rPr>
          <w:rFonts w:ascii="Calibri" w:hAnsi="Calibri"/>
        </w:rPr>
        <w:t xml:space="preserve"> were given six months to raise private capital and the firms unable to do so would then rely upon public c</w:t>
      </w:r>
      <w:r w:rsidR="007F2E91">
        <w:rPr>
          <w:rFonts w:ascii="Calibri" w:hAnsi="Calibri"/>
        </w:rPr>
        <w:t>apital, sourced from TARP funds</w:t>
      </w:r>
      <w:r w:rsidRPr="00973C14">
        <w:rPr>
          <w:rFonts w:ascii="Calibri" w:hAnsi="Calibri"/>
        </w:rPr>
        <w:t xml:space="preserve"> via the CAP. Smaller firms not included in the SCAP were eligible to apply for Treasury funds through the CAP.</w:t>
      </w:r>
    </w:p>
    <w:p w14:paraId="26021E1B" w14:textId="2DD0F6B1" w:rsidR="00A0043A" w:rsidRPr="00973C14" w:rsidRDefault="00A0043A" w:rsidP="00A0043A">
      <w:pPr>
        <w:pStyle w:val="FirstParagraph"/>
        <w:spacing w:after="200"/>
        <w:rPr>
          <w:rFonts w:ascii="Calibri" w:hAnsi="Calibri"/>
        </w:rPr>
      </w:pPr>
      <w:r w:rsidRPr="00973C14">
        <w:rPr>
          <w:rFonts w:ascii="Calibri" w:hAnsi="Calibri"/>
        </w:rPr>
        <w:lastRenderedPageBreak/>
        <w:t xml:space="preserve">U.S. </w:t>
      </w:r>
      <w:r w:rsidR="007055F2">
        <w:rPr>
          <w:rFonts w:ascii="Calibri" w:hAnsi="Calibri"/>
        </w:rPr>
        <w:t>bank holding companies (</w:t>
      </w:r>
      <w:r w:rsidRPr="00973C14">
        <w:rPr>
          <w:rFonts w:ascii="Calibri" w:hAnsi="Calibri"/>
        </w:rPr>
        <w:t>BHCs</w:t>
      </w:r>
      <w:r w:rsidR="007055F2">
        <w:rPr>
          <w:rFonts w:ascii="Calibri" w:hAnsi="Calibri"/>
        </w:rPr>
        <w:t>)</w:t>
      </w:r>
      <w:r w:rsidRPr="00973C14">
        <w:rPr>
          <w:rFonts w:ascii="Calibri" w:hAnsi="Calibri"/>
        </w:rPr>
        <w:t xml:space="preserve"> with assets in excess of $100 billion on a consolidated basis</w:t>
      </w:r>
      <w:r w:rsidR="006C756D" w:rsidRPr="00973C14">
        <w:rPr>
          <w:rStyle w:val="FootnoteReference"/>
          <w:rFonts w:ascii="Calibri" w:hAnsi="Calibri"/>
        </w:rPr>
        <w:footnoteReference w:id="1"/>
      </w:r>
      <w:r w:rsidRPr="00973C14">
        <w:rPr>
          <w:rFonts w:ascii="Calibri" w:hAnsi="Calibri"/>
        </w:rPr>
        <w:t xml:space="preserve"> were required to participate in the coordinated “stress test” known as the SCAP, and had access to the CAP immediately as a means to build any necessary additional buffer</w:t>
      </w:r>
      <w:r w:rsidR="00393B39">
        <w:rPr>
          <w:rFonts w:ascii="Calibri" w:hAnsi="Calibri"/>
        </w:rPr>
        <w:t>,</w:t>
      </w:r>
      <w:r w:rsidRPr="00973C14">
        <w:rPr>
          <w:rFonts w:ascii="Calibri" w:hAnsi="Calibri"/>
        </w:rPr>
        <w:t xml:space="preserve"> although they could raise private capital over the following 6 months. The Treasury worked with federal banking regulators to develop this stress test to determine the health of the relevant financial institutions. As a result, the 19 largest BHCs, which together held two-thirds of assets and more than one-half of the loans in the U.S. banking system, participated in the SCAP on a mandatory basis. (OFS 2010).</w:t>
      </w:r>
    </w:p>
    <w:p w14:paraId="3A49BDDD" w14:textId="07D89BE9" w:rsidR="00A0043A" w:rsidRPr="00973C14" w:rsidRDefault="00A0043A" w:rsidP="00A0043A">
      <w:pPr>
        <w:pStyle w:val="BodyText"/>
        <w:spacing w:after="200"/>
        <w:rPr>
          <w:rFonts w:ascii="Calibri" w:hAnsi="Calibri"/>
        </w:rPr>
      </w:pPr>
      <w:r w:rsidRPr="00973C14">
        <w:rPr>
          <w:rFonts w:ascii="Calibri" w:hAnsi="Calibri"/>
        </w:rPr>
        <w:t xml:space="preserve">While the SCAP was similar to stress tests that firms undertook as part of their ongoing risk management, the objective of this program was “to conduct a comprehensive and consistent assessment simultaneously” across the largest BHCs using a common set of macroeconomic scenarios and a common forward-looking conceptual framework. This framework allowed supervisors to apply a consistent and systematic approach across firms to evaluate projected losses and </w:t>
      </w:r>
      <w:r w:rsidR="00715715">
        <w:rPr>
          <w:rFonts w:ascii="Calibri" w:hAnsi="Calibri"/>
        </w:rPr>
        <w:t>revenue</w:t>
      </w:r>
      <w:r w:rsidRPr="00973C14">
        <w:rPr>
          <w:rFonts w:ascii="Calibri" w:hAnsi="Calibri"/>
        </w:rPr>
        <w:t xml:space="preserve"> estimates submitted by the firms and to conduct cross-firm analysis on the aggregate. The SCAP was considerably more comprehensive than stress tests that focus on individual business lines because it simultaneously incorporated all major assets and revenue sources for each firm. (FRS April 2009).</w:t>
      </w:r>
    </w:p>
    <w:p w14:paraId="33C1BEA0" w14:textId="5085E643" w:rsidR="00B43672" w:rsidRPr="00973C14" w:rsidRDefault="00B43672" w:rsidP="00B43672">
      <w:pPr>
        <w:pStyle w:val="FirstParagraph"/>
        <w:spacing w:after="200"/>
        <w:rPr>
          <w:rFonts w:ascii="Calibri" w:hAnsi="Calibri"/>
        </w:rPr>
      </w:pPr>
      <w:r w:rsidRPr="00973C14">
        <w:rPr>
          <w:rFonts w:ascii="Calibri" w:hAnsi="Calibri"/>
        </w:rPr>
        <w:t xml:space="preserve">The SCAP involved the projection of losses on loans, assets held in investment portfolios, and trading-related exposures, as well as </w:t>
      </w:r>
      <w:r w:rsidR="00FF2FAC">
        <w:rPr>
          <w:rFonts w:ascii="Calibri" w:hAnsi="Calibri"/>
        </w:rPr>
        <w:t>a</w:t>
      </w:r>
      <w:r w:rsidRPr="00973C14">
        <w:rPr>
          <w:rFonts w:ascii="Calibri" w:hAnsi="Calibri"/>
        </w:rPr>
        <w:t xml:space="preserve"> firm's capacity to absorb losses that all combined to determine a sufficient capital level to support lending under a worse-than-expected macroeconomic scenario. Given the heightened uncertainty about the economic outlook and losses in the banking system, and the possibility for adverse economic outcomes to be magnified through the banking system, supervisors believed it “prudent for large BHCs to hold substantial capital to absorb losses” should the economic downturn be longer and deeper than anticipated. (FRS April 2009).  In this sense, the tests represented a set of "what-if" scenarios and were not a set of estimates or projections. (FRS May 2009).</w:t>
      </w:r>
    </w:p>
    <w:p w14:paraId="77237310" w14:textId="3B57DD9D" w:rsidR="00A0043A" w:rsidRPr="00973C14" w:rsidRDefault="00A0043A" w:rsidP="008B65AC">
      <w:pPr>
        <w:pStyle w:val="BodyText"/>
        <w:spacing w:after="200"/>
        <w:rPr>
          <w:rFonts w:ascii="Calibri" w:hAnsi="Calibri"/>
        </w:rPr>
      </w:pPr>
      <w:r w:rsidRPr="00973C14">
        <w:rPr>
          <w:rFonts w:ascii="Calibri" w:hAnsi="Calibri"/>
        </w:rPr>
        <w:t>The SCAP was an important complement to the Treasury’s support of the banking system. The Federal Reserve System (Fed) believed that the SCAP would help ensure the strength of the banking sector and revive markets’ confidence in the banks. It believed that the program would help protect the taxpayers’ investments in U.S. financial institutions. (F</w:t>
      </w:r>
      <w:r w:rsidR="00DE1B3F">
        <w:rPr>
          <w:rFonts w:ascii="Calibri" w:hAnsi="Calibri"/>
        </w:rPr>
        <w:t>R</w:t>
      </w:r>
      <w:r w:rsidRPr="00973C14">
        <w:rPr>
          <w:rFonts w:ascii="Calibri" w:hAnsi="Calibri"/>
        </w:rPr>
        <w:t xml:space="preserve">S May 2010). It also believed the high level of transparency would help rebuild confidence in the banking system. In its results, the Fed noted, “[t]he decision to depart from the standard practice of keeping examination information confidential stemmed from the belief that greater clarity around the SCAP process and findings will make the exercise more effective at reducing uncertainty and restoring confidence in our financial institutions.” Some two weeks later, Treasury Secretary Geithner’s statement before the Senate Banking Committee on May 20, 2009 stated the review </w:t>
      </w:r>
      <w:r w:rsidRPr="00973C14">
        <w:rPr>
          <w:rFonts w:ascii="Calibri" w:hAnsi="Calibri"/>
        </w:rPr>
        <w:lastRenderedPageBreak/>
        <w:t>conducted under the SCAP was indeed “helping to increase confidence in the financial system.” (Geithner 2009).</w:t>
      </w:r>
    </w:p>
    <w:p w14:paraId="573042E9" w14:textId="77777777" w:rsidR="00EF0A0B" w:rsidRPr="00973C14" w:rsidRDefault="008C1901" w:rsidP="008B65AC">
      <w:pPr>
        <w:pStyle w:val="Heading3"/>
        <w:spacing w:after="200"/>
        <w:rPr>
          <w:rFonts w:ascii="Calibri" w:hAnsi="Calibri"/>
          <w:color w:val="auto"/>
          <w:sz w:val="24"/>
          <w:szCs w:val="24"/>
        </w:rPr>
      </w:pPr>
      <w:bookmarkStart w:id="4" w:name="outcomes"/>
      <w:bookmarkEnd w:id="4"/>
      <w:r w:rsidRPr="00973C14">
        <w:rPr>
          <w:rFonts w:ascii="Calibri" w:hAnsi="Calibri"/>
          <w:color w:val="auto"/>
          <w:sz w:val="24"/>
          <w:szCs w:val="24"/>
        </w:rPr>
        <w:t>Outcomes</w:t>
      </w:r>
    </w:p>
    <w:p w14:paraId="7183D688" w14:textId="749055A5" w:rsidR="00EF0A0B" w:rsidRPr="00973C14" w:rsidRDefault="00450497" w:rsidP="008B65AC">
      <w:pPr>
        <w:pStyle w:val="FirstParagraph"/>
        <w:spacing w:after="200"/>
        <w:rPr>
          <w:rFonts w:ascii="Calibri" w:hAnsi="Calibri"/>
        </w:rPr>
      </w:pPr>
      <w:r w:rsidRPr="00973C14">
        <w:rPr>
          <w:rFonts w:ascii="Calibri" w:hAnsi="Calibri"/>
        </w:rPr>
        <w:t xml:space="preserve">The Fed provided </w:t>
      </w:r>
      <w:r w:rsidR="00C85140" w:rsidRPr="00973C14">
        <w:rPr>
          <w:rFonts w:ascii="Calibri" w:hAnsi="Calibri"/>
        </w:rPr>
        <w:t xml:space="preserve">loan </w:t>
      </w:r>
      <w:r w:rsidRPr="00973C14">
        <w:rPr>
          <w:rFonts w:ascii="Calibri" w:hAnsi="Calibri"/>
        </w:rPr>
        <w:t xml:space="preserve">loss rates under two different macroeconomic environments—“baseline” and “more adverse”—to guide SCAP estimates. </w:t>
      </w:r>
      <w:r w:rsidR="008C1901" w:rsidRPr="00973C14">
        <w:rPr>
          <w:rFonts w:ascii="Calibri" w:hAnsi="Calibri"/>
        </w:rPr>
        <w:t>The SCAP found a more adverse economic scenario would result in losses of some $600 billion among the</w:t>
      </w:r>
      <w:r w:rsidR="00AA5905">
        <w:rPr>
          <w:rFonts w:ascii="Calibri" w:hAnsi="Calibri"/>
        </w:rPr>
        <w:t xml:space="preserve"> 19</w:t>
      </w:r>
      <w:r w:rsidR="00B439A5" w:rsidRPr="00973C14">
        <w:rPr>
          <w:rFonts w:ascii="Calibri" w:hAnsi="Calibri"/>
        </w:rPr>
        <w:t xml:space="preserve"> largest </w:t>
      </w:r>
      <w:r w:rsidR="002143ED">
        <w:rPr>
          <w:rFonts w:ascii="Calibri" w:hAnsi="Calibri"/>
        </w:rPr>
        <w:t>BHCs</w:t>
      </w:r>
      <w:r w:rsidR="006711B8">
        <w:rPr>
          <w:rFonts w:ascii="Calibri" w:hAnsi="Calibri"/>
        </w:rPr>
        <w:t xml:space="preserve"> </w:t>
      </w:r>
      <w:r w:rsidR="00FC7E11" w:rsidRPr="00973C14">
        <w:rPr>
          <w:rFonts w:ascii="Calibri" w:hAnsi="Calibri"/>
        </w:rPr>
        <w:t xml:space="preserve">from 2009 to </w:t>
      </w:r>
      <w:r w:rsidR="008C1901" w:rsidRPr="00973C14">
        <w:rPr>
          <w:rFonts w:ascii="Calibri" w:hAnsi="Calibri"/>
        </w:rPr>
        <w:t>2010, implying total losses of $950 billion from mid-2007 to the end of 2010</w:t>
      </w:r>
      <w:r w:rsidR="00E370D9" w:rsidRPr="00973C14">
        <w:rPr>
          <w:rFonts w:ascii="Calibri" w:hAnsi="Calibri"/>
        </w:rPr>
        <w:t xml:space="preserve"> when charge-offs and write-downs already recognized by the firms</w:t>
      </w:r>
      <w:r w:rsidR="00B24C55" w:rsidRPr="00973C14">
        <w:rPr>
          <w:rFonts w:ascii="Calibri" w:hAnsi="Calibri"/>
        </w:rPr>
        <w:t xml:space="preserve"> of about $350 billion</w:t>
      </w:r>
      <w:r w:rsidR="00495A36" w:rsidRPr="00973C14">
        <w:rPr>
          <w:rFonts w:ascii="Calibri" w:hAnsi="Calibri"/>
        </w:rPr>
        <w:t xml:space="preserve"> </w:t>
      </w:r>
      <w:r w:rsidR="00E370D9" w:rsidRPr="00973C14">
        <w:rPr>
          <w:rFonts w:ascii="Calibri" w:hAnsi="Calibri"/>
        </w:rPr>
        <w:t>were included</w:t>
      </w:r>
      <w:r w:rsidR="008C1901" w:rsidRPr="00973C14">
        <w:rPr>
          <w:rFonts w:ascii="Calibri" w:hAnsi="Calibri"/>
        </w:rPr>
        <w:t>. The same firms held some $835 billion in Tier 1 capital in Q4 2008 and all exceeded their minimum regulatory capital standards.</w:t>
      </w:r>
      <w:r w:rsidR="00B52B77" w:rsidRPr="00973C14">
        <w:rPr>
          <w:rFonts w:ascii="Calibri" w:hAnsi="Calibri"/>
        </w:rPr>
        <w:t xml:space="preserve"> (FRS May 2009).</w:t>
      </w:r>
    </w:p>
    <w:p w14:paraId="69CA2334" w14:textId="79A6BADB" w:rsidR="00EF0A0B" w:rsidRPr="00973C14" w:rsidRDefault="008C1901" w:rsidP="008B65AC">
      <w:pPr>
        <w:pStyle w:val="BodyText"/>
        <w:spacing w:after="200"/>
        <w:rPr>
          <w:rFonts w:ascii="Calibri" w:hAnsi="Calibri"/>
        </w:rPr>
      </w:pPr>
      <w:r w:rsidRPr="00973C14">
        <w:rPr>
          <w:rFonts w:ascii="Calibri" w:hAnsi="Calibri"/>
        </w:rPr>
        <w:t>This suggested the firms had enough capacity to handle the $600 billion in losses through 2010</w:t>
      </w:r>
      <w:r w:rsidR="007F3E17">
        <w:rPr>
          <w:rFonts w:ascii="Calibri" w:hAnsi="Calibri"/>
        </w:rPr>
        <w:t>, and</w:t>
      </w:r>
      <w:r w:rsidRPr="00973C14">
        <w:rPr>
          <w:rFonts w:ascii="Calibri" w:hAnsi="Calibri"/>
        </w:rPr>
        <w:t xml:space="preserve"> the firms would also generate revenues through the same period that could be used to offset losses, although firms would also </w:t>
      </w:r>
      <w:bookmarkStart w:id="5" w:name="_GoBack"/>
      <w:bookmarkEnd w:id="5"/>
      <w:r w:rsidRPr="00973C14">
        <w:rPr>
          <w:rFonts w:ascii="Calibri" w:hAnsi="Calibri"/>
        </w:rPr>
        <w:t>need to build reserves against credit problems beyond 2010. Combining these factors, supervisors found the firms needed to add $75 billion more in capital buffers to meet the SCAP target buffer by the end of 2010 after accounting for Q1 2009 revenues under the “more adverse” scenario.</w:t>
      </w:r>
    </w:p>
    <w:p w14:paraId="22D5533A" w14:textId="565105B6" w:rsidR="00BA586D" w:rsidRPr="00973C14" w:rsidRDefault="00BA586D" w:rsidP="00BA586D">
      <w:pPr>
        <w:pStyle w:val="BodyText"/>
        <w:spacing w:after="200"/>
        <w:rPr>
          <w:rFonts w:ascii="Calibri" w:hAnsi="Calibri"/>
        </w:rPr>
      </w:pPr>
      <w:r w:rsidRPr="00973C14">
        <w:rPr>
          <w:rFonts w:ascii="Calibri" w:hAnsi="Calibri"/>
        </w:rPr>
        <w:t xml:space="preserve">Nine of the </w:t>
      </w:r>
      <w:r w:rsidR="00B90669">
        <w:rPr>
          <w:rFonts w:ascii="Calibri" w:hAnsi="Calibri"/>
        </w:rPr>
        <w:t>19</w:t>
      </w:r>
      <w:r w:rsidRPr="00973C14">
        <w:rPr>
          <w:rFonts w:ascii="Calibri" w:hAnsi="Calibri"/>
        </w:rPr>
        <w:t xml:space="preserve"> firms involved were sufficiently capitalized for the four percent Tier 1 Common capital and six percent Tier 1 capital targets established by the SCAP and almost all the firms had enough overall Tier 1 capital to withstand the more adverse scenario. Ten firms required $75 billion in additional capital. These 10 firms had virtually no shortfall in </w:t>
      </w:r>
      <w:r w:rsidR="00BA3673">
        <w:rPr>
          <w:rFonts w:ascii="Calibri" w:hAnsi="Calibri"/>
        </w:rPr>
        <w:t xml:space="preserve">overall </w:t>
      </w:r>
      <w:r w:rsidRPr="00973C14">
        <w:rPr>
          <w:rFonts w:ascii="Calibri" w:hAnsi="Calibri"/>
        </w:rPr>
        <w:t>Tier 1 capital</w:t>
      </w:r>
      <w:r w:rsidR="006279F4" w:rsidRPr="00973C14">
        <w:rPr>
          <w:rStyle w:val="FootnoteReference"/>
          <w:rFonts w:ascii="Calibri" w:hAnsi="Calibri"/>
        </w:rPr>
        <w:footnoteReference w:id="2"/>
      </w:r>
      <w:r w:rsidR="006279F4" w:rsidRPr="00973C14">
        <w:rPr>
          <w:rFonts w:ascii="Calibri" w:hAnsi="Calibri"/>
        </w:rPr>
        <w:t xml:space="preserve"> </w:t>
      </w:r>
      <w:r w:rsidRPr="00973C14">
        <w:rPr>
          <w:rFonts w:ascii="Calibri" w:hAnsi="Calibri"/>
        </w:rPr>
        <w:t xml:space="preserve"> but instead had insufficient common equity. Therefore, the 10 firms needed to increase their capital by increasing their Tier 1 Common capital</w:t>
      </w:r>
      <w:r w:rsidR="00214049" w:rsidRPr="00973C14">
        <w:rPr>
          <w:rStyle w:val="FootnoteReference"/>
          <w:rFonts w:ascii="Calibri" w:hAnsi="Calibri"/>
        </w:rPr>
        <w:footnoteReference w:id="3"/>
      </w:r>
      <w:r w:rsidRPr="00973C14">
        <w:rPr>
          <w:rFonts w:ascii="Calibri" w:hAnsi="Calibri"/>
        </w:rPr>
        <w:t>. Figure 1 shows the results by firm.</w:t>
      </w:r>
    </w:p>
    <w:p w14:paraId="6CE6B009" w14:textId="474FE037" w:rsidR="00EF0A0B" w:rsidRPr="00973C14" w:rsidRDefault="008C1901" w:rsidP="008B65AC">
      <w:pPr>
        <w:pStyle w:val="BodyText"/>
        <w:spacing w:after="200"/>
        <w:rPr>
          <w:rFonts w:ascii="Calibri" w:hAnsi="Calibri"/>
        </w:rPr>
      </w:pPr>
      <w:r w:rsidRPr="00973C14">
        <w:rPr>
          <w:rFonts w:ascii="Calibri" w:hAnsi="Calibri"/>
        </w:rPr>
        <w:t xml:space="preserve">Initial reactions to the stress tests were "generally positive," although some market commentators questioned the use of the Tier 1 Common capital ratio instead of the tangible common equity (TCE) ratio, which many had originally assumed would be the supervisors' benchmark. Where the Tier 1 Common capital ratio is the capital of common shareholders as a </w:t>
      </w:r>
      <w:r w:rsidRPr="00973C14">
        <w:rPr>
          <w:rFonts w:ascii="Calibri" w:hAnsi="Calibri"/>
        </w:rPr>
        <w:lastRenderedPageBreak/>
        <w:t>percent of risk-weighted assets, the TCE ratio is equity less intangible assets, goodwill and preferred stock equity as a percent of tangible assets, which are the company’s total assets less goodwill and intangibles.</w:t>
      </w:r>
      <w:r w:rsidR="00A55536" w:rsidRPr="00973C14">
        <w:rPr>
          <w:rFonts w:ascii="Calibri" w:hAnsi="Calibri"/>
        </w:rPr>
        <w:t xml:space="preserve"> (Wall Street Journal, May 9 2009).</w:t>
      </w:r>
    </w:p>
    <w:p w14:paraId="68FC2C8C" w14:textId="559A6810" w:rsidR="00EF0A0B" w:rsidRPr="00973C14" w:rsidRDefault="009D709A" w:rsidP="008B65AC">
      <w:pPr>
        <w:pStyle w:val="BodyText"/>
        <w:spacing w:after="200"/>
        <w:rPr>
          <w:rFonts w:ascii="Calibri" w:hAnsi="Calibri"/>
        </w:rPr>
      </w:pPr>
      <w:r w:rsidRPr="00973C14">
        <w:rPr>
          <w:rFonts w:ascii="Calibri" w:hAnsi="Calibri"/>
        </w:rPr>
        <w:t>The Office of Financial Stability (</w:t>
      </w:r>
      <w:r w:rsidR="008C1901" w:rsidRPr="00973C14">
        <w:rPr>
          <w:rFonts w:ascii="Calibri" w:hAnsi="Calibri"/>
        </w:rPr>
        <w:t>OFS</w:t>
      </w:r>
      <w:r w:rsidRPr="00973C14">
        <w:rPr>
          <w:rFonts w:ascii="Calibri" w:hAnsi="Calibri"/>
        </w:rPr>
        <w:t>)</w:t>
      </w:r>
      <w:r w:rsidR="008C1901" w:rsidRPr="00973C14">
        <w:rPr>
          <w:rFonts w:ascii="Calibri" w:hAnsi="Calibri"/>
        </w:rPr>
        <w:t xml:space="preserve"> reported that since the release of the results of the SCAP, the institutions subject to the stress test altogether increased their requisite capital by over $150 billion </w:t>
      </w:r>
      <w:r w:rsidR="00627B35">
        <w:rPr>
          <w:rFonts w:ascii="Calibri" w:hAnsi="Calibri"/>
        </w:rPr>
        <w:t>through</w:t>
      </w:r>
      <w:r w:rsidR="008C1901" w:rsidRPr="00973C14">
        <w:rPr>
          <w:rFonts w:ascii="Calibri" w:hAnsi="Calibri"/>
        </w:rPr>
        <w:t xml:space="preserve"> September 2010. Additionally, OFS emphasized that after the SCAP participating </w:t>
      </w:r>
      <w:r w:rsidR="000E4D25" w:rsidRPr="00973C14">
        <w:rPr>
          <w:rFonts w:ascii="Calibri" w:hAnsi="Calibri"/>
        </w:rPr>
        <w:t>BHCs</w:t>
      </w:r>
      <w:r w:rsidR="007709C6" w:rsidRPr="00973C14">
        <w:rPr>
          <w:rFonts w:ascii="Calibri" w:hAnsi="Calibri"/>
        </w:rPr>
        <w:t xml:space="preserve"> </w:t>
      </w:r>
      <w:r w:rsidR="008C1901" w:rsidRPr="00973C14">
        <w:rPr>
          <w:rFonts w:ascii="Calibri" w:hAnsi="Calibri"/>
        </w:rPr>
        <w:t>raised this additional capital, more than 80 other banks raised sufficient capital to repay the TARP investments made by the Treasury (although not through the CAP).</w:t>
      </w:r>
      <w:r w:rsidR="003965AC" w:rsidRPr="00973C14">
        <w:rPr>
          <w:rFonts w:ascii="Calibri" w:hAnsi="Calibri"/>
        </w:rPr>
        <w:t xml:space="preserve"> (OFS 2010).</w:t>
      </w:r>
    </w:p>
    <w:p w14:paraId="1D64217B" w14:textId="77777777" w:rsidR="002B4BDE" w:rsidRPr="00973C14" w:rsidRDefault="002B4BDE" w:rsidP="002B4BDE">
      <w:pPr>
        <w:pBdr>
          <w:bottom w:val="single" w:sz="4" w:space="1" w:color="auto"/>
        </w:pBdr>
        <w:rPr>
          <w:rFonts w:ascii="Calibri" w:hAnsi="Calibri" w:cs="Arial"/>
          <w:b/>
          <w:szCs w:val="22"/>
        </w:rPr>
      </w:pPr>
      <w:r w:rsidRPr="00973C14">
        <w:rPr>
          <w:rFonts w:ascii="Calibri" w:hAnsi="Calibri" w:cs="Arial"/>
          <w:b/>
          <w:szCs w:val="22"/>
        </w:rPr>
        <w:t>Figure 1: SCAP Results</w:t>
      </w:r>
    </w:p>
    <w:tbl>
      <w:tblPr>
        <w:tblW w:w="9375" w:type="dxa"/>
        <w:tblInd w:w="93" w:type="dxa"/>
        <w:tblLook w:val="04A0" w:firstRow="1" w:lastRow="0" w:firstColumn="1" w:lastColumn="0" w:noHBand="0" w:noVBand="1"/>
      </w:tblPr>
      <w:tblGrid>
        <w:gridCol w:w="2840"/>
        <w:gridCol w:w="2840"/>
        <w:gridCol w:w="3695"/>
      </w:tblGrid>
      <w:tr w:rsidR="002B4BDE" w:rsidRPr="00973C14" w14:paraId="28A71DE0" w14:textId="77777777" w:rsidTr="00E33B31">
        <w:trPr>
          <w:trHeight w:val="87"/>
        </w:trPr>
        <w:tc>
          <w:tcPr>
            <w:tcW w:w="2840" w:type="dxa"/>
            <w:tcBorders>
              <w:top w:val="nil"/>
              <w:left w:val="nil"/>
              <w:bottom w:val="nil"/>
              <w:right w:val="nil"/>
            </w:tcBorders>
            <w:shd w:val="clear" w:color="auto" w:fill="auto"/>
            <w:vAlign w:val="center"/>
            <w:hideMark/>
          </w:tcPr>
          <w:p w14:paraId="25653C29" w14:textId="77777777" w:rsidR="002B4BDE" w:rsidRPr="00973C14" w:rsidRDefault="002B4BDE" w:rsidP="00E33B31">
            <w:pPr>
              <w:spacing w:after="0"/>
              <w:rPr>
                <w:rFonts w:ascii="Calibri" w:hAnsi="Calibri"/>
                <w:b/>
                <w:bCs/>
                <w:color w:val="000000"/>
                <w:sz w:val="18"/>
                <w:szCs w:val="18"/>
              </w:rPr>
            </w:pPr>
            <w:r w:rsidRPr="00973C14">
              <w:rPr>
                <w:rFonts w:ascii="Calibri" w:hAnsi="Calibri" w:cs="Arial"/>
                <w:b/>
                <w:bCs/>
                <w:color w:val="000000"/>
                <w:sz w:val="18"/>
                <w:szCs w:val="18"/>
              </w:rPr>
              <w:t>Firm</w:t>
            </w:r>
          </w:p>
        </w:tc>
        <w:tc>
          <w:tcPr>
            <w:tcW w:w="2840" w:type="dxa"/>
            <w:tcBorders>
              <w:top w:val="nil"/>
              <w:left w:val="nil"/>
              <w:bottom w:val="nil"/>
              <w:right w:val="nil"/>
            </w:tcBorders>
            <w:shd w:val="clear" w:color="auto" w:fill="auto"/>
            <w:vAlign w:val="center"/>
            <w:hideMark/>
          </w:tcPr>
          <w:p w14:paraId="37C1A785" w14:textId="77777777" w:rsidR="002B4BDE" w:rsidRPr="00973C14" w:rsidRDefault="002B4BDE" w:rsidP="00E33B31">
            <w:pPr>
              <w:spacing w:after="0"/>
              <w:rPr>
                <w:rFonts w:ascii="Calibri" w:hAnsi="Calibri"/>
                <w:b/>
                <w:bCs/>
                <w:color w:val="000000"/>
                <w:sz w:val="18"/>
                <w:szCs w:val="18"/>
              </w:rPr>
            </w:pPr>
            <w:r w:rsidRPr="00973C14">
              <w:rPr>
                <w:rFonts w:ascii="Calibri" w:hAnsi="Calibri" w:cs="Arial"/>
                <w:b/>
                <w:bCs/>
                <w:color w:val="000000"/>
                <w:sz w:val="18"/>
                <w:szCs w:val="18"/>
              </w:rPr>
              <w:t>Additional Capital Required</w:t>
            </w:r>
          </w:p>
        </w:tc>
        <w:tc>
          <w:tcPr>
            <w:tcW w:w="3695" w:type="dxa"/>
            <w:tcBorders>
              <w:top w:val="nil"/>
              <w:left w:val="nil"/>
              <w:bottom w:val="nil"/>
              <w:right w:val="nil"/>
            </w:tcBorders>
            <w:shd w:val="clear" w:color="auto" w:fill="auto"/>
            <w:noWrap/>
            <w:vAlign w:val="bottom"/>
            <w:hideMark/>
          </w:tcPr>
          <w:p w14:paraId="1B445CC1" w14:textId="77777777" w:rsidR="002B4BDE" w:rsidRPr="00973C14" w:rsidRDefault="002B4BDE" w:rsidP="00E33B31">
            <w:pPr>
              <w:spacing w:after="0"/>
              <w:rPr>
                <w:rFonts w:ascii="Calibri" w:hAnsi="Calibri"/>
                <w:color w:val="000000"/>
                <w:szCs w:val="22"/>
              </w:rPr>
            </w:pPr>
          </w:p>
        </w:tc>
      </w:tr>
      <w:tr w:rsidR="002B4BDE" w:rsidRPr="00973C14" w14:paraId="3E0BCC03" w14:textId="77777777" w:rsidTr="00E33B31">
        <w:trPr>
          <w:trHeight w:val="126"/>
        </w:trPr>
        <w:tc>
          <w:tcPr>
            <w:tcW w:w="2840" w:type="dxa"/>
            <w:tcBorders>
              <w:top w:val="nil"/>
              <w:left w:val="nil"/>
              <w:bottom w:val="nil"/>
              <w:right w:val="nil"/>
            </w:tcBorders>
            <w:shd w:val="clear" w:color="000000" w:fill="D9D9D9"/>
            <w:vAlign w:val="center"/>
            <w:hideMark/>
          </w:tcPr>
          <w:p w14:paraId="2E31D1F9"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Bank of America</w:t>
            </w:r>
          </w:p>
        </w:tc>
        <w:tc>
          <w:tcPr>
            <w:tcW w:w="2840" w:type="dxa"/>
            <w:tcBorders>
              <w:top w:val="nil"/>
              <w:left w:val="nil"/>
              <w:bottom w:val="nil"/>
              <w:right w:val="nil"/>
            </w:tcBorders>
            <w:shd w:val="clear" w:color="000000" w:fill="D9D9D9"/>
            <w:vAlign w:val="center"/>
            <w:hideMark/>
          </w:tcPr>
          <w:p w14:paraId="48510EC1"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$33.9 billion</w:t>
            </w:r>
          </w:p>
        </w:tc>
        <w:tc>
          <w:tcPr>
            <w:tcW w:w="3695" w:type="dxa"/>
            <w:tcBorders>
              <w:top w:val="nil"/>
              <w:left w:val="nil"/>
              <w:bottom w:val="nil"/>
              <w:right w:val="nil"/>
            </w:tcBorders>
            <w:shd w:val="clear" w:color="000000" w:fill="D9D9D9"/>
            <w:noWrap/>
            <w:vAlign w:val="bottom"/>
            <w:hideMark/>
          </w:tcPr>
          <w:p w14:paraId="68AFDF06" w14:textId="77777777" w:rsidR="002B4BDE" w:rsidRPr="00973C14" w:rsidRDefault="002B4BDE" w:rsidP="00E33B31">
            <w:pPr>
              <w:spacing w:after="0"/>
              <w:rPr>
                <w:rFonts w:ascii="Calibri" w:hAnsi="Calibri"/>
                <w:color w:val="000000"/>
                <w:szCs w:val="22"/>
              </w:rPr>
            </w:pPr>
            <w:r w:rsidRPr="00973C14">
              <w:rPr>
                <w:rFonts w:ascii="Calibri" w:hAnsi="Calibri"/>
                <w:color w:val="000000"/>
                <w:szCs w:val="22"/>
              </w:rPr>
              <w:t> </w:t>
            </w:r>
          </w:p>
        </w:tc>
      </w:tr>
      <w:tr w:rsidR="002B4BDE" w:rsidRPr="00973C14" w14:paraId="79EA7D0E" w14:textId="77777777" w:rsidTr="00E33B31">
        <w:trPr>
          <w:trHeight w:val="285"/>
        </w:trPr>
        <w:tc>
          <w:tcPr>
            <w:tcW w:w="2840" w:type="dxa"/>
            <w:tcBorders>
              <w:top w:val="nil"/>
              <w:left w:val="nil"/>
              <w:bottom w:val="nil"/>
              <w:right w:val="nil"/>
            </w:tcBorders>
            <w:shd w:val="clear" w:color="auto" w:fill="auto"/>
            <w:vAlign w:val="center"/>
            <w:hideMark/>
          </w:tcPr>
          <w:p w14:paraId="659E58F8"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Wells Fargo</w:t>
            </w:r>
          </w:p>
        </w:tc>
        <w:tc>
          <w:tcPr>
            <w:tcW w:w="2840" w:type="dxa"/>
            <w:tcBorders>
              <w:top w:val="nil"/>
              <w:left w:val="nil"/>
              <w:bottom w:val="nil"/>
              <w:right w:val="nil"/>
            </w:tcBorders>
            <w:shd w:val="clear" w:color="auto" w:fill="auto"/>
            <w:vAlign w:val="center"/>
            <w:hideMark/>
          </w:tcPr>
          <w:p w14:paraId="06C7FFAF"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$13.7 billion</w:t>
            </w:r>
          </w:p>
        </w:tc>
        <w:tc>
          <w:tcPr>
            <w:tcW w:w="3695" w:type="dxa"/>
            <w:tcBorders>
              <w:top w:val="nil"/>
              <w:left w:val="nil"/>
              <w:bottom w:val="nil"/>
              <w:right w:val="nil"/>
            </w:tcBorders>
            <w:shd w:val="clear" w:color="auto" w:fill="auto"/>
            <w:noWrap/>
            <w:vAlign w:val="bottom"/>
            <w:hideMark/>
          </w:tcPr>
          <w:p w14:paraId="41A88B08" w14:textId="77777777" w:rsidR="002B4BDE" w:rsidRPr="00973C14" w:rsidRDefault="002B4BDE" w:rsidP="00E33B31">
            <w:pPr>
              <w:spacing w:after="0"/>
              <w:rPr>
                <w:rFonts w:ascii="Calibri" w:hAnsi="Calibri"/>
                <w:color w:val="000000"/>
                <w:szCs w:val="22"/>
              </w:rPr>
            </w:pPr>
          </w:p>
        </w:tc>
      </w:tr>
      <w:tr w:rsidR="002B4BDE" w:rsidRPr="00973C14" w14:paraId="0FD22E18" w14:textId="77777777" w:rsidTr="00E33B31">
        <w:trPr>
          <w:trHeight w:val="285"/>
        </w:trPr>
        <w:tc>
          <w:tcPr>
            <w:tcW w:w="2840" w:type="dxa"/>
            <w:tcBorders>
              <w:top w:val="nil"/>
              <w:left w:val="nil"/>
              <w:bottom w:val="nil"/>
              <w:right w:val="nil"/>
            </w:tcBorders>
            <w:shd w:val="clear" w:color="000000" w:fill="D9D9D9"/>
            <w:vAlign w:val="center"/>
            <w:hideMark/>
          </w:tcPr>
          <w:p w14:paraId="33CC8968"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GMAC</w:t>
            </w:r>
          </w:p>
        </w:tc>
        <w:tc>
          <w:tcPr>
            <w:tcW w:w="2840" w:type="dxa"/>
            <w:tcBorders>
              <w:top w:val="nil"/>
              <w:left w:val="nil"/>
              <w:bottom w:val="nil"/>
              <w:right w:val="nil"/>
            </w:tcBorders>
            <w:shd w:val="clear" w:color="000000" w:fill="D9D9D9"/>
            <w:vAlign w:val="center"/>
            <w:hideMark/>
          </w:tcPr>
          <w:p w14:paraId="48C0366B"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$11.5 billion</w:t>
            </w:r>
          </w:p>
        </w:tc>
        <w:tc>
          <w:tcPr>
            <w:tcW w:w="3695" w:type="dxa"/>
            <w:tcBorders>
              <w:top w:val="nil"/>
              <w:left w:val="nil"/>
              <w:bottom w:val="nil"/>
              <w:right w:val="nil"/>
            </w:tcBorders>
            <w:shd w:val="clear" w:color="000000" w:fill="D9D9D9"/>
            <w:noWrap/>
            <w:vAlign w:val="bottom"/>
            <w:hideMark/>
          </w:tcPr>
          <w:p w14:paraId="10F48655" w14:textId="77777777" w:rsidR="002B4BDE" w:rsidRPr="00973C14" w:rsidRDefault="002B4BDE" w:rsidP="00E33B31">
            <w:pPr>
              <w:spacing w:after="0"/>
              <w:rPr>
                <w:rFonts w:ascii="Calibri" w:hAnsi="Calibri"/>
                <w:color w:val="000000"/>
                <w:szCs w:val="22"/>
              </w:rPr>
            </w:pPr>
            <w:r w:rsidRPr="00973C14">
              <w:rPr>
                <w:rFonts w:ascii="Calibri" w:hAnsi="Calibri"/>
                <w:color w:val="000000"/>
                <w:szCs w:val="22"/>
              </w:rPr>
              <w:t> </w:t>
            </w:r>
          </w:p>
        </w:tc>
      </w:tr>
      <w:tr w:rsidR="002B4BDE" w:rsidRPr="00973C14" w14:paraId="05E65F7C" w14:textId="77777777" w:rsidTr="00E33B31">
        <w:trPr>
          <w:trHeight w:val="285"/>
        </w:trPr>
        <w:tc>
          <w:tcPr>
            <w:tcW w:w="2840" w:type="dxa"/>
            <w:tcBorders>
              <w:top w:val="nil"/>
              <w:left w:val="nil"/>
              <w:bottom w:val="nil"/>
              <w:right w:val="nil"/>
            </w:tcBorders>
            <w:shd w:val="clear" w:color="auto" w:fill="auto"/>
            <w:vAlign w:val="center"/>
            <w:hideMark/>
          </w:tcPr>
          <w:p w14:paraId="0D3EFF93"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Citigroup</w:t>
            </w:r>
          </w:p>
        </w:tc>
        <w:tc>
          <w:tcPr>
            <w:tcW w:w="2840" w:type="dxa"/>
            <w:tcBorders>
              <w:top w:val="nil"/>
              <w:left w:val="nil"/>
              <w:bottom w:val="nil"/>
              <w:right w:val="nil"/>
            </w:tcBorders>
            <w:shd w:val="clear" w:color="auto" w:fill="auto"/>
            <w:vAlign w:val="center"/>
            <w:hideMark/>
          </w:tcPr>
          <w:p w14:paraId="44DF6E5D"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$5.5 billion</w:t>
            </w:r>
          </w:p>
        </w:tc>
        <w:tc>
          <w:tcPr>
            <w:tcW w:w="3695" w:type="dxa"/>
            <w:tcBorders>
              <w:top w:val="nil"/>
              <w:left w:val="nil"/>
              <w:bottom w:val="nil"/>
              <w:right w:val="nil"/>
            </w:tcBorders>
            <w:shd w:val="clear" w:color="auto" w:fill="auto"/>
            <w:noWrap/>
            <w:vAlign w:val="bottom"/>
            <w:hideMark/>
          </w:tcPr>
          <w:p w14:paraId="4A99B5F5" w14:textId="77777777" w:rsidR="002B4BDE" w:rsidRPr="00973C14" w:rsidRDefault="002B4BDE" w:rsidP="00E33B31">
            <w:pPr>
              <w:spacing w:after="0"/>
              <w:rPr>
                <w:rFonts w:ascii="Calibri" w:hAnsi="Calibri"/>
                <w:color w:val="000000"/>
                <w:szCs w:val="22"/>
              </w:rPr>
            </w:pPr>
          </w:p>
        </w:tc>
      </w:tr>
      <w:tr w:rsidR="002B4BDE" w:rsidRPr="00973C14" w14:paraId="39A70512" w14:textId="77777777" w:rsidTr="00E33B31">
        <w:trPr>
          <w:trHeight w:val="285"/>
        </w:trPr>
        <w:tc>
          <w:tcPr>
            <w:tcW w:w="2840" w:type="dxa"/>
            <w:tcBorders>
              <w:top w:val="nil"/>
              <w:left w:val="nil"/>
              <w:bottom w:val="nil"/>
              <w:right w:val="nil"/>
            </w:tcBorders>
            <w:shd w:val="clear" w:color="000000" w:fill="D9D9D9"/>
            <w:vAlign w:val="center"/>
            <w:hideMark/>
          </w:tcPr>
          <w:p w14:paraId="71E9C59A"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Regions Financial Corp.</w:t>
            </w:r>
          </w:p>
        </w:tc>
        <w:tc>
          <w:tcPr>
            <w:tcW w:w="2840" w:type="dxa"/>
            <w:tcBorders>
              <w:top w:val="nil"/>
              <w:left w:val="nil"/>
              <w:bottom w:val="nil"/>
              <w:right w:val="nil"/>
            </w:tcBorders>
            <w:shd w:val="clear" w:color="000000" w:fill="D9D9D9"/>
            <w:vAlign w:val="center"/>
            <w:hideMark/>
          </w:tcPr>
          <w:p w14:paraId="304E8F92"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$2.5 billion</w:t>
            </w:r>
          </w:p>
        </w:tc>
        <w:tc>
          <w:tcPr>
            <w:tcW w:w="3695" w:type="dxa"/>
            <w:tcBorders>
              <w:top w:val="nil"/>
              <w:left w:val="nil"/>
              <w:bottom w:val="nil"/>
              <w:right w:val="nil"/>
            </w:tcBorders>
            <w:shd w:val="clear" w:color="000000" w:fill="D9D9D9"/>
            <w:noWrap/>
            <w:vAlign w:val="bottom"/>
            <w:hideMark/>
          </w:tcPr>
          <w:p w14:paraId="50E699CC" w14:textId="77777777" w:rsidR="002B4BDE" w:rsidRPr="00973C14" w:rsidRDefault="002B4BDE" w:rsidP="00E33B31">
            <w:pPr>
              <w:spacing w:after="0"/>
              <w:rPr>
                <w:rFonts w:ascii="Calibri" w:hAnsi="Calibri"/>
                <w:color w:val="000000"/>
                <w:szCs w:val="22"/>
              </w:rPr>
            </w:pPr>
            <w:r w:rsidRPr="00973C14">
              <w:rPr>
                <w:rFonts w:ascii="Calibri" w:hAnsi="Calibri"/>
                <w:color w:val="000000"/>
                <w:szCs w:val="22"/>
              </w:rPr>
              <w:t> </w:t>
            </w:r>
          </w:p>
        </w:tc>
      </w:tr>
      <w:tr w:rsidR="002B4BDE" w:rsidRPr="00973C14" w14:paraId="2F7C1F61" w14:textId="77777777" w:rsidTr="00E33B31">
        <w:trPr>
          <w:trHeight w:val="285"/>
        </w:trPr>
        <w:tc>
          <w:tcPr>
            <w:tcW w:w="2840" w:type="dxa"/>
            <w:tcBorders>
              <w:top w:val="nil"/>
              <w:left w:val="nil"/>
              <w:bottom w:val="nil"/>
              <w:right w:val="nil"/>
            </w:tcBorders>
            <w:shd w:val="clear" w:color="auto" w:fill="auto"/>
            <w:vAlign w:val="center"/>
            <w:hideMark/>
          </w:tcPr>
          <w:p w14:paraId="577A54D6"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SunTrust Banks</w:t>
            </w:r>
          </w:p>
        </w:tc>
        <w:tc>
          <w:tcPr>
            <w:tcW w:w="2840" w:type="dxa"/>
            <w:tcBorders>
              <w:top w:val="nil"/>
              <w:left w:val="nil"/>
              <w:bottom w:val="nil"/>
              <w:right w:val="nil"/>
            </w:tcBorders>
            <w:shd w:val="clear" w:color="auto" w:fill="auto"/>
            <w:vAlign w:val="center"/>
            <w:hideMark/>
          </w:tcPr>
          <w:p w14:paraId="0B1572A8"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$2.2 billion</w:t>
            </w:r>
          </w:p>
        </w:tc>
        <w:tc>
          <w:tcPr>
            <w:tcW w:w="3695" w:type="dxa"/>
            <w:tcBorders>
              <w:top w:val="nil"/>
              <w:left w:val="nil"/>
              <w:bottom w:val="nil"/>
              <w:right w:val="nil"/>
            </w:tcBorders>
            <w:shd w:val="clear" w:color="auto" w:fill="auto"/>
            <w:noWrap/>
            <w:vAlign w:val="bottom"/>
            <w:hideMark/>
          </w:tcPr>
          <w:p w14:paraId="50DC537F" w14:textId="77777777" w:rsidR="002B4BDE" w:rsidRPr="00973C14" w:rsidRDefault="002B4BDE" w:rsidP="00E33B31">
            <w:pPr>
              <w:spacing w:after="0"/>
              <w:rPr>
                <w:rFonts w:ascii="Calibri" w:hAnsi="Calibri"/>
                <w:color w:val="000000"/>
                <w:szCs w:val="22"/>
              </w:rPr>
            </w:pPr>
          </w:p>
        </w:tc>
      </w:tr>
      <w:tr w:rsidR="002B4BDE" w:rsidRPr="00973C14" w14:paraId="164FC422" w14:textId="77777777" w:rsidTr="00E33B31">
        <w:trPr>
          <w:trHeight w:val="285"/>
        </w:trPr>
        <w:tc>
          <w:tcPr>
            <w:tcW w:w="2840" w:type="dxa"/>
            <w:tcBorders>
              <w:top w:val="nil"/>
              <w:left w:val="nil"/>
              <w:bottom w:val="nil"/>
              <w:right w:val="nil"/>
            </w:tcBorders>
            <w:shd w:val="clear" w:color="000000" w:fill="D9D9D9"/>
            <w:vAlign w:val="center"/>
            <w:hideMark/>
          </w:tcPr>
          <w:p w14:paraId="47CCA9D3"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Morgan Stanley</w:t>
            </w:r>
          </w:p>
        </w:tc>
        <w:tc>
          <w:tcPr>
            <w:tcW w:w="2840" w:type="dxa"/>
            <w:tcBorders>
              <w:top w:val="nil"/>
              <w:left w:val="nil"/>
              <w:bottom w:val="nil"/>
              <w:right w:val="nil"/>
            </w:tcBorders>
            <w:shd w:val="clear" w:color="000000" w:fill="D9D9D9"/>
            <w:vAlign w:val="center"/>
            <w:hideMark/>
          </w:tcPr>
          <w:p w14:paraId="119BD879"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$1.8 billion</w:t>
            </w:r>
          </w:p>
        </w:tc>
        <w:tc>
          <w:tcPr>
            <w:tcW w:w="3695" w:type="dxa"/>
            <w:tcBorders>
              <w:top w:val="nil"/>
              <w:left w:val="nil"/>
              <w:bottom w:val="nil"/>
              <w:right w:val="nil"/>
            </w:tcBorders>
            <w:shd w:val="clear" w:color="000000" w:fill="D9D9D9"/>
            <w:noWrap/>
            <w:vAlign w:val="bottom"/>
            <w:hideMark/>
          </w:tcPr>
          <w:p w14:paraId="22CC651D" w14:textId="77777777" w:rsidR="002B4BDE" w:rsidRPr="00973C14" w:rsidRDefault="002B4BDE" w:rsidP="00E33B31">
            <w:pPr>
              <w:spacing w:after="0"/>
              <w:rPr>
                <w:rFonts w:ascii="Calibri" w:hAnsi="Calibri"/>
                <w:color w:val="000000"/>
                <w:szCs w:val="22"/>
              </w:rPr>
            </w:pPr>
            <w:r w:rsidRPr="00973C14">
              <w:rPr>
                <w:rFonts w:ascii="Calibri" w:hAnsi="Calibri"/>
                <w:color w:val="000000"/>
                <w:szCs w:val="22"/>
              </w:rPr>
              <w:t> </w:t>
            </w:r>
          </w:p>
        </w:tc>
      </w:tr>
      <w:tr w:rsidR="002B4BDE" w:rsidRPr="00973C14" w14:paraId="4C09BF34" w14:textId="77777777" w:rsidTr="00E33B31">
        <w:trPr>
          <w:trHeight w:val="285"/>
        </w:trPr>
        <w:tc>
          <w:tcPr>
            <w:tcW w:w="2840" w:type="dxa"/>
            <w:tcBorders>
              <w:top w:val="nil"/>
              <w:left w:val="nil"/>
              <w:bottom w:val="nil"/>
              <w:right w:val="nil"/>
            </w:tcBorders>
            <w:shd w:val="clear" w:color="auto" w:fill="auto"/>
            <w:vAlign w:val="center"/>
            <w:hideMark/>
          </w:tcPr>
          <w:p w14:paraId="0D24017B"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KeyCorp</w:t>
            </w:r>
          </w:p>
        </w:tc>
        <w:tc>
          <w:tcPr>
            <w:tcW w:w="2840" w:type="dxa"/>
            <w:tcBorders>
              <w:top w:val="nil"/>
              <w:left w:val="nil"/>
              <w:bottom w:val="nil"/>
              <w:right w:val="nil"/>
            </w:tcBorders>
            <w:shd w:val="clear" w:color="auto" w:fill="auto"/>
            <w:vAlign w:val="center"/>
            <w:hideMark/>
          </w:tcPr>
          <w:p w14:paraId="395976D8"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$1.8 billion</w:t>
            </w:r>
          </w:p>
        </w:tc>
        <w:tc>
          <w:tcPr>
            <w:tcW w:w="3695" w:type="dxa"/>
            <w:tcBorders>
              <w:top w:val="nil"/>
              <w:left w:val="nil"/>
              <w:bottom w:val="nil"/>
              <w:right w:val="nil"/>
            </w:tcBorders>
            <w:shd w:val="clear" w:color="auto" w:fill="auto"/>
            <w:noWrap/>
            <w:vAlign w:val="bottom"/>
            <w:hideMark/>
          </w:tcPr>
          <w:p w14:paraId="383107EC" w14:textId="77777777" w:rsidR="002B4BDE" w:rsidRPr="00973C14" w:rsidRDefault="002B4BDE" w:rsidP="00E33B31">
            <w:pPr>
              <w:spacing w:after="0"/>
              <w:rPr>
                <w:rFonts w:ascii="Calibri" w:hAnsi="Calibri"/>
                <w:color w:val="000000"/>
                <w:szCs w:val="22"/>
              </w:rPr>
            </w:pPr>
          </w:p>
        </w:tc>
      </w:tr>
      <w:tr w:rsidR="002B4BDE" w:rsidRPr="00973C14" w14:paraId="5B2F721A" w14:textId="77777777" w:rsidTr="00E33B31">
        <w:trPr>
          <w:trHeight w:val="285"/>
        </w:trPr>
        <w:tc>
          <w:tcPr>
            <w:tcW w:w="2840" w:type="dxa"/>
            <w:tcBorders>
              <w:top w:val="nil"/>
              <w:left w:val="nil"/>
              <w:bottom w:val="nil"/>
              <w:right w:val="nil"/>
            </w:tcBorders>
            <w:shd w:val="clear" w:color="000000" w:fill="D9D9D9"/>
            <w:vAlign w:val="center"/>
            <w:hideMark/>
          </w:tcPr>
          <w:p w14:paraId="2CF8F8E5"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Fifth Third Bank</w:t>
            </w:r>
          </w:p>
        </w:tc>
        <w:tc>
          <w:tcPr>
            <w:tcW w:w="2840" w:type="dxa"/>
            <w:tcBorders>
              <w:top w:val="nil"/>
              <w:left w:val="nil"/>
              <w:bottom w:val="nil"/>
              <w:right w:val="nil"/>
            </w:tcBorders>
            <w:shd w:val="clear" w:color="000000" w:fill="D9D9D9"/>
            <w:vAlign w:val="center"/>
            <w:hideMark/>
          </w:tcPr>
          <w:p w14:paraId="66713C36"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$1.1 billion</w:t>
            </w:r>
          </w:p>
        </w:tc>
        <w:tc>
          <w:tcPr>
            <w:tcW w:w="3695" w:type="dxa"/>
            <w:tcBorders>
              <w:top w:val="nil"/>
              <w:left w:val="nil"/>
              <w:bottom w:val="nil"/>
              <w:right w:val="nil"/>
            </w:tcBorders>
            <w:shd w:val="clear" w:color="000000" w:fill="D9D9D9"/>
            <w:noWrap/>
            <w:vAlign w:val="bottom"/>
            <w:hideMark/>
          </w:tcPr>
          <w:p w14:paraId="211FC759" w14:textId="77777777" w:rsidR="002B4BDE" w:rsidRPr="00973C14" w:rsidRDefault="002B4BDE" w:rsidP="00E33B31">
            <w:pPr>
              <w:spacing w:after="0"/>
              <w:rPr>
                <w:rFonts w:ascii="Calibri" w:hAnsi="Calibri"/>
                <w:color w:val="000000"/>
                <w:szCs w:val="22"/>
              </w:rPr>
            </w:pPr>
            <w:r w:rsidRPr="00973C14">
              <w:rPr>
                <w:rFonts w:ascii="Calibri" w:hAnsi="Calibri"/>
                <w:color w:val="000000"/>
                <w:szCs w:val="22"/>
              </w:rPr>
              <w:t> </w:t>
            </w:r>
          </w:p>
        </w:tc>
      </w:tr>
      <w:tr w:rsidR="002B4BDE" w:rsidRPr="00973C14" w14:paraId="2620C5F9" w14:textId="77777777" w:rsidTr="00E33B31">
        <w:trPr>
          <w:trHeight w:val="285"/>
        </w:trPr>
        <w:tc>
          <w:tcPr>
            <w:tcW w:w="2840" w:type="dxa"/>
            <w:tcBorders>
              <w:top w:val="nil"/>
              <w:left w:val="nil"/>
              <w:bottom w:val="nil"/>
              <w:right w:val="nil"/>
            </w:tcBorders>
            <w:shd w:val="clear" w:color="auto" w:fill="auto"/>
            <w:vAlign w:val="center"/>
            <w:hideMark/>
          </w:tcPr>
          <w:p w14:paraId="4639484E"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PNC</w:t>
            </w:r>
          </w:p>
        </w:tc>
        <w:tc>
          <w:tcPr>
            <w:tcW w:w="2840" w:type="dxa"/>
            <w:tcBorders>
              <w:top w:val="nil"/>
              <w:left w:val="nil"/>
              <w:bottom w:val="nil"/>
              <w:right w:val="nil"/>
            </w:tcBorders>
            <w:shd w:val="clear" w:color="auto" w:fill="auto"/>
            <w:vAlign w:val="center"/>
            <w:hideMark/>
          </w:tcPr>
          <w:p w14:paraId="1E97B1A7"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$0.6 billion</w:t>
            </w:r>
          </w:p>
        </w:tc>
        <w:tc>
          <w:tcPr>
            <w:tcW w:w="3695" w:type="dxa"/>
            <w:tcBorders>
              <w:top w:val="nil"/>
              <w:left w:val="nil"/>
              <w:bottom w:val="nil"/>
              <w:right w:val="nil"/>
            </w:tcBorders>
            <w:shd w:val="clear" w:color="auto" w:fill="auto"/>
            <w:noWrap/>
            <w:vAlign w:val="bottom"/>
            <w:hideMark/>
          </w:tcPr>
          <w:p w14:paraId="3C871AED" w14:textId="77777777" w:rsidR="002B4BDE" w:rsidRPr="00973C14" w:rsidRDefault="002B4BDE" w:rsidP="00E33B31">
            <w:pPr>
              <w:spacing w:after="0"/>
              <w:rPr>
                <w:rFonts w:ascii="Calibri" w:hAnsi="Calibri"/>
                <w:color w:val="000000"/>
                <w:szCs w:val="22"/>
              </w:rPr>
            </w:pPr>
          </w:p>
        </w:tc>
      </w:tr>
      <w:tr w:rsidR="002B4BDE" w:rsidRPr="00973C14" w14:paraId="7937BD8E" w14:textId="77777777" w:rsidTr="00E33B31">
        <w:trPr>
          <w:trHeight w:val="285"/>
        </w:trPr>
        <w:tc>
          <w:tcPr>
            <w:tcW w:w="2840" w:type="dxa"/>
            <w:tcBorders>
              <w:top w:val="nil"/>
              <w:left w:val="nil"/>
              <w:bottom w:val="nil"/>
              <w:right w:val="nil"/>
            </w:tcBorders>
            <w:shd w:val="clear" w:color="000000" w:fill="D9D9D9"/>
            <w:vAlign w:val="center"/>
            <w:hideMark/>
          </w:tcPr>
          <w:p w14:paraId="5257AD0F"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American Express</w:t>
            </w:r>
          </w:p>
        </w:tc>
        <w:tc>
          <w:tcPr>
            <w:tcW w:w="2840" w:type="dxa"/>
            <w:tcBorders>
              <w:top w:val="nil"/>
              <w:left w:val="nil"/>
              <w:bottom w:val="nil"/>
              <w:right w:val="nil"/>
            </w:tcBorders>
            <w:shd w:val="clear" w:color="000000" w:fill="D9D9D9"/>
            <w:vAlign w:val="center"/>
            <w:hideMark/>
          </w:tcPr>
          <w:p w14:paraId="0896FCDB"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Adequate</w:t>
            </w:r>
          </w:p>
        </w:tc>
        <w:tc>
          <w:tcPr>
            <w:tcW w:w="3695" w:type="dxa"/>
            <w:tcBorders>
              <w:top w:val="nil"/>
              <w:left w:val="nil"/>
              <w:bottom w:val="nil"/>
              <w:right w:val="nil"/>
            </w:tcBorders>
            <w:shd w:val="clear" w:color="000000" w:fill="D9D9D9"/>
            <w:noWrap/>
            <w:vAlign w:val="bottom"/>
            <w:hideMark/>
          </w:tcPr>
          <w:p w14:paraId="236F2052" w14:textId="77777777" w:rsidR="002B4BDE" w:rsidRPr="00973C14" w:rsidRDefault="002B4BDE" w:rsidP="00E33B31">
            <w:pPr>
              <w:spacing w:after="0"/>
              <w:rPr>
                <w:rFonts w:ascii="Calibri" w:hAnsi="Calibri"/>
                <w:color w:val="000000"/>
                <w:szCs w:val="22"/>
              </w:rPr>
            </w:pPr>
            <w:r w:rsidRPr="00973C14">
              <w:rPr>
                <w:rFonts w:ascii="Calibri" w:hAnsi="Calibri"/>
                <w:color w:val="000000"/>
                <w:szCs w:val="22"/>
              </w:rPr>
              <w:t> </w:t>
            </w:r>
          </w:p>
        </w:tc>
      </w:tr>
      <w:tr w:rsidR="002B4BDE" w:rsidRPr="00973C14" w14:paraId="38931124" w14:textId="77777777" w:rsidTr="00E33B31">
        <w:trPr>
          <w:trHeight w:val="285"/>
        </w:trPr>
        <w:tc>
          <w:tcPr>
            <w:tcW w:w="2840" w:type="dxa"/>
            <w:tcBorders>
              <w:top w:val="nil"/>
              <w:left w:val="nil"/>
              <w:bottom w:val="nil"/>
              <w:right w:val="nil"/>
            </w:tcBorders>
            <w:shd w:val="clear" w:color="auto" w:fill="auto"/>
            <w:vAlign w:val="center"/>
            <w:hideMark/>
          </w:tcPr>
          <w:p w14:paraId="6A6FF3A2"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Bank of New York Mellon</w:t>
            </w:r>
          </w:p>
        </w:tc>
        <w:tc>
          <w:tcPr>
            <w:tcW w:w="2840" w:type="dxa"/>
            <w:tcBorders>
              <w:top w:val="nil"/>
              <w:left w:val="nil"/>
              <w:bottom w:val="nil"/>
              <w:right w:val="nil"/>
            </w:tcBorders>
            <w:shd w:val="clear" w:color="auto" w:fill="auto"/>
            <w:vAlign w:val="center"/>
            <w:hideMark/>
          </w:tcPr>
          <w:p w14:paraId="63E28237"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Adequate</w:t>
            </w:r>
          </w:p>
        </w:tc>
        <w:tc>
          <w:tcPr>
            <w:tcW w:w="3695" w:type="dxa"/>
            <w:tcBorders>
              <w:top w:val="nil"/>
              <w:left w:val="nil"/>
              <w:bottom w:val="nil"/>
              <w:right w:val="nil"/>
            </w:tcBorders>
            <w:shd w:val="clear" w:color="auto" w:fill="auto"/>
            <w:noWrap/>
            <w:vAlign w:val="bottom"/>
            <w:hideMark/>
          </w:tcPr>
          <w:p w14:paraId="03AA5532" w14:textId="77777777" w:rsidR="002B4BDE" w:rsidRPr="00973C14" w:rsidRDefault="002B4BDE" w:rsidP="00E33B31">
            <w:pPr>
              <w:spacing w:after="0"/>
              <w:rPr>
                <w:rFonts w:ascii="Calibri" w:hAnsi="Calibri"/>
                <w:color w:val="000000"/>
                <w:szCs w:val="22"/>
              </w:rPr>
            </w:pPr>
          </w:p>
        </w:tc>
      </w:tr>
      <w:tr w:rsidR="002B4BDE" w:rsidRPr="00973C14" w14:paraId="7ED88F13" w14:textId="77777777" w:rsidTr="00E33B31">
        <w:trPr>
          <w:trHeight w:val="285"/>
        </w:trPr>
        <w:tc>
          <w:tcPr>
            <w:tcW w:w="2840" w:type="dxa"/>
            <w:tcBorders>
              <w:top w:val="nil"/>
              <w:left w:val="nil"/>
              <w:bottom w:val="nil"/>
              <w:right w:val="nil"/>
            </w:tcBorders>
            <w:shd w:val="clear" w:color="000000" w:fill="D9D9D9"/>
            <w:vAlign w:val="center"/>
            <w:hideMark/>
          </w:tcPr>
          <w:p w14:paraId="7D0571D5"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BB&amp;T</w:t>
            </w:r>
          </w:p>
        </w:tc>
        <w:tc>
          <w:tcPr>
            <w:tcW w:w="2840" w:type="dxa"/>
            <w:tcBorders>
              <w:top w:val="nil"/>
              <w:left w:val="nil"/>
              <w:bottom w:val="nil"/>
              <w:right w:val="nil"/>
            </w:tcBorders>
            <w:shd w:val="clear" w:color="000000" w:fill="D9D9D9"/>
            <w:vAlign w:val="center"/>
            <w:hideMark/>
          </w:tcPr>
          <w:p w14:paraId="54ECFDD3"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Adequate</w:t>
            </w:r>
          </w:p>
        </w:tc>
        <w:tc>
          <w:tcPr>
            <w:tcW w:w="3695" w:type="dxa"/>
            <w:tcBorders>
              <w:top w:val="nil"/>
              <w:left w:val="nil"/>
              <w:bottom w:val="nil"/>
              <w:right w:val="nil"/>
            </w:tcBorders>
            <w:shd w:val="clear" w:color="000000" w:fill="D9D9D9"/>
            <w:noWrap/>
            <w:vAlign w:val="bottom"/>
            <w:hideMark/>
          </w:tcPr>
          <w:p w14:paraId="22D274D3" w14:textId="77777777" w:rsidR="002B4BDE" w:rsidRPr="00973C14" w:rsidRDefault="002B4BDE" w:rsidP="00E33B31">
            <w:pPr>
              <w:spacing w:after="0"/>
              <w:rPr>
                <w:rFonts w:ascii="Calibri" w:hAnsi="Calibri"/>
                <w:color w:val="000000"/>
                <w:szCs w:val="22"/>
              </w:rPr>
            </w:pPr>
            <w:r w:rsidRPr="00973C14">
              <w:rPr>
                <w:rFonts w:ascii="Calibri" w:hAnsi="Calibri"/>
                <w:color w:val="000000"/>
                <w:szCs w:val="22"/>
              </w:rPr>
              <w:t> </w:t>
            </w:r>
          </w:p>
        </w:tc>
      </w:tr>
      <w:tr w:rsidR="002B4BDE" w:rsidRPr="00973C14" w14:paraId="40B2968E" w14:textId="77777777" w:rsidTr="00E33B31">
        <w:trPr>
          <w:trHeight w:val="285"/>
        </w:trPr>
        <w:tc>
          <w:tcPr>
            <w:tcW w:w="2840" w:type="dxa"/>
            <w:tcBorders>
              <w:top w:val="nil"/>
              <w:left w:val="nil"/>
              <w:bottom w:val="nil"/>
              <w:right w:val="nil"/>
            </w:tcBorders>
            <w:shd w:val="clear" w:color="auto" w:fill="auto"/>
            <w:vAlign w:val="center"/>
            <w:hideMark/>
          </w:tcPr>
          <w:p w14:paraId="54F5D698"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Capital One</w:t>
            </w:r>
          </w:p>
        </w:tc>
        <w:tc>
          <w:tcPr>
            <w:tcW w:w="2840" w:type="dxa"/>
            <w:tcBorders>
              <w:top w:val="nil"/>
              <w:left w:val="nil"/>
              <w:bottom w:val="nil"/>
              <w:right w:val="nil"/>
            </w:tcBorders>
            <w:shd w:val="clear" w:color="auto" w:fill="auto"/>
            <w:vAlign w:val="center"/>
            <w:hideMark/>
          </w:tcPr>
          <w:p w14:paraId="76366772"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Adequate</w:t>
            </w:r>
          </w:p>
        </w:tc>
        <w:tc>
          <w:tcPr>
            <w:tcW w:w="3695" w:type="dxa"/>
            <w:tcBorders>
              <w:top w:val="nil"/>
              <w:left w:val="nil"/>
              <w:bottom w:val="nil"/>
              <w:right w:val="nil"/>
            </w:tcBorders>
            <w:shd w:val="clear" w:color="auto" w:fill="auto"/>
            <w:noWrap/>
            <w:vAlign w:val="bottom"/>
            <w:hideMark/>
          </w:tcPr>
          <w:p w14:paraId="202B85A4" w14:textId="77777777" w:rsidR="002B4BDE" w:rsidRPr="00973C14" w:rsidRDefault="002B4BDE" w:rsidP="00E33B31">
            <w:pPr>
              <w:spacing w:after="0"/>
              <w:rPr>
                <w:rFonts w:ascii="Calibri" w:hAnsi="Calibri"/>
                <w:color w:val="000000"/>
                <w:szCs w:val="22"/>
              </w:rPr>
            </w:pPr>
          </w:p>
        </w:tc>
      </w:tr>
      <w:tr w:rsidR="002B4BDE" w:rsidRPr="00973C14" w14:paraId="217F40C0" w14:textId="77777777" w:rsidTr="00E33B31">
        <w:trPr>
          <w:trHeight w:val="285"/>
        </w:trPr>
        <w:tc>
          <w:tcPr>
            <w:tcW w:w="2840" w:type="dxa"/>
            <w:tcBorders>
              <w:top w:val="nil"/>
              <w:left w:val="nil"/>
              <w:bottom w:val="nil"/>
              <w:right w:val="nil"/>
            </w:tcBorders>
            <w:shd w:val="clear" w:color="000000" w:fill="D9D9D9"/>
            <w:vAlign w:val="center"/>
            <w:hideMark/>
          </w:tcPr>
          <w:p w14:paraId="1E46A559"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Goldman Sachs</w:t>
            </w:r>
          </w:p>
        </w:tc>
        <w:tc>
          <w:tcPr>
            <w:tcW w:w="2840" w:type="dxa"/>
            <w:tcBorders>
              <w:top w:val="nil"/>
              <w:left w:val="nil"/>
              <w:bottom w:val="nil"/>
              <w:right w:val="nil"/>
            </w:tcBorders>
            <w:shd w:val="clear" w:color="000000" w:fill="D9D9D9"/>
            <w:vAlign w:val="center"/>
            <w:hideMark/>
          </w:tcPr>
          <w:p w14:paraId="1742000E"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Adequate</w:t>
            </w:r>
          </w:p>
        </w:tc>
        <w:tc>
          <w:tcPr>
            <w:tcW w:w="3695" w:type="dxa"/>
            <w:tcBorders>
              <w:top w:val="nil"/>
              <w:left w:val="nil"/>
              <w:bottom w:val="nil"/>
              <w:right w:val="nil"/>
            </w:tcBorders>
            <w:shd w:val="clear" w:color="000000" w:fill="D9D9D9"/>
            <w:noWrap/>
            <w:vAlign w:val="bottom"/>
            <w:hideMark/>
          </w:tcPr>
          <w:p w14:paraId="5A08DFD1" w14:textId="77777777" w:rsidR="002B4BDE" w:rsidRPr="00973C14" w:rsidRDefault="002B4BDE" w:rsidP="00E33B31">
            <w:pPr>
              <w:spacing w:after="0"/>
              <w:rPr>
                <w:rFonts w:ascii="Calibri" w:hAnsi="Calibri"/>
                <w:color w:val="000000"/>
                <w:szCs w:val="22"/>
              </w:rPr>
            </w:pPr>
            <w:r w:rsidRPr="00973C14">
              <w:rPr>
                <w:rFonts w:ascii="Calibri" w:hAnsi="Calibri"/>
                <w:color w:val="000000"/>
                <w:szCs w:val="22"/>
              </w:rPr>
              <w:t> </w:t>
            </w:r>
          </w:p>
        </w:tc>
      </w:tr>
      <w:tr w:rsidR="002B4BDE" w:rsidRPr="00973C14" w14:paraId="76444145" w14:textId="77777777" w:rsidTr="00E33B31">
        <w:trPr>
          <w:trHeight w:val="285"/>
        </w:trPr>
        <w:tc>
          <w:tcPr>
            <w:tcW w:w="2840" w:type="dxa"/>
            <w:tcBorders>
              <w:top w:val="nil"/>
              <w:left w:val="nil"/>
              <w:bottom w:val="nil"/>
              <w:right w:val="nil"/>
            </w:tcBorders>
            <w:shd w:val="clear" w:color="auto" w:fill="auto"/>
            <w:vAlign w:val="center"/>
            <w:hideMark/>
          </w:tcPr>
          <w:p w14:paraId="29E3C7D7"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JP Morgan Chase</w:t>
            </w:r>
          </w:p>
        </w:tc>
        <w:tc>
          <w:tcPr>
            <w:tcW w:w="2840" w:type="dxa"/>
            <w:tcBorders>
              <w:top w:val="nil"/>
              <w:left w:val="nil"/>
              <w:bottom w:val="nil"/>
              <w:right w:val="nil"/>
            </w:tcBorders>
            <w:shd w:val="clear" w:color="auto" w:fill="auto"/>
            <w:vAlign w:val="center"/>
            <w:hideMark/>
          </w:tcPr>
          <w:p w14:paraId="22763E87"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Adequate</w:t>
            </w:r>
          </w:p>
        </w:tc>
        <w:tc>
          <w:tcPr>
            <w:tcW w:w="3695" w:type="dxa"/>
            <w:tcBorders>
              <w:top w:val="nil"/>
              <w:left w:val="nil"/>
              <w:bottom w:val="nil"/>
              <w:right w:val="nil"/>
            </w:tcBorders>
            <w:shd w:val="clear" w:color="auto" w:fill="auto"/>
            <w:noWrap/>
            <w:vAlign w:val="bottom"/>
            <w:hideMark/>
          </w:tcPr>
          <w:p w14:paraId="2D497618" w14:textId="77777777" w:rsidR="002B4BDE" w:rsidRPr="00973C14" w:rsidRDefault="002B4BDE" w:rsidP="00E33B31">
            <w:pPr>
              <w:spacing w:after="0"/>
              <w:rPr>
                <w:rFonts w:ascii="Calibri" w:hAnsi="Calibri"/>
                <w:color w:val="000000"/>
                <w:szCs w:val="22"/>
              </w:rPr>
            </w:pPr>
          </w:p>
        </w:tc>
      </w:tr>
      <w:tr w:rsidR="002B4BDE" w:rsidRPr="00973C14" w14:paraId="0044D0F4" w14:textId="77777777" w:rsidTr="00E33B31">
        <w:trPr>
          <w:trHeight w:val="285"/>
        </w:trPr>
        <w:tc>
          <w:tcPr>
            <w:tcW w:w="2840" w:type="dxa"/>
            <w:tcBorders>
              <w:top w:val="nil"/>
              <w:left w:val="nil"/>
              <w:bottom w:val="nil"/>
              <w:right w:val="nil"/>
            </w:tcBorders>
            <w:shd w:val="clear" w:color="000000" w:fill="D9D9D9"/>
            <w:vAlign w:val="center"/>
            <w:hideMark/>
          </w:tcPr>
          <w:p w14:paraId="3388EA01"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MetLife</w:t>
            </w:r>
          </w:p>
        </w:tc>
        <w:tc>
          <w:tcPr>
            <w:tcW w:w="2840" w:type="dxa"/>
            <w:tcBorders>
              <w:top w:val="nil"/>
              <w:left w:val="nil"/>
              <w:bottom w:val="nil"/>
              <w:right w:val="nil"/>
            </w:tcBorders>
            <w:shd w:val="clear" w:color="000000" w:fill="D9D9D9"/>
            <w:vAlign w:val="center"/>
            <w:hideMark/>
          </w:tcPr>
          <w:p w14:paraId="2685FE9C"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Adequate</w:t>
            </w:r>
          </w:p>
        </w:tc>
        <w:tc>
          <w:tcPr>
            <w:tcW w:w="3695" w:type="dxa"/>
            <w:tcBorders>
              <w:top w:val="nil"/>
              <w:left w:val="nil"/>
              <w:bottom w:val="nil"/>
              <w:right w:val="nil"/>
            </w:tcBorders>
            <w:shd w:val="clear" w:color="000000" w:fill="D9D9D9"/>
            <w:noWrap/>
            <w:vAlign w:val="bottom"/>
            <w:hideMark/>
          </w:tcPr>
          <w:p w14:paraId="7D855CC4" w14:textId="77777777" w:rsidR="002B4BDE" w:rsidRPr="00973C14" w:rsidRDefault="002B4BDE" w:rsidP="00E33B31">
            <w:pPr>
              <w:spacing w:after="0"/>
              <w:rPr>
                <w:rFonts w:ascii="Calibri" w:hAnsi="Calibri"/>
                <w:color w:val="000000"/>
                <w:szCs w:val="22"/>
              </w:rPr>
            </w:pPr>
            <w:r w:rsidRPr="00973C14">
              <w:rPr>
                <w:rFonts w:ascii="Calibri" w:hAnsi="Calibri"/>
                <w:color w:val="000000"/>
                <w:szCs w:val="22"/>
              </w:rPr>
              <w:t> </w:t>
            </w:r>
          </w:p>
        </w:tc>
      </w:tr>
      <w:tr w:rsidR="002B4BDE" w:rsidRPr="00973C14" w14:paraId="5747AF48" w14:textId="77777777" w:rsidTr="00E33B31">
        <w:trPr>
          <w:trHeight w:val="285"/>
        </w:trPr>
        <w:tc>
          <w:tcPr>
            <w:tcW w:w="2840" w:type="dxa"/>
            <w:tcBorders>
              <w:top w:val="nil"/>
              <w:left w:val="nil"/>
              <w:bottom w:val="nil"/>
              <w:right w:val="nil"/>
            </w:tcBorders>
            <w:shd w:val="clear" w:color="auto" w:fill="auto"/>
            <w:vAlign w:val="center"/>
            <w:hideMark/>
          </w:tcPr>
          <w:p w14:paraId="6B10DCF5"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State Street</w:t>
            </w:r>
          </w:p>
        </w:tc>
        <w:tc>
          <w:tcPr>
            <w:tcW w:w="2840" w:type="dxa"/>
            <w:tcBorders>
              <w:top w:val="nil"/>
              <w:left w:val="nil"/>
              <w:bottom w:val="nil"/>
              <w:right w:val="nil"/>
            </w:tcBorders>
            <w:shd w:val="clear" w:color="auto" w:fill="auto"/>
            <w:vAlign w:val="center"/>
            <w:hideMark/>
          </w:tcPr>
          <w:p w14:paraId="00F98551"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Adequate</w:t>
            </w:r>
          </w:p>
        </w:tc>
        <w:tc>
          <w:tcPr>
            <w:tcW w:w="3695" w:type="dxa"/>
            <w:tcBorders>
              <w:top w:val="nil"/>
              <w:left w:val="nil"/>
              <w:bottom w:val="nil"/>
              <w:right w:val="nil"/>
            </w:tcBorders>
            <w:shd w:val="clear" w:color="auto" w:fill="auto"/>
            <w:noWrap/>
            <w:vAlign w:val="bottom"/>
            <w:hideMark/>
          </w:tcPr>
          <w:p w14:paraId="7F7C1BE9" w14:textId="77777777" w:rsidR="002B4BDE" w:rsidRPr="00973C14" w:rsidRDefault="002B4BDE" w:rsidP="00E33B31">
            <w:pPr>
              <w:spacing w:after="0"/>
              <w:rPr>
                <w:rFonts w:ascii="Calibri" w:hAnsi="Calibri"/>
                <w:color w:val="000000"/>
                <w:szCs w:val="22"/>
              </w:rPr>
            </w:pPr>
          </w:p>
        </w:tc>
      </w:tr>
      <w:tr w:rsidR="002B4BDE" w:rsidRPr="00973C14" w14:paraId="12A0B7E0" w14:textId="77777777" w:rsidTr="00E33B31">
        <w:trPr>
          <w:trHeight w:val="285"/>
        </w:trPr>
        <w:tc>
          <w:tcPr>
            <w:tcW w:w="2840" w:type="dxa"/>
            <w:tcBorders>
              <w:top w:val="nil"/>
              <w:left w:val="nil"/>
              <w:bottom w:val="nil"/>
              <w:right w:val="nil"/>
            </w:tcBorders>
            <w:shd w:val="clear" w:color="000000" w:fill="D9D9D9"/>
            <w:vAlign w:val="center"/>
            <w:hideMark/>
          </w:tcPr>
          <w:p w14:paraId="741C4946"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U.S. Bancorp</w:t>
            </w:r>
          </w:p>
        </w:tc>
        <w:tc>
          <w:tcPr>
            <w:tcW w:w="2840" w:type="dxa"/>
            <w:tcBorders>
              <w:top w:val="nil"/>
              <w:left w:val="nil"/>
              <w:bottom w:val="nil"/>
              <w:right w:val="nil"/>
            </w:tcBorders>
            <w:shd w:val="clear" w:color="000000" w:fill="D9D9D9"/>
            <w:vAlign w:val="center"/>
            <w:hideMark/>
          </w:tcPr>
          <w:p w14:paraId="7C3406C0" w14:textId="77777777" w:rsidR="002B4BDE" w:rsidRPr="00973C14" w:rsidRDefault="002B4BDE" w:rsidP="00E33B31">
            <w:pPr>
              <w:spacing w:after="0"/>
              <w:rPr>
                <w:rFonts w:ascii="Calibri" w:hAnsi="Calibri"/>
                <w:color w:val="000000"/>
                <w:sz w:val="18"/>
                <w:szCs w:val="18"/>
              </w:rPr>
            </w:pPr>
            <w:r w:rsidRPr="00973C14">
              <w:rPr>
                <w:rFonts w:ascii="Calibri" w:hAnsi="Calibri" w:cs="Arial"/>
                <w:color w:val="000000"/>
                <w:sz w:val="18"/>
                <w:szCs w:val="18"/>
              </w:rPr>
              <w:t>Adequate</w:t>
            </w:r>
          </w:p>
        </w:tc>
        <w:tc>
          <w:tcPr>
            <w:tcW w:w="3695" w:type="dxa"/>
            <w:tcBorders>
              <w:top w:val="nil"/>
              <w:left w:val="nil"/>
              <w:bottom w:val="nil"/>
              <w:right w:val="nil"/>
            </w:tcBorders>
            <w:shd w:val="clear" w:color="000000" w:fill="D9D9D9"/>
            <w:noWrap/>
            <w:vAlign w:val="bottom"/>
            <w:hideMark/>
          </w:tcPr>
          <w:p w14:paraId="72F3EB8F" w14:textId="77777777" w:rsidR="002B4BDE" w:rsidRPr="00973C14" w:rsidRDefault="002B4BDE" w:rsidP="00E33B31">
            <w:pPr>
              <w:spacing w:after="0"/>
              <w:rPr>
                <w:rFonts w:ascii="Calibri" w:hAnsi="Calibri"/>
                <w:color w:val="000000"/>
                <w:szCs w:val="22"/>
              </w:rPr>
            </w:pPr>
            <w:r w:rsidRPr="00973C14">
              <w:rPr>
                <w:rFonts w:ascii="Calibri" w:hAnsi="Calibri"/>
                <w:color w:val="000000"/>
                <w:szCs w:val="22"/>
              </w:rPr>
              <w:t> </w:t>
            </w:r>
          </w:p>
        </w:tc>
      </w:tr>
    </w:tbl>
    <w:p w14:paraId="3ABAC7A5" w14:textId="77777777" w:rsidR="002B4BDE" w:rsidRPr="00973C14" w:rsidRDefault="002B4BDE" w:rsidP="002B4BDE">
      <w:pPr>
        <w:pBdr>
          <w:bottom w:val="single" w:sz="4" w:space="0" w:color="auto"/>
        </w:pBdr>
        <w:tabs>
          <w:tab w:val="left" w:pos="3594"/>
        </w:tabs>
        <w:spacing w:after="0"/>
        <w:rPr>
          <w:rFonts w:ascii="Calibri" w:hAnsi="Calibri" w:cs="Arial"/>
          <w:i/>
          <w:sz w:val="18"/>
          <w:szCs w:val="18"/>
        </w:rPr>
      </w:pPr>
    </w:p>
    <w:p w14:paraId="06E51505" w14:textId="2D3B484A" w:rsidR="002B4BDE" w:rsidRPr="00172993" w:rsidRDefault="002B4BDE" w:rsidP="00172993">
      <w:pPr>
        <w:pStyle w:val="BodyText"/>
        <w:rPr>
          <w:rFonts w:ascii="Calibri" w:hAnsi="Calibri"/>
          <w:b/>
          <w:i/>
          <w:sz w:val="16"/>
          <w:szCs w:val="16"/>
        </w:rPr>
      </w:pPr>
      <w:r w:rsidRPr="00973C14">
        <w:rPr>
          <w:rFonts w:ascii="Calibri" w:hAnsi="Calibri"/>
          <w:b/>
          <w:i/>
          <w:sz w:val="16"/>
          <w:szCs w:val="16"/>
        </w:rPr>
        <w:t>Source: Federal Reserve (May 7, 2009).</w:t>
      </w:r>
    </w:p>
    <w:p w14:paraId="3F8CDF5F" w14:textId="3465BA4F" w:rsidR="00EF0A0B" w:rsidRPr="00E1132C" w:rsidRDefault="00B43672" w:rsidP="00B144B5">
      <w:pPr>
        <w:pStyle w:val="Heading2"/>
        <w:rPr>
          <w:rFonts w:ascii="Calibri" w:hAnsi="Calibri"/>
          <w:color w:val="000000" w:themeColor="text1"/>
          <w:sz w:val="24"/>
          <w:szCs w:val="24"/>
        </w:rPr>
      </w:pPr>
      <w:r w:rsidRPr="00E1132C">
        <w:rPr>
          <w:rFonts w:ascii="Calibri" w:hAnsi="Calibri"/>
          <w:color w:val="000000" w:themeColor="text1"/>
          <w:sz w:val="24"/>
          <w:szCs w:val="24"/>
        </w:rPr>
        <w:t>Key Design Decisions</w:t>
      </w:r>
    </w:p>
    <w:p w14:paraId="4039E5F4" w14:textId="77777777" w:rsidR="00EF0A0B" w:rsidRPr="00973C14" w:rsidRDefault="008C1901" w:rsidP="008B65AC">
      <w:pPr>
        <w:pStyle w:val="Heading4"/>
        <w:spacing w:after="200"/>
        <w:rPr>
          <w:rFonts w:ascii="Calibri" w:hAnsi="Calibri"/>
          <w:color w:val="auto"/>
        </w:rPr>
      </w:pPr>
      <w:bookmarkStart w:id="6" w:name="transparency"/>
      <w:bookmarkEnd w:id="6"/>
      <w:r w:rsidRPr="00973C14">
        <w:rPr>
          <w:rFonts w:ascii="Calibri" w:hAnsi="Calibri"/>
          <w:color w:val="auto"/>
        </w:rPr>
        <w:t xml:space="preserve">1. </w:t>
      </w:r>
      <w:r w:rsidR="00025FC8" w:rsidRPr="00973C14">
        <w:rPr>
          <w:rFonts w:ascii="Calibri" w:hAnsi="Calibri"/>
          <w:color w:val="auto"/>
        </w:rPr>
        <w:t>Supervisors published the design of the stress tests and their results at a very detailed level</w:t>
      </w:r>
    </w:p>
    <w:p w14:paraId="4F30DEFC" w14:textId="2CD116A9" w:rsidR="001D3015" w:rsidRDefault="008C1901" w:rsidP="0035534F">
      <w:pPr>
        <w:pStyle w:val="BodyText"/>
        <w:rPr>
          <w:rFonts w:ascii="Calibri" w:hAnsi="Calibri"/>
        </w:rPr>
      </w:pPr>
      <w:r w:rsidRPr="00973C14">
        <w:rPr>
          <w:rFonts w:ascii="Calibri" w:hAnsi="Calibri"/>
        </w:rPr>
        <w:t>A key feature of the SCAP was the level of transparency involved. Under the SCAP, supervisors published the design of the tests and their results at a detailed level, much of which was usually confidential and not released publicly. The Treasury’s Office o</w:t>
      </w:r>
      <w:r w:rsidR="00D60C04" w:rsidRPr="00973C14">
        <w:rPr>
          <w:rFonts w:ascii="Calibri" w:hAnsi="Calibri"/>
        </w:rPr>
        <w:t xml:space="preserve">f Financial Stability </w:t>
      </w:r>
      <w:r w:rsidRPr="00973C14">
        <w:rPr>
          <w:rFonts w:ascii="Calibri" w:hAnsi="Calibri"/>
        </w:rPr>
        <w:t xml:space="preserve">described this transparency as a novel step taken due to the unprecedented need to restore confidence. The Fed also noted that this was an unprecedented exercise, and the extraordinary economic and financial conditions that precipitated the program led the supervisors to take </w:t>
      </w:r>
      <w:r w:rsidR="00180E0E">
        <w:rPr>
          <w:rFonts w:ascii="Calibri" w:hAnsi="Calibri"/>
        </w:rPr>
        <w:t>the</w:t>
      </w:r>
      <w:r w:rsidRPr="00973C14">
        <w:rPr>
          <w:rFonts w:ascii="Calibri" w:hAnsi="Calibri"/>
        </w:rPr>
        <w:t xml:space="preserve"> unusual step </w:t>
      </w:r>
      <w:r w:rsidRPr="00973C14">
        <w:rPr>
          <w:rFonts w:ascii="Calibri" w:hAnsi="Calibri"/>
        </w:rPr>
        <w:lastRenderedPageBreak/>
        <w:t xml:space="preserve">of publicly reporting the findings of this supervisory exercise. </w:t>
      </w:r>
      <w:r w:rsidR="0035534F" w:rsidRPr="00973C14">
        <w:rPr>
          <w:rFonts w:ascii="Calibri" w:hAnsi="Calibri"/>
        </w:rPr>
        <w:t xml:space="preserve">The transparency and process sought to allow markets to credibly assess both the overall health of the BHCs as well as allow direct comparisons across the firms. </w:t>
      </w:r>
      <w:r w:rsidRPr="00973C14">
        <w:rPr>
          <w:rFonts w:ascii="Calibri" w:hAnsi="Calibri"/>
        </w:rPr>
        <w:t>Figure 2 provides a sample of the information published at the firm-specific level.</w:t>
      </w:r>
    </w:p>
    <w:tbl>
      <w:tblPr>
        <w:tblW w:w="9483" w:type="dxa"/>
        <w:jc w:val="center"/>
        <w:tblLook w:val="04A0" w:firstRow="1" w:lastRow="0" w:firstColumn="1" w:lastColumn="0" w:noHBand="0" w:noVBand="1"/>
      </w:tblPr>
      <w:tblGrid>
        <w:gridCol w:w="272"/>
        <w:gridCol w:w="272"/>
        <w:gridCol w:w="5728"/>
        <w:gridCol w:w="1080"/>
        <w:gridCol w:w="2131"/>
      </w:tblGrid>
      <w:tr w:rsidR="00387617" w:rsidRPr="00973C14" w14:paraId="603FB78E" w14:textId="77777777" w:rsidTr="00E33B31">
        <w:trPr>
          <w:trHeight w:val="300"/>
          <w:jc w:val="center"/>
        </w:trPr>
        <w:tc>
          <w:tcPr>
            <w:tcW w:w="9483" w:type="dxa"/>
            <w:gridSpan w:val="5"/>
            <w:tcBorders>
              <w:top w:val="nil"/>
              <w:left w:val="nil"/>
              <w:bottom w:val="single" w:sz="4" w:space="0" w:color="auto"/>
              <w:right w:val="nil"/>
            </w:tcBorders>
            <w:shd w:val="clear" w:color="000000" w:fill="FFFFFF"/>
            <w:noWrap/>
            <w:vAlign w:val="bottom"/>
            <w:hideMark/>
          </w:tcPr>
          <w:p w14:paraId="465FB215" w14:textId="77777777" w:rsidR="00387617" w:rsidRPr="00973C14" w:rsidRDefault="00387617" w:rsidP="00E33B31">
            <w:pPr>
              <w:spacing w:after="0"/>
              <w:rPr>
                <w:rFonts w:ascii="Calibri" w:hAnsi="Calibri" w:cs="Arial"/>
                <w:b/>
                <w:color w:val="000000"/>
                <w:szCs w:val="22"/>
              </w:rPr>
            </w:pPr>
            <w:r w:rsidRPr="00973C14">
              <w:rPr>
                <w:rFonts w:ascii="Calibri" w:hAnsi="Calibri" w:cs="Arial"/>
                <w:b/>
                <w:color w:val="000000"/>
                <w:szCs w:val="22"/>
              </w:rPr>
              <w:t>Figure 2: Example of Published SCAP Results</w:t>
            </w:r>
          </w:p>
        </w:tc>
      </w:tr>
      <w:tr w:rsidR="00387617" w:rsidRPr="00973C14" w14:paraId="2C2BF78A" w14:textId="77777777" w:rsidTr="00E33B31">
        <w:trPr>
          <w:trHeight w:val="300"/>
          <w:jc w:val="center"/>
        </w:trPr>
        <w:tc>
          <w:tcPr>
            <w:tcW w:w="9483" w:type="dxa"/>
            <w:gridSpan w:val="5"/>
            <w:tcBorders>
              <w:top w:val="single" w:sz="4" w:space="0" w:color="auto"/>
              <w:left w:val="nil"/>
              <w:bottom w:val="nil"/>
              <w:right w:val="nil"/>
            </w:tcBorders>
            <w:shd w:val="clear" w:color="000000" w:fill="FFFFFF"/>
            <w:noWrap/>
            <w:vAlign w:val="bottom"/>
            <w:hideMark/>
          </w:tcPr>
          <w:p w14:paraId="077199F5" w14:textId="77777777" w:rsidR="00387617" w:rsidRPr="001D3015" w:rsidRDefault="00387617" w:rsidP="00E33B31">
            <w:pPr>
              <w:spacing w:after="0"/>
              <w:jc w:val="center"/>
              <w:rPr>
                <w:rFonts w:ascii="Calibri" w:hAnsi="Calibri" w:cs="Arial"/>
                <w:b/>
                <w:bCs/>
                <w:color w:val="000000"/>
                <w:sz w:val="22"/>
                <w:szCs w:val="22"/>
              </w:rPr>
            </w:pPr>
            <w:r w:rsidRPr="001D3015">
              <w:rPr>
                <w:rFonts w:ascii="Calibri" w:hAnsi="Calibri" w:cs="Arial"/>
                <w:b/>
                <w:bCs/>
                <w:color w:val="000000"/>
                <w:sz w:val="22"/>
                <w:szCs w:val="22"/>
              </w:rPr>
              <w:t>Supervisory Capital Assessment Program</w:t>
            </w:r>
          </w:p>
        </w:tc>
      </w:tr>
      <w:tr w:rsidR="00387617" w:rsidRPr="00973C14" w14:paraId="5A9B1B09" w14:textId="77777777" w:rsidTr="00E33B31">
        <w:trPr>
          <w:trHeight w:val="315"/>
          <w:jc w:val="center"/>
        </w:trPr>
        <w:tc>
          <w:tcPr>
            <w:tcW w:w="9483" w:type="dxa"/>
            <w:gridSpan w:val="5"/>
            <w:tcBorders>
              <w:top w:val="nil"/>
              <w:left w:val="nil"/>
              <w:bottom w:val="nil"/>
              <w:right w:val="nil"/>
            </w:tcBorders>
            <w:shd w:val="clear" w:color="000000" w:fill="FFFFFF"/>
            <w:noWrap/>
            <w:vAlign w:val="bottom"/>
            <w:hideMark/>
          </w:tcPr>
          <w:p w14:paraId="2DC43111" w14:textId="77777777" w:rsidR="00387617" w:rsidRPr="001D3015" w:rsidRDefault="00387617" w:rsidP="00E33B31">
            <w:pPr>
              <w:spacing w:after="0"/>
              <w:jc w:val="center"/>
              <w:rPr>
                <w:rFonts w:ascii="Calibri" w:hAnsi="Calibri" w:cs="Arial"/>
                <w:b/>
                <w:bCs/>
                <w:color w:val="000000"/>
                <w:sz w:val="22"/>
                <w:szCs w:val="22"/>
              </w:rPr>
            </w:pPr>
            <w:r w:rsidRPr="001D3015">
              <w:rPr>
                <w:rFonts w:ascii="Calibri" w:hAnsi="Calibri" w:cs="Arial"/>
                <w:b/>
                <w:bCs/>
                <w:color w:val="000000"/>
                <w:sz w:val="22"/>
                <w:szCs w:val="22"/>
              </w:rPr>
              <w:t>Estimates for Bank of America Corporation for the More Adverse Economic Scenario</w:t>
            </w:r>
          </w:p>
        </w:tc>
      </w:tr>
      <w:tr w:rsidR="00387617" w:rsidRPr="00973C14" w14:paraId="5A513200" w14:textId="77777777" w:rsidTr="00E33B31">
        <w:trPr>
          <w:trHeight w:val="529"/>
          <w:jc w:val="center"/>
        </w:trPr>
        <w:tc>
          <w:tcPr>
            <w:tcW w:w="9483" w:type="dxa"/>
            <w:gridSpan w:val="5"/>
            <w:tcBorders>
              <w:top w:val="single" w:sz="8" w:space="0" w:color="auto"/>
              <w:left w:val="single" w:sz="8" w:space="0" w:color="auto"/>
              <w:bottom w:val="single" w:sz="8" w:space="0" w:color="auto"/>
              <w:right w:val="single" w:sz="8" w:space="0" w:color="000000"/>
            </w:tcBorders>
            <w:shd w:val="clear" w:color="000000" w:fill="BFBFBF"/>
            <w:vAlign w:val="bottom"/>
            <w:hideMark/>
          </w:tcPr>
          <w:p w14:paraId="0B691B83" w14:textId="77777777" w:rsidR="00387617" w:rsidRPr="00973C14" w:rsidRDefault="00387617" w:rsidP="00E33B31">
            <w:pPr>
              <w:spacing w:after="0"/>
              <w:jc w:val="center"/>
              <w:rPr>
                <w:rFonts w:ascii="Calibri" w:hAnsi="Calibri" w:cs="Arial"/>
                <w:b/>
                <w:bCs/>
                <w:i/>
                <w:iCs/>
                <w:color w:val="000000"/>
                <w:sz w:val="18"/>
                <w:szCs w:val="18"/>
              </w:rPr>
            </w:pPr>
            <w:r w:rsidRPr="00973C14">
              <w:rPr>
                <w:rFonts w:ascii="Calibri" w:hAnsi="Calibri" w:cs="Arial"/>
                <w:b/>
                <w:bCs/>
                <w:i/>
                <w:iCs/>
                <w:color w:val="000000"/>
                <w:sz w:val="18"/>
                <w:szCs w:val="18"/>
              </w:rPr>
              <w:t xml:space="preserve">The estimates below represent a hypothetical 'what-if' scenario that involves an economic outcome that is more adverse than expected. These estimates are not forecasts of expected losses or revenues. </w:t>
            </w:r>
          </w:p>
        </w:tc>
      </w:tr>
      <w:tr w:rsidR="00387617" w:rsidRPr="00973C14" w14:paraId="6E17DB3B" w14:textId="77777777" w:rsidTr="00E33B31">
        <w:trPr>
          <w:trHeight w:val="315"/>
          <w:jc w:val="center"/>
        </w:trPr>
        <w:tc>
          <w:tcPr>
            <w:tcW w:w="272" w:type="dxa"/>
            <w:tcBorders>
              <w:top w:val="nil"/>
              <w:left w:val="nil"/>
              <w:bottom w:val="double" w:sz="6" w:space="0" w:color="auto"/>
              <w:right w:val="nil"/>
            </w:tcBorders>
            <w:shd w:val="clear" w:color="000000" w:fill="FFFFFF"/>
            <w:noWrap/>
            <w:vAlign w:val="bottom"/>
            <w:hideMark/>
          </w:tcPr>
          <w:p w14:paraId="77F819CA"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272" w:type="dxa"/>
            <w:tcBorders>
              <w:top w:val="nil"/>
              <w:left w:val="nil"/>
              <w:bottom w:val="double" w:sz="6" w:space="0" w:color="auto"/>
              <w:right w:val="nil"/>
            </w:tcBorders>
            <w:shd w:val="clear" w:color="000000" w:fill="FFFFFF"/>
            <w:noWrap/>
            <w:vAlign w:val="bottom"/>
            <w:hideMark/>
          </w:tcPr>
          <w:p w14:paraId="04025AE4"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5728" w:type="dxa"/>
            <w:tcBorders>
              <w:top w:val="nil"/>
              <w:left w:val="nil"/>
              <w:bottom w:val="double" w:sz="6" w:space="0" w:color="auto"/>
              <w:right w:val="nil"/>
            </w:tcBorders>
            <w:shd w:val="clear" w:color="000000" w:fill="FFFFFF"/>
            <w:noWrap/>
            <w:vAlign w:val="bottom"/>
            <w:hideMark/>
          </w:tcPr>
          <w:p w14:paraId="69657DB8"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3211" w:type="dxa"/>
            <w:gridSpan w:val="2"/>
            <w:tcBorders>
              <w:top w:val="nil"/>
              <w:left w:val="nil"/>
              <w:bottom w:val="double" w:sz="6" w:space="0" w:color="auto"/>
              <w:right w:val="nil"/>
            </w:tcBorders>
            <w:shd w:val="clear" w:color="000000" w:fill="FFFFFF"/>
            <w:noWrap/>
            <w:vAlign w:val="bottom"/>
            <w:hideMark/>
          </w:tcPr>
          <w:p w14:paraId="7594F214" w14:textId="77777777" w:rsidR="00387617" w:rsidRPr="00973C14" w:rsidRDefault="00387617" w:rsidP="00E33B31">
            <w:pPr>
              <w:spacing w:after="0"/>
              <w:jc w:val="center"/>
              <w:rPr>
                <w:rFonts w:ascii="Calibri" w:hAnsi="Calibri" w:cs="Arial"/>
                <w:b/>
                <w:bCs/>
                <w:color w:val="000000"/>
                <w:sz w:val="18"/>
                <w:szCs w:val="18"/>
              </w:rPr>
            </w:pPr>
            <w:r w:rsidRPr="00973C14">
              <w:rPr>
                <w:rFonts w:ascii="Calibri" w:hAnsi="Calibri" w:cs="Arial"/>
                <w:b/>
                <w:bCs/>
                <w:color w:val="000000"/>
                <w:sz w:val="18"/>
                <w:szCs w:val="18"/>
              </w:rPr>
              <w:t>Bank of America Corporation</w:t>
            </w:r>
          </w:p>
        </w:tc>
      </w:tr>
      <w:tr w:rsidR="00387617" w:rsidRPr="00973C14" w14:paraId="51FC13A6" w14:textId="77777777" w:rsidTr="00E33B31">
        <w:trPr>
          <w:trHeight w:val="315"/>
          <w:jc w:val="center"/>
        </w:trPr>
        <w:tc>
          <w:tcPr>
            <w:tcW w:w="6272" w:type="dxa"/>
            <w:gridSpan w:val="3"/>
            <w:tcBorders>
              <w:top w:val="nil"/>
              <w:left w:val="nil"/>
              <w:bottom w:val="nil"/>
              <w:right w:val="nil"/>
            </w:tcBorders>
            <w:shd w:val="clear" w:color="000000" w:fill="FFFFFF"/>
            <w:noWrap/>
            <w:vAlign w:val="bottom"/>
            <w:hideMark/>
          </w:tcPr>
          <w:p w14:paraId="24424AEA" w14:textId="77777777" w:rsidR="00387617" w:rsidRPr="00973C14" w:rsidRDefault="00387617" w:rsidP="00E33B31">
            <w:pPr>
              <w:spacing w:after="0"/>
              <w:rPr>
                <w:rFonts w:ascii="Calibri" w:hAnsi="Calibri" w:cs="Arial"/>
                <w:b/>
                <w:bCs/>
                <w:color w:val="000000"/>
                <w:sz w:val="18"/>
                <w:szCs w:val="18"/>
              </w:rPr>
            </w:pPr>
            <w:r w:rsidRPr="00973C14">
              <w:rPr>
                <w:rFonts w:ascii="Calibri" w:hAnsi="Calibri" w:cs="Arial"/>
                <w:b/>
                <w:bCs/>
                <w:color w:val="000000"/>
                <w:sz w:val="18"/>
                <w:szCs w:val="18"/>
              </w:rPr>
              <w:t>At December 31, 2008</w:t>
            </w:r>
          </w:p>
        </w:tc>
        <w:tc>
          <w:tcPr>
            <w:tcW w:w="1080" w:type="dxa"/>
            <w:tcBorders>
              <w:top w:val="nil"/>
              <w:left w:val="nil"/>
              <w:bottom w:val="single" w:sz="4" w:space="0" w:color="auto"/>
              <w:right w:val="nil"/>
            </w:tcBorders>
            <w:shd w:val="clear" w:color="000000" w:fill="FFFFFF"/>
            <w:noWrap/>
            <w:vAlign w:val="bottom"/>
            <w:hideMark/>
          </w:tcPr>
          <w:p w14:paraId="1E40BCD1" w14:textId="77777777" w:rsidR="00387617" w:rsidRPr="00973C14" w:rsidRDefault="00387617" w:rsidP="00E33B31">
            <w:pPr>
              <w:spacing w:after="0"/>
              <w:jc w:val="center"/>
              <w:rPr>
                <w:rFonts w:ascii="Calibri" w:hAnsi="Calibri" w:cs="Arial"/>
                <w:b/>
                <w:bCs/>
                <w:color w:val="000000"/>
                <w:sz w:val="18"/>
                <w:szCs w:val="18"/>
              </w:rPr>
            </w:pPr>
            <w:r w:rsidRPr="00973C14">
              <w:rPr>
                <w:rFonts w:ascii="Calibri" w:hAnsi="Calibri" w:cs="Arial"/>
                <w:b/>
                <w:bCs/>
                <w:color w:val="000000"/>
                <w:sz w:val="18"/>
                <w:szCs w:val="18"/>
              </w:rPr>
              <w:t>$ Billions</w:t>
            </w:r>
          </w:p>
        </w:tc>
        <w:tc>
          <w:tcPr>
            <w:tcW w:w="2131" w:type="dxa"/>
            <w:tcBorders>
              <w:top w:val="nil"/>
              <w:left w:val="nil"/>
              <w:bottom w:val="single" w:sz="4" w:space="0" w:color="auto"/>
              <w:right w:val="nil"/>
            </w:tcBorders>
            <w:shd w:val="clear" w:color="000000" w:fill="FFFFFF"/>
            <w:noWrap/>
            <w:vAlign w:val="bottom"/>
            <w:hideMark/>
          </w:tcPr>
          <w:p w14:paraId="34984E2E" w14:textId="77777777" w:rsidR="00387617" w:rsidRPr="00973C14" w:rsidRDefault="00387617" w:rsidP="00E33B31">
            <w:pPr>
              <w:spacing w:after="0"/>
              <w:jc w:val="center"/>
              <w:rPr>
                <w:rFonts w:ascii="Calibri" w:hAnsi="Calibri" w:cs="Arial"/>
                <w:b/>
                <w:bCs/>
                <w:color w:val="000000"/>
                <w:sz w:val="18"/>
                <w:szCs w:val="18"/>
              </w:rPr>
            </w:pPr>
            <w:r w:rsidRPr="00973C14">
              <w:rPr>
                <w:rFonts w:ascii="Calibri" w:hAnsi="Calibri" w:cs="Arial"/>
                <w:b/>
                <w:bCs/>
                <w:color w:val="000000"/>
                <w:sz w:val="18"/>
                <w:szCs w:val="18"/>
              </w:rPr>
              <w:t>As % of RWA</w:t>
            </w:r>
          </w:p>
        </w:tc>
      </w:tr>
      <w:tr w:rsidR="00387617" w:rsidRPr="00973C14" w14:paraId="3BFBB862" w14:textId="77777777" w:rsidTr="00E33B31">
        <w:trPr>
          <w:trHeight w:val="300"/>
          <w:jc w:val="center"/>
        </w:trPr>
        <w:tc>
          <w:tcPr>
            <w:tcW w:w="6272" w:type="dxa"/>
            <w:gridSpan w:val="3"/>
            <w:tcBorders>
              <w:top w:val="nil"/>
              <w:left w:val="nil"/>
              <w:bottom w:val="nil"/>
              <w:right w:val="nil"/>
            </w:tcBorders>
            <w:shd w:val="clear" w:color="auto" w:fill="D9D9D9" w:themeFill="background1" w:themeFillShade="D9"/>
            <w:noWrap/>
            <w:vAlign w:val="bottom"/>
            <w:hideMark/>
          </w:tcPr>
          <w:p w14:paraId="4E8AB872"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Tier 1 Capital</w:t>
            </w:r>
          </w:p>
        </w:tc>
        <w:tc>
          <w:tcPr>
            <w:tcW w:w="1080" w:type="dxa"/>
            <w:tcBorders>
              <w:top w:val="nil"/>
              <w:left w:val="nil"/>
              <w:bottom w:val="nil"/>
              <w:right w:val="nil"/>
            </w:tcBorders>
            <w:shd w:val="clear" w:color="auto" w:fill="D9D9D9" w:themeFill="background1" w:themeFillShade="D9"/>
            <w:noWrap/>
            <w:vAlign w:val="bottom"/>
            <w:hideMark/>
          </w:tcPr>
          <w:p w14:paraId="3AD2D1E5"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173.2</w:t>
            </w:r>
          </w:p>
        </w:tc>
        <w:tc>
          <w:tcPr>
            <w:tcW w:w="2131" w:type="dxa"/>
            <w:tcBorders>
              <w:top w:val="nil"/>
              <w:left w:val="nil"/>
              <w:bottom w:val="nil"/>
              <w:right w:val="nil"/>
            </w:tcBorders>
            <w:shd w:val="clear" w:color="auto" w:fill="D9D9D9" w:themeFill="background1" w:themeFillShade="D9"/>
            <w:noWrap/>
            <w:vAlign w:val="bottom"/>
            <w:hideMark/>
          </w:tcPr>
          <w:p w14:paraId="44CB07EC"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10.6%</w:t>
            </w:r>
          </w:p>
        </w:tc>
      </w:tr>
      <w:tr w:rsidR="00387617" w:rsidRPr="00973C14" w14:paraId="64E97FD1" w14:textId="77777777" w:rsidTr="00E33B31">
        <w:trPr>
          <w:trHeight w:val="300"/>
          <w:jc w:val="center"/>
        </w:trPr>
        <w:tc>
          <w:tcPr>
            <w:tcW w:w="272" w:type="dxa"/>
            <w:tcBorders>
              <w:top w:val="nil"/>
              <w:left w:val="nil"/>
              <w:bottom w:val="nil"/>
              <w:right w:val="nil"/>
            </w:tcBorders>
            <w:shd w:val="clear" w:color="000000" w:fill="FFFFFF"/>
            <w:noWrap/>
            <w:vAlign w:val="bottom"/>
            <w:hideMark/>
          </w:tcPr>
          <w:p w14:paraId="42DD64AA"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6000" w:type="dxa"/>
            <w:gridSpan w:val="2"/>
            <w:tcBorders>
              <w:top w:val="nil"/>
              <w:left w:val="nil"/>
              <w:bottom w:val="nil"/>
              <w:right w:val="nil"/>
            </w:tcBorders>
            <w:shd w:val="clear" w:color="000000" w:fill="FFFFFF"/>
            <w:noWrap/>
            <w:vAlign w:val="bottom"/>
            <w:hideMark/>
          </w:tcPr>
          <w:p w14:paraId="426B9829"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Tier 1 Common Capital</w:t>
            </w:r>
          </w:p>
        </w:tc>
        <w:tc>
          <w:tcPr>
            <w:tcW w:w="1080" w:type="dxa"/>
            <w:tcBorders>
              <w:top w:val="nil"/>
              <w:left w:val="nil"/>
              <w:bottom w:val="nil"/>
              <w:right w:val="nil"/>
            </w:tcBorders>
            <w:shd w:val="clear" w:color="000000" w:fill="FFFFFF"/>
            <w:noWrap/>
            <w:vAlign w:val="bottom"/>
            <w:hideMark/>
          </w:tcPr>
          <w:p w14:paraId="34B944E5"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74.5</w:t>
            </w:r>
          </w:p>
        </w:tc>
        <w:tc>
          <w:tcPr>
            <w:tcW w:w="2131" w:type="dxa"/>
            <w:tcBorders>
              <w:top w:val="nil"/>
              <w:left w:val="nil"/>
              <w:bottom w:val="nil"/>
              <w:right w:val="nil"/>
            </w:tcBorders>
            <w:shd w:val="clear" w:color="000000" w:fill="FFFFFF"/>
            <w:noWrap/>
            <w:vAlign w:val="bottom"/>
            <w:hideMark/>
          </w:tcPr>
          <w:p w14:paraId="4294E387"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 xml:space="preserve"> 4.6%</w:t>
            </w:r>
          </w:p>
        </w:tc>
      </w:tr>
      <w:tr w:rsidR="00387617" w:rsidRPr="00973C14" w14:paraId="6C5FFDDF" w14:textId="77777777" w:rsidTr="00E33B31">
        <w:trPr>
          <w:trHeight w:val="300"/>
          <w:jc w:val="center"/>
        </w:trPr>
        <w:tc>
          <w:tcPr>
            <w:tcW w:w="6272" w:type="dxa"/>
            <w:gridSpan w:val="3"/>
            <w:tcBorders>
              <w:top w:val="nil"/>
              <w:left w:val="nil"/>
              <w:bottom w:val="nil"/>
              <w:right w:val="nil"/>
            </w:tcBorders>
            <w:shd w:val="clear" w:color="auto" w:fill="D9D9D9" w:themeFill="background1" w:themeFillShade="D9"/>
            <w:noWrap/>
            <w:vAlign w:val="bottom"/>
            <w:hideMark/>
          </w:tcPr>
          <w:p w14:paraId="6CD96398"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Risk-Weighted Assets</w:t>
            </w:r>
          </w:p>
        </w:tc>
        <w:tc>
          <w:tcPr>
            <w:tcW w:w="1080" w:type="dxa"/>
            <w:tcBorders>
              <w:top w:val="nil"/>
              <w:left w:val="nil"/>
              <w:bottom w:val="nil"/>
              <w:right w:val="nil"/>
            </w:tcBorders>
            <w:shd w:val="clear" w:color="auto" w:fill="D9D9D9" w:themeFill="background1" w:themeFillShade="D9"/>
            <w:noWrap/>
            <w:vAlign w:val="bottom"/>
            <w:hideMark/>
          </w:tcPr>
          <w:p w14:paraId="6ACEA2EC"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1,633.8</w:t>
            </w:r>
          </w:p>
        </w:tc>
        <w:tc>
          <w:tcPr>
            <w:tcW w:w="2131" w:type="dxa"/>
            <w:tcBorders>
              <w:top w:val="nil"/>
              <w:left w:val="nil"/>
              <w:bottom w:val="nil"/>
              <w:right w:val="nil"/>
            </w:tcBorders>
            <w:shd w:val="clear" w:color="auto" w:fill="D9D9D9" w:themeFill="background1" w:themeFillShade="D9"/>
            <w:noWrap/>
            <w:vAlign w:val="bottom"/>
            <w:hideMark/>
          </w:tcPr>
          <w:p w14:paraId="144D165F"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 </w:t>
            </w:r>
          </w:p>
        </w:tc>
      </w:tr>
      <w:tr w:rsidR="00387617" w:rsidRPr="00973C14" w14:paraId="6D70A56F" w14:textId="77777777" w:rsidTr="00E33B31">
        <w:trPr>
          <w:trHeight w:val="300"/>
          <w:jc w:val="center"/>
        </w:trPr>
        <w:tc>
          <w:tcPr>
            <w:tcW w:w="272" w:type="dxa"/>
            <w:tcBorders>
              <w:top w:val="nil"/>
              <w:left w:val="nil"/>
              <w:bottom w:val="nil"/>
              <w:right w:val="nil"/>
            </w:tcBorders>
            <w:shd w:val="clear" w:color="000000" w:fill="FFFFFF"/>
            <w:noWrap/>
            <w:vAlign w:val="bottom"/>
            <w:hideMark/>
          </w:tcPr>
          <w:p w14:paraId="399B392A"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272" w:type="dxa"/>
            <w:tcBorders>
              <w:top w:val="nil"/>
              <w:left w:val="nil"/>
              <w:bottom w:val="nil"/>
              <w:right w:val="nil"/>
            </w:tcBorders>
            <w:shd w:val="clear" w:color="000000" w:fill="FFFFFF"/>
            <w:noWrap/>
            <w:vAlign w:val="bottom"/>
            <w:hideMark/>
          </w:tcPr>
          <w:p w14:paraId="12ECE27E"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5728" w:type="dxa"/>
            <w:tcBorders>
              <w:top w:val="nil"/>
              <w:left w:val="nil"/>
              <w:bottom w:val="nil"/>
              <w:right w:val="nil"/>
            </w:tcBorders>
            <w:shd w:val="clear" w:color="000000" w:fill="FFFFFF"/>
            <w:noWrap/>
            <w:vAlign w:val="bottom"/>
            <w:hideMark/>
          </w:tcPr>
          <w:p w14:paraId="24B9B445"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1080" w:type="dxa"/>
            <w:tcBorders>
              <w:top w:val="nil"/>
              <w:left w:val="nil"/>
              <w:bottom w:val="nil"/>
              <w:right w:val="nil"/>
            </w:tcBorders>
            <w:shd w:val="clear" w:color="000000" w:fill="FFFFFF"/>
            <w:noWrap/>
            <w:vAlign w:val="bottom"/>
            <w:hideMark/>
          </w:tcPr>
          <w:p w14:paraId="03459343"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2131" w:type="dxa"/>
            <w:tcBorders>
              <w:top w:val="nil"/>
              <w:left w:val="nil"/>
              <w:bottom w:val="nil"/>
              <w:right w:val="nil"/>
            </w:tcBorders>
            <w:shd w:val="clear" w:color="000000" w:fill="FFFFFF"/>
            <w:noWrap/>
            <w:vAlign w:val="bottom"/>
            <w:hideMark/>
          </w:tcPr>
          <w:p w14:paraId="1F2F1CCD"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r>
      <w:tr w:rsidR="00387617" w:rsidRPr="00973C14" w14:paraId="366EB69D" w14:textId="77777777" w:rsidTr="00E33B31">
        <w:trPr>
          <w:trHeight w:val="315"/>
          <w:jc w:val="center"/>
        </w:trPr>
        <w:tc>
          <w:tcPr>
            <w:tcW w:w="272" w:type="dxa"/>
            <w:tcBorders>
              <w:top w:val="nil"/>
              <w:left w:val="nil"/>
              <w:bottom w:val="nil"/>
              <w:right w:val="nil"/>
            </w:tcBorders>
            <w:shd w:val="clear" w:color="auto" w:fill="D9D9D9" w:themeFill="background1" w:themeFillShade="D9"/>
            <w:noWrap/>
            <w:vAlign w:val="bottom"/>
            <w:hideMark/>
          </w:tcPr>
          <w:p w14:paraId="158796AD"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272" w:type="dxa"/>
            <w:tcBorders>
              <w:top w:val="nil"/>
              <w:left w:val="nil"/>
              <w:bottom w:val="nil"/>
              <w:right w:val="nil"/>
            </w:tcBorders>
            <w:shd w:val="clear" w:color="auto" w:fill="D9D9D9" w:themeFill="background1" w:themeFillShade="D9"/>
            <w:noWrap/>
            <w:vAlign w:val="bottom"/>
            <w:hideMark/>
          </w:tcPr>
          <w:p w14:paraId="0DAC2E5D"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5728" w:type="dxa"/>
            <w:tcBorders>
              <w:top w:val="nil"/>
              <w:left w:val="nil"/>
              <w:bottom w:val="nil"/>
              <w:right w:val="nil"/>
            </w:tcBorders>
            <w:shd w:val="clear" w:color="auto" w:fill="D9D9D9" w:themeFill="background1" w:themeFillShade="D9"/>
            <w:noWrap/>
            <w:vAlign w:val="bottom"/>
            <w:hideMark/>
          </w:tcPr>
          <w:p w14:paraId="217B4C27"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3211" w:type="dxa"/>
            <w:gridSpan w:val="2"/>
            <w:tcBorders>
              <w:top w:val="nil"/>
              <w:left w:val="nil"/>
              <w:bottom w:val="double" w:sz="6" w:space="0" w:color="auto"/>
              <w:right w:val="nil"/>
            </w:tcBorders>
            <w:shd w:val="clear" w:color="auto" w:fill="D9D9D9" w:themeFill="background1" w:themeFillShade="D9"/>
            <w:noWrap/>
            <w:vAlign w:val="bottom"/>
            <w:hideMark/>
          </w:tcPr>
          <w:p w14:paraId="122527A6" w14:textId="77777777" w:rsidR="00387617" w:rsidRPr="00973C14" w:rsidRDefault="00387617" w:rsidP="00E33B31">
            <w:pPr>
              <w:spacing w:after="0"/>
              <w:jc w:val="center"/>
              <w:rPr>
                <w:rFonts w:ascii="Calibri" w:hAnsi="Calibri" w:cs="Arial"/>
                <w:b/>
                <w:bCs/>
                <w:color w:val="000000"/>
                <w:sz w:val="18"/>
                <w:szCs w:val="18"/>
              </w:rPr>
            </w:pPr>
            <w:r w:rsidRPr="00973C14">
              <w:rPr>
                <w:rFonts w:ascii="Calibri" w:hAnsi="Calibri" w:cs="Arial"/>
                <w:b/>
                <w:bCs/>
                <w:color w:val="000000"/>
                <w:sz w:val="18"/>
                <w:szCs w:val="18"/>
              </w:rPr>
              <w:t>More Adverse Scenario</w:t>
            </w:r>
          </w:p>
        </w:tc>
      </w:tr>
      <w:tr w:rsidR="00387617" w:rsidRPr="00973C14" w14:paraId="4A04D4C2" w14:textId="77777777" w:rsidTr="00E33B31">
        <w:trPr>
          <w:trHeight w:val="315"/>
          <w:jc w:val="center"/>
        </w:trPr>
        <w:tc>
          <w:tcPr>
            <w:tcW w:w="6272" w:type="dxa"/>
            <w:gridSpan w:val="3"/>
            <w:tcBorders>
              <w:top w:val="nil"/>
              <w:left w:val="nil"/>
              <w:bottom w:val="nil"/>
              <w:right w:val="nil"/>
            </w:tcBorders>
            <w:shd w:val="clear" w:color="000000" w:fill="FFFFFF"/>
            <w:noWrap/>
            <w:vAlign w:val="bottom"/>
            <w:hideMark/>
          </w:tcPr>
          <w:p w14:paraId="50607E6D" w14:textId="77777777" w:rsidR="00387617" w:rsidRPr="00973C14" w:rsidRDefault="00387617" w:rsidP="00E33B31">
            <w:pPr>
              <w:spacing w:after="0"/>
              <w:rPr>
                <w:rFonts w:ascii="Calibri" w:hAnsi="Calibri" w:cs="Arial"/>
                <w:b/>
                <w:bCs/>
                <w:color w:val="000000"/>
                <w:sz w:val="18"/>
                <w:szCs w:val="18"/>
              </w:rPr>
            </w:pPr>
            <w:r w:rsidRPr="00973C14">
              <w:rPr>
                <w:rFonts w:ascii="Calibri" w:hAnsi="Calibri" w:cs="Arial"/>
                <w:b/>
                <w:bCs/>
                <w:color w:val="000000"/>
                <w:sz w:val="18"/>
                <w:szCs w:val="18"/>
              </w:rPr>
              <w:t>Estimated for 2009 and 2010 for the More Adverse Scenario</w:t>
            </w:r>
          </w:p>
        </w:tc>
        <w:tc>
          <w:tcPr>
            <w:tcW w:w="1080" w:type="dxa"/>
            <w:tcBorders>
              <w:top w:val="nil"/>
              <w:left w:val="nil"/>
              <w:bottom w:val="single" w:sz="4" w:space="0" w:color="auto"/>
              <w:right w:val="nil"/>
            </w:tcBorders>
            <w:shd w:val="clear" w:color="000000" w:fill="FFFFFF"/>
            <w:noWrap/>
            <w:vAlign w:val="bottom"/>
            <w:hideMark/>
          </w:tcPr>
          <w:p w14:paraId="20DEE9D3" w14:textId="77777777" w:rsidR="00387617" w:rsidRPr="00973C14" w:rsidRDefault="00387617" w:rsidP="00E33B31">
            <w:pPr>
              <w:spacing w:after="0"/>
              <w:jc w:val="center"/>
              <w:rPr>
                <w:rFonts w:ascii="Calibri" w:hAnsi="Calibri" w:cs="Arial"/>
                <w:b/>
                <w:bCs/>
                <w:color w:val="000000"/>
                <w:sz w:val="18"/>
                <w:szCs w:val="18"/>
              </w:rPr>
            </w:pPr>
            <w:r w:rsidRPr="00973C14">
              <w:rPr>
                <w:rFonts w:ascii="Calibri" w:hAnsi="Calibri" w:cs="Arial"/>
                <w:b/>
                <w:bCs/>
                <w:color w:val="000000"/>
                <w:sz w:val="18"/>
                <w:szCs w:val="18"/>
              </w:rPr>
              <w:t>$ Billions</w:t>
            </w:r>
          </w:p>
        </w:tc>
        <w:tc>
          <w:tcPr>
            <w:tcW w:w="2131" w:type="dxa"/>
            <w:tcBorders>
              <w:top w:val="nil"/>
              <w:left w:val="nil"/>
              <w:bottom w:val="single" w:sz="4" w:space="0" w:color="auto"/>
              <w:right w:val="nil"/>
            </w:tcBorders>
            <w:shd w:val="clear" w:color="000000" w:fill="FFFFFF"/>
            <w:noWrap/>
            <w:vAlign w:val="bottom"/>
            <w:hideMark/>
          </w:tcPr>
          <w:p w14:paraId="22BD0F68" w14:textId="77777777" w:rsidR="00387617" w:rsidRPr="00973C14" w:rsidRDefault="00387617" w:rsidP="00E33B31">
            <w:pPr>
              <w:spacing w:after="0"/>
              <w:jc w:val="center"/>
              <w:rPr>
                <w:rFonts w:ascii="Calibri" w:hAnsi="Calibri" w:cs="Arial"/>
                <w:b/>
                <w:bCs/>
                <w:color w:val="000000"/>
                <w:sz w:val="18"/>
                <w:szCs w:val="18"/>
              </w:rPr>
            </w:pPr>
            <w:r w:rsidRPr="00973C14">
              <w:rPr>
                <w:rFonts w:ascii="Calibri" w:hAnsi="Calibri" w:cs="Arial"/>
                <w:b/>
                <w:bCs/>
                <w:color w:val="000000"/>
                <w:sz w:val="18"/>
                <w:szCs w:val="18"/>
              </w:rPr>
              <w:t>As % of Loans</w:t>
            </w:r>
          </w:p>
        </w:tc>
      </w:tr>
      <w:tr w:rsidR="00387617" w:rsidRPr="00973C14" w14:paraId="46A3A83E" w14:textId="77777777" w:rsidTr="00E33B31">
        <w:trPr>
          <w:trHeight w:val="300"/>
          <w:jc w:val="center"/>
        </w:trPr>
        <w:tc>
          <w:tcPr>
            <w:tcW w:w="6272" w:type="dxa"/>
            <w:gridSpan w:val="3"/>
            <w:tcBorders>
              <w:top w:val="nil"/>
              <w:left w:val="nil"/>
              <w:bottom w:val="nil"/>
              <w:right w:val="nil"/>
            </w:tcBorders>
            <w:shd w:val="clear" w:color="auto" w:fill="D9D9D9" w:themeFill="background1" w:themeFillShade="D9"/>
            <w:noWrap/>
            <w:vAlign w:val="bottom"/>
            <w:hideMark/>
          </w:tcPr>
          <w:p w14:paraId="3662F75C"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Total Estimated Losses (Before purchase accounting adjustment)</w:t>
            </w:r>
          </w:p>
        </w:tc>
        <w:tc>
          <w:tcPr>
            <w:tcW w:w="1080" w:type="dxa"/>
            <w:tcBorders>
              <w:top w:val="nil"/>
              <w:left w:val="nil"/>
              <w:bottom w:val="nil"/>
              <w:right w:val="nil"/>
            </w:tcBorders>
            <w:shd w:val="clear" w:color="auto" w:fill="D9D9D9" w:themeFill="background1" w:themeFillShade="D9"/>
            <w:noWrap/>
            <w:vAlign w:val="bottom"/>
            <w:hideMark/>
          </w:tcPr>
          <w:p w14:paraId="0DB858F2"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136.6</w:t>
            </w:r>
          </w:p>
        </w:tc>
        <w:tc>
          <w:tcPr>
            <w:tcW w:w="2131" w:type="dxa"/>
            <w:tcBorders>
              <w:top w:val="nil"/>
              <w:left w:val="nil"/>
              <w:bottom w:val="nil"/>
              <w:right w:val="nil"/>
            </w:tcBorders>
            <w:shd w:val="clear" w:color="auto" w:fill="D9D9D9" w:themeFill="background1" w:themeFillShade="D9"/>
            <w:noWrap/>
            <w:vAlign w:val="bottom"/>
            <w:hideMark/>
          </w:tcPr>
          <w:p w14:paraId="7438EB31"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 </w:t>
            </w:r>
          </w:p>
        </w:tc>
      </w:tr>
      <w:tr w:rsidR="00387617" w:rsidRPr="00973C14" w14:paraId="778F4F19" w14:textId="77777777" w:rsidTr="00E33B31">
        <w:trPr>
          <w:trHeight w:val="300"/>
          <w:jc w:val="center"/>
        </w:trPr>
        <w:tc>
          <w:tcPr>
            <w:tcW w:w="272" w:type="dxa"/>
            <w:tcBorders>
              <w:top w:val="nil"/>
              <w:left w:val="nil"/>
              <w:bottom w:val="nil"/>
              <w:right w:val="nil"/>
            </w:tcBorders>
            <w:shd w:val="clear" w:color="000000" w:fill="FFFFFF"/>
            <w:noWrap/>
            <w:vAlign w:val="bottom"/>
            <w:hideMark/>
          </w:tcPr>
          <w:p w14:paraId="0F7A2CAA"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6000" w:type="dxa"/>
            <w:gridSpan w:val="2"/>
            <w:tcBorders>
              <w:top w:val="nil"/>
              <w:left w:val="nil"/>
              <w:bottom w:val="nil"/>
              <w:right w:val="nil"/>
            </w:tcBorders>
            <w:shd w:val="clear" w:color="000000" w:fill="FFFFFF"/>
            <w:noWrap/>
            <w:vAlign w:val="bottom"/>
            <w:hideMark/>
          </w:tcPr>
          <w:p w14:paraId="5D103CF0"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First Lien Mortgage</w:t>
            </w:r>
          </w:p>
        </w:tc>
        <w:tc>
          <w:tcPr>
            <w:tcW w:w="1080" w:type="dxa"/>
            <w:tcBorders>
              <w:top w:val="nil"/>
              <w:left w:val="nil"/>
              <w:bottom w:val="nil"/>
              <w:right w:val="nil"/>
            </w:tcBorders>
            <w:shd w:val="clear" w:color="000000" w:fill="FFFFFF"/>
            <w:noWrap/>
            <w:vAlign w:val="bottom"/>
            <w:hideMark/>
          </w:tcPr>
          <w:p w14:paraId="52FEB275"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22.1</w:t>
            </w:r>
          </w:p>
        </w:tc>
        <w:tc>
          <w:tcPr>
            <w:tcW w:w="2131" w:type="dxa"/>
            <w:tcBorders>
              <w:top w:val="nil"/>
              <w:left w:val="nil"/>
              <w:bottom w:val="nil"/>
              <w:right w:val="nil"/>
            </w:tcBorders>
            <w:shd w:val="clear" w:color="000000" w:fill="FFFFFF"/>
            <w:noWrap/>
            <w:vAlign w:val="bottom"/>
            <w:hideMark/>
          </w:tcPr>
          <w:p w14:paraId="1011023B"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 xml:space="preserve"> 6.8%</w:t>
            </w:r>
          </w:p>
        </w:tc>
      </w:tr>
      <w:tr w:rsidR="00387617" w:rsidRPr="00973C14" w14:paraId="3FE40865" w14:textId="77777777" w:rsidTr="00E33B31">
        <w:trPr>
          <w:trHeight w:val="300"/>
          <w:jc w:val="center"/>
        </w:trPr>
        <w:tc>
          <w:tcPr>
            <w:tcW w:w="272" w:type="dxa"/>
            <w:tcBorders>
              <w:top w:val="nil"/>
              <w:left w:val="nil"/>
              <w:bottom w:val="nil"/>
              <w:right w:val="nil"/>
            </w:tcBorders>
            <w:shd w:val="clear" w:color="auto" w:fill="D9D9D9" w:themeFill="background1" w:themeFillShade="D9"/>
            <w:noWrap/>
            <w:vAlign w:val="bottom"/>
            <w:hideMark/>
          </w:tcPr>
          <w:p w14:paraId="4FDA5EBA"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6000" w:type="dxa"/>
            <w:gridSpan w:val="2"/>
            <w:tcBorders>
              <w:top w:val="nil"/>
              <w:left w:val="nil"/>
              <w:bottom w:val="nil"/>
              <w:right w:val="nil"/>
            </w:tcBorders>
            <w:shd w:val="clear" w:color="auto" w:fill="D9D9D9" w:themeFill="background1" w:themeFillShade="D9"/>
            <w:noWrap/>
            <w:vAlign w:val="bottom"/>
            <w:hideMark/>
          </w:tcPr>
          <w:p w14:paraId="0770EE19"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Second/Junior Lien Mortgage</w:t>
            </w:r>
          </w:p>
        </w:tc>
        <w:tc>
          <w:tcPr>
            <w:tcW w:w="1080" w:type="dxa"/>
            <w:tcBorders>
              <w:top w:val="nil"/>
              <w:left w:val="nil"/>
              <w:bottom w:val="nil"/>
              <w:right w:val="nil"/>
            </w:tcBorders>
            <w:shd w:val="clear" w:color="auto" w:fill="D9D9D9" w:themeFill="background1" w:themeFillShade="D9"/>
            <w:noWrap/>
            <w:vAlign w:val="bottom"/>
            <w:hideMark/>
          </w:tcPr>
          <w:p w14:paraId="126AF779"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21.4</w:t>
            </w:r>
          </w:p>
        </w:tc>
        <w:tc>
          <w:tcPr>
            <w:tcW w:w="2131" w:type="dxa"/>
            <w:tcBorders>
              <w:top w:val="nil"/>
              <w:left w:val="nil"/>
              <w:bottom w:val="nil"/>
              <w:right w:val="nil"/>
            </w:tcBorders>
            <w:shd w:val="clear" w:color="auto" w:fill="D9D9D9" w:themeFill="background1" w:themeFillShade="D9"/>
            <w:noWrap/>
            <w:vAlign w:val="bottom"/>
            <w:hideMark/>
          </w:tcPr>
          <w:p w14:paraId="2CA48DE3"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13.5%</w:t>
            </w:r>
          </w:p>
        </w:tc>
      </w:tr>
      <w:tr w:rsidR="00387617" w:rsidRPr="00973C14" w14:paraId="6228CDD5" w14:textId="77777777" w:rsidTr="00E33B31">
        <w:trPr>
          <w:trHeight w:val="300"/>
          <w:jc w:val="center"/>
        </w:trPr>
        <w:tc>
          <w:tcPr>
            <w:tcW w:w="272" w:type="dxa"/>
            <w:tcBorders>
              <w:top w:val="nil"/>
              <w:left w:val="nil"/>
              <w:bottom w:val="nil"/>
              <w:right w:val="nil"/>
            </w:tcBorders>
            <w:shd w:val="clear" w:color="000000" w:fill="FFFFFF"/>
            <w:noWrap/>
            <w:vAlign w:val="bottom"/>
            <w:hideMark/>
          </w:tcPr>
          <w:p w14:paraId="2A22D6BF"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6000" w:type="dxa"/>
            <w:gridSpan w:val="2"/>
            <w:tcBorders>
              <w:top w:val="nil"/>
              <w:left w:val="nil"/>
              <w:bottom w:val="nil"/>
              <w:right w:val="nil"/>
            </w:tcBorders>
            <w:shd w:val="clear" w:color="000000" w:fill="FFFFFF"/>
            <w:noWrap/>
            <w:vAlign w:val="bottom"/>
            <w:hideMark/>
          </w:tcPr>
          <w:p w14:paraId="15951EE1"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Commercial and Industrial Loans</w:t>
            </w:r>
          </w:p>
        </w:tc>
        <w:tc>
          <w:tcPr>
            <w:tcW w:w="1080" w:type="dxa"/>
            <w:tcBorders>
              <w:top w:val="nil"/>
              <w:left w:val="nil"/>
              <w:bottom w:val="nil"/>
              <w:right w:val="nil"/>
            </w:tcBorders>
            <w:shd w:val="clear" w:color="000000" w:fill="FFFFFF"/>
            <w:noWrap/>
            <w:vAlign w:val="bottom"/>
            <w:hideMark/>
          </w:tcPr>
          <w:p w14:paraId="14CE47C7"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15.7</w:t>
            </w:r>
          </w:p>
        </w:tc>
        <w:tc>
          <w:tcPr>
            <w:tcW w:w="2131" w:type="dxa"/>
            <w:tcBorders>
              <w:top w:val="nil"/>
              <w:left w:val="nil"/>
              <w:bottom w:val="nil"/>
              <w:right w:val="nil"/>
            </w:tcBorders>
            <w:shd w:val="clear" w:color="000000" w:fill="FFFFFF"/>
            <w:noWrap/>
            <w:vAlign w:val="bottom"/>
            <w:hideMark/>
          </w:tcPr>
          <w:p w14:paraId="48A44CF2"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 xml:space="preserve"> 7.0%</w:t>
            </w:r>
          </w:p>
        </w:tc>
      </w:tr>
      <w:tr w:rsidR="00387617" w:rsidRPr="00973C14" w14:paraId="32B5B39C" w14:textId="77777777" w:rsidTr="00E33B31">
        <w:trPr>
          <w:trHeight w:val="300"/>
          <w:jc w:val="center"/>
        </w:trPr>
        <w:tc>
          <w:tcPr>
            <w:tcW w:w="272" w:type="dxa"/>
            <w:tcBorders>
              <w:top w:val="nil"/>
              <w:left w:val="nil"/>
              <w:bottom w:val="nil"/>
              <w:right w:val="nil"/>
            </w:tcBorders>
            <w:shd w:val="clear" w:color="auto" w:fill="D9D9D9" w:themeFill="background1" w:themeFillShade="D9"/>
            <w:noWrap/>
            <w:vAlign w:val="bottom"/>
            <w:hideMark/>
          </w:tcPr>
          <w:p w14:paraId="526D5020"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6000" w:type="dxa"/>
            <w:gridSpan w:val="2"/>
            <w:tcBorders>
              <w:top w:val="nil"/>
              <w:left w:val="nil"/>
              <w:bottom w:val="nil"/>
              <w:right w:val="nil"/>
            </w:tcBorders>
            <w:shd w:val="clear" w:color="auto" w:fill="D9D9D9" w:themeFill="background1" w:themeFillShade="D9"/>
            <w:noWrap/>
            <w:vAlign w:val="bottom"/>
            <w:hideMark/>
          </w:tcPr>
          <w:p w14:paraId="46A7BD1B"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Commercial Real Estate Loans</w:t>
            </w:r>
          </w:p>
        </w:tc>
        <w:tc>
          <w:tcPr>
            <w:tcW w:w="1080" w:type="dxa"/>
            <w:tcBorders>
              <w:top w:val="nil"/>
              <w:left w:val="nil"/>
              <w:bottom w:val="nil"/>
              <w:right w:val="nil"/>
            </w:tcBorders>
            <w:shd w:val="clear" w:color="auto" w:fill="D9D9D9" w:themeFill="background1" w:themeFillShade="D9"/>
            <w:noWrap/>
            <w:vAlign w:val="bottom"/>
            <w:hideMark/>
          </w:tcPr>
          <w:p w14:paraId="2C0E9AB6"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9.4</w:t>
            </w:r>
          </w:p>
        </w:tc>
        <w:tc>
          <w:tcPr>
            <w:tcW w:w="2131" w:type="dxa"/>
            <w:tcBorders>
              <w:top w:val="nil"/>
              <w:left w:val="nil"/>
              <w:bottom w:val="nil"/>
              <w:right w:val="nil"/>
            </w:tcBorders>
            <w:shd w:val="clear" w:color="auto" w:fill="D9D9D9" w:themeFill="background1" w:themeFillShade="D9"/>
            <w:noWrap/>
            <w:vAlign w:val="bottom"/>
            <w:hideMark/>
          </w:tcPr>
          <w:p w14:paraId="47521328"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 xml:space="preserve"> 9.1%</w:t>
            </w:r>
          </w:p>
        </w:tc>
      </w:tr>
      <w:tr w:rsidR="00387617" w:rsidRPr="00973C14" w14:paraId="1302DBCC" w14:textId="77777777" w:rsidTr="00E33B31">
        <w:trPr>
          <w:trHeight w:val="300"/>
          <w:jc w:val="center"/>
        </w:trPr>
        <w:tc>
          <w:tcPr>
            <w:tcW w:w="272" w:type="dxa"/>
            <w:tcBorders>
              <w:top w:val="nil"/>
              <w:left w:val="nil"/>
              <w:bottom w:val="nil"/>
              <w:right w:val="nil"/>
            </w:tcBorders>
            <w:shd w:val="clear" w:color="000000" w:fill="FFFFFF"/>
            <w:noWrap/>
            <w:vAlign w:val="bottom"/>
            <w:hideMark/>
          </w:tcPr>
          <w:p w14:paraId="7FB8257C"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6000" w:type="dxa"/>
            <w:gridSpan w:val="2"/>
            <w:tcBorders>
              <w:top w:val="nil"/>
              <w:left w:val="nil"/>
              <w:bottom w:val="nil"/>
              <w:right w:val="nil"/>
            </w:tcBorders>
            <w:shd w:val="clear" w:color="000000" w:fill="FFFFFF"/>
            <w:noWrap/>
            <w:vAlign w:val="bottom"/>
            <w:hideMark/>
          </w:tcPr>
          <w:p w14:paraId="568300A1"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Credit Card Loans</w:t>
            </w:r>
          </w:p>
        </w:tc>
        <w:tc>
          <w:tcPr>
            <w:tcW w:w="1080" w:type="dxa"/>
            <w:tcBorders>
              <w:top w:val="nil"/>
              <w:left w:val="nil"/>
              <w:bottom w:val="nil"/>
              <w:right w:val="nil"/>
            </w:tcBorders>
            <w:shd w:val="clear" w:color="000000" w:fill="FFFFFF"/>
            <w:noWrap/>
            <w:vAlign w:val="bottom"/>
            <w:hideMark/>
          </w:tcPr>
          <w:p w14:paraId="7ABC009E"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19.1</w:t>
            </w:r>
          </w:p>
        </w:tc>
        <w:tc>
          <w:tcPr>
            <w:tcW w:w="2131" w:type="dxa"/>
            <w:tcBorders>
              <w:top w:val="nil"/>
              <w:left w:val="nil"/>
              <w:bottom w:val="nil"/>
              <w:right w:val="nil"/>
            </w:tcBorders>
            <w:shd w:val="clear" w:color="000000" w:fill="FFFFFF"/>
            <w:noWrap/>
            <w:vAlign w:val="bottom"/>
            <w:hideMark/>
          </w:tcPr>
          <w:p w14:paraId="1970AF54"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23.5%</w:t>
            </w:r>
          </w:p>
        </w:tc>
      </w:tr>
      <w:tr w:rsidR="00387617" w:rsidRPr="00973C14" w14:paraId="2BD34F8B" w14:textId="77777777" w:rsidTr="00E33B31">
        <w:trPr>
          <w:trHeight w:val="300"/>
          <w:jc w:val="center"/>
        </w:trPr>
        <w:tc>
          <w:tcPr>
            <w:tcW w:w="272" w:type="dxa"/>
            <w:tcBorders>
              <w:top w:val="nil"/>
              <w:left w:val="nil"/>
              <w:bottom w:val="nil"/>
              <w:right w:val="nil"/>
            </w:tcBorders>
            <w:shd w:val="clear" w:color="auto" w:fill="D9D9D9" w:themeFill="background1" w:themeFillShade="D9"/>
            <w:noWrap/>
            <w:vAlign w:val="bottom"/>
            <w:hideMark/>
          </w:tcPr>
          <w:p w14:paraId="6FB6D003"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6000" w:type="dxa"/>
            <w:gridSpan w:val="2"/>
            <w:tcBorders>
              <w:top w:val="nil"/>
              <w:left w:val="nil"/>
              <w:bottom w:val="nil"/>
              <w:right w:val="nil"/>
            </w:tcBorders>
            <w:shd w:val="clear" w:color="auto" w:fill="D9D9D9" w:themeFill="background1" w:themeFillShade="D9"/>
            <w:noWrap/>
            <w:vAlign w:val="bottom"/>
            <w:hideMark/>
          </w:tcPr>
          <w:p w14:paraId="5356F80D"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Securities (AFS and HTM)</w:t>
            </w:r>
          </w:p>
        </w:tc>
        <w:tc>
          <w:tcPr>
            <w:tcW w:w="1080" w:type="dxa"/>
            <w:tcBorders>
              <w:top w:val="nil"/>
              <w:left w:val="nil"/>
              <w:bottom w:val="nil"/>
              <w:right w:val="nil"/>
            </w:tcBorders>
            <w:shd w:val="clear" w:color="auto" w:fill="D9D9D9" w:themeFill="background1" w:themeFillShade="D9"/>
            <w:noWrap/>
            <w:vAlign w:val="bottom"/>
            <w:hideMark/>
          </w:tcPr>
          <w:p w14:paraId="4A76F964"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8.5</w:t>
            </w:r>
          </w:p>
        </w:tc>
        <w:tc>
          <w:tcPr>
            <w:tcW w:w="2131" w:type="dxa"/>
            <w:tcBorders>
              <w:top w:val="nil"/>
              <w:left w:val="nil"/>
              <w:bottom w:val="nil"/>
              <w:right w:val="nil"/>
            </w:tcBorders>
            <w:shd w:val="clear" w:color="auto" w:fill="D9D9D9" w:themeFill="background1" w:themeFillShade="D9"/>
            <w:noWrap/>
            <w:vAlign w:val="bottom"/>
            <w:hideMark/>
          </w:tcPr>
          <w:p w14:paraId="514A5608"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-na-</w:t>
            </w:r>
          </w:p>
        </w:tc>
      </w:tr>
      <w:tr w:rsidR="00387617" w:rsidRPr="00973C14" w14:paraId="013F25D8" w14:textId="77777777" w:rsidTr="00E33B31">
        <w:trPr>
          <w:trHeight w:val="300"/>
          <w:jc w:val="center"/>
        </w:trPr>
        <w:tc>
          <w:tcPr>
            <w:tcW w:w="272" w:type="dxa"/>
            <w:tcBorders>
              <w:top w:val="nil"/>
              <w:left w:val="nil"/>
              <w:bottom w:val="nil"/>
              <w:right w:val="nil"/>
            </w:tcBorders>
            <w:shd w:val="clear" w:color="000000" w:fill="FFFFFF"/>
            <w:noWrap/>
            <w:vAlign w:val="bottom"/>
            <w:hideMark/>
          </w:tcPr>
          <w:p w14:paraId="649F4AC8"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6000" w:type="dxa"/>
            <w:gridSpan w:val="2"/>
            <w:tcBorders>
              <w:top w:val="nil"/>
              <w:left w:val="nil"/>
              <w:bottom w:val="nil"/>
              <w:right w:val="nil"/>
            </w:tcBorders>
            <w:shd w:val="clear" w:color="000000" w:fill="FFFFFF"/>
            <w:noWrap/>
            <w:vAlign w:val="bottom"/>
            <w:hideMark/>
          </w:tcPr>
          <w:p w14:paraId="4E04B8D7"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Trading &amp; Counterparty</w:t>
            </w:r>
          </w:p>
        </w:tc>
        <w:tc>
          <w:tcPr>
            <w:tcW w:w="1080" w:type="dxa"/>
            <w:tcBorders>
              <w:top w:val="nil"/>
              <w:left w:val="nil"/>
              <w:bottom w:val="nil"/>
              <w:right w:val="nil"/>
            </w:tcBorders>
            <w:shd w:val="clear" w:color="000000" w:fill="FFFFFF"/>
            <w:noWrap/>
            <w:vAlign w:val="bottom"/>
            <w:hideMark/>
          </w:tcPr>
          <w:p w14:paraId="2633F64F"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24.1</w:t>
            </w:r>
          </w:p>
        </w:tc>
        <w:tc>
          <w:tcPr>
            <w:tcW w:w="2131" w:type="dxa"/>
            <w:tcBorders>
              <w:top w:val="nil"/>
              <w:left w:val="nil"/>
              <w:bottom w:val="nil"/>
              <w:right w:val="nil"/>
            </w:tcBorders>
            <w:shd w:val="clear" w:color="000000" w:fill="FFFFFF"/>
            <w:noWrap/>
            <w:vAlign w:val="bottom"/>
            <w:hideMark/>
          </w:tcPr>
          <w:p w14:paraId="327D0540"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-na-</w:t>
            </w:r>
          </w:p>
        </w:tc>
      </w:tr>
      <w:tr w:rsidR="00387617" w:rsidRPr="00973C14" w14:paraId="73DA33BB" w14:textId="77777777" w:rsidTr="00E33B31">
        <w:trPr>
          <w:trHeight w:val="300"/>
          <w:jc w:val="center"/>
        </w:trPr>
        <w:tc>
          <w:tcPr>
            <w:tcW w:w="272" w:type="dxa"/>
            <w:tcBorders>
              <w:top w:val="nil"/>
              <w:left w:val="nil"/>
              <w:bottom w:val="nil"/>
              <w:right w:val="nil"/>
            </w:tcBorders>
            <w:shd w:val="clear" w:color="auto" w:fill="D9D9D9" w:themeFill="background1" w:themeFillShade="D9"/>
            <w:noWrap/>
            <w:vAlign w:val="bottom"/>
            <w:hideMark/>
          </w:tcPr>
          <w:p w14:paraId="6E9B8EC8"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6000" w:type="dxa"/>
            <w:gridSpan w:val="2"/>
            <w:tcBorders>
              <w:top w:val="nil"/>
              <w:left w:val="nil"/>
              <w:bottom w:val="nil"/>
              <w:right w:val="nil"/>
            </w:tcBorders>
            <w:shd w:val="clear" w:color="auto" w:fill="D9D9D9" w:themeFill="background1" w:themeFillShade="D9"/>
            <w:noWrap/>
            <w:vAlign w:val="bottom"/>
            <w:hideMark/>
          </w:tcPr>
          <w:p w14:paraId="60C17B27"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Other (1)</w:t>
            </w:r>
          </w:p>
        </w:tc>
        <w:tc>
          <w:tcPr>
            <w:tcW w:w="1080" w:type="dxa"/>
            <w:tcBorders>
              <w:top w:val="nil"/>
              <w:left w:val="nil"/>
              <w:bottom w:val="nil"/>
              <w:right w:val="nil"/>
            </w:tcBorders>
            <w:shd w:val="clear" w:color="auto" w:fill="D9D9D9" w:themeFill="background1" w:themeFillShade="D9"/>
            <w:noWrap/>
            <w:vAlign w:val="bottom"/>
            <w:hideMark/>
          </w:tcPr>
          <w:p w14:paraId="799E6D24"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16.4</w:t>
            </w:r>
          </w:p>
        </w:tc>
        <w:tc>
          <w:tcPr>
            <w:tcW w:w="2131" w:type="dxa"/>
            <w:tcBorders>
              <w:top w:val="nil"/>
              <w:left w:val="nil"/>
              <w:bottom w:val="nil"/>
              <w:right w:val="nil"/>
            </w:tcBorders>
            <w:shd w:val="clear" w:color="auto" w:fill="D9D9D9" w:themeFill="background1" w:themeFillShade="D9"/>
            <w:noWrap/>
            <w:vAlign w:val="bottom"/>
            <w:hideMark/>
          </w:tcPr>
          <w:p w14:paraId="4DCE0672"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-na-</w:t>
            </w:r>
          </w:p>
        </w:tc>
      </w:tr>
      <w:tr w:rsidR="00387617" w:rsidRPr="00973C14" w14:paraId="0D61CE86" w14:textId="77777777" w:rsidTr="00E33B31">
        <w:trPr>
          <w:trHeight w:val="300"/>
          <w:jc w:val="center"/>
        </w:trPr>
        <w:tc>
          <w:tcPr>
            <w:tcW w:w="272" w:type="dxa"/>
            <w:tcBorders>
              <w:top w:val="nil"/>
              <w:left w:val="nil"/>
              <w:bottom w:val="nil"/>
              <w:right w:val="nil"/>
            </w:tcBorders>
            <w:shd w:val="clear" w:color="000000" w:fill="FFFFFF"/>
            <w:noWrap/>
            <w:vAlign w:val="bottom"/>
            <w:hideMark/>
          </w:tcPr>
          <w:p w14:paraId="14FF717E"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6000" w:type="dxa"/>
            <w:gridSpan w:val="2"/>
            <w:tcBorders>
              <w:top w:val="nil"/>
              <w:left w:val="nil"/>
              <w:bottom w:val="nil"/>
              <w:right w:val="nil"/>
            </w:tcBorders>
            <w:shd w:val="clear" w:color="000000" w:fill="FFFFFF"/>
            <w:noWrap/>
            <w:vAlign w:val="bottom"/>
            <w:hideMark/>
          </w:tcPr>
          <w:p w14:paraId="26B19942"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Memo: Purchase Accounting Adjustments</w:t>
            </w:r>
          </w:p>
        </w:tc>
        <w:tc>
          <w:tcPr>
            <w:tcW w:w="1080" w:type="dxa"/>
            <w:tcBorders>
              <w:top w:val="nil"/>
              <w:left w:val="nil"/>
              <w:bottom w:val="nil"/>
              <w:right w:val="nil"/>
            </w:tcBorders>
            <w:shd w:val="clear" w:color="000000" w:fill="FFFFFF"/>
            <w:noWrap/>
            <w:vAlign w:val="bottom"/>
            <w:hideMark/>
          </w:tcPr>
          <w:p w14:paraId="06515272"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13.3</w:t>
            </w:r>
          </w:p>
        </w:tc>
        <w:tc>
          <w:tcPr>
            <w:tcW w:w="2131" w:type="dxa"/>
            <w:tcBorders>
              <w:top w:val="nil"/>
              <w:left w:val="nil"/>
              <w:bottom w:val="nil"/>
              <w:right w:val="nil"/>
            </w:tcBorders>
            <w:shd w:val="clear" w:color="000000" w:fill="FFFFFF"/>
            <w:noWrap/>
            <w:vAlign w:val="bottom"/>
            <w:hideMark/>
          </w:tcPr>
          <w:p w14:paraId="78D48E3E"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r>
      <w:tr w:rsidR="00387617" w:rsidRPr="00973C14" w14:paraId="0840EDA1" w14:textId="77777777" w:rsidTr="00E33B31">
        <w:trPr>
          <w:trHeight w:val="300"/>
          <w:jc w:val="center"/>
        </w:trPr>
        <w:tc>
          <w:tcPr>
            <w:tcW w:w="6272" w:type="dxa"/>
            <w:gridSpan w:val="3"/>
            <w:tcBorders>
              <w:top w:val="nil"/>
              <w:left w:val="nil"/>
              <w:bottom w:val="nil"/>
              <w:right w:val="nil"/>
            </w:tcBorders>
            <w:shd w:val="clear" w:color="auto" w:fill="D9D9D9" w:themeFill="background1" w:themeFillShade="D9"/>
            <w:noWrap/>
            <w:vAlign w:val="bottom"/>
            <w:hideMark/>
          </w:tcPr>
          <w:p w14:paraId="7C3C90AA"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Resources Other Than Capital to Absorb Losses (2)</w:t>
            </w:r>
          </w:p>
        </w:tc>
        <w:tc>
          <w:tcPr>
            <w:tcW w:w="1080" w:type="dxa"/>
            <w:tcBorders>
              <w:top w:val="nil"/>
              <w:left w:val="nil"/>
              <w:bottom w:val="nil"/>
              <w:right w:val="nil"/>
            </w:tcBorders>
            <w:shd w:val="clear" w:color="auto" w:fill="D9D9D9" w:themeFill="background1" w:themeFillShade="D9"/>
            <w:noWrap/>
            <w:vAlign w:val="bottom"/>
            <w:hideMark/>
          </w:tcPr>
          <w:p w14:paraId="3A86CD7B"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74.5</w:t>
            </w:r>
          </w:p>
        </w:tc>
        <w:tc>
          <w:tcPr>
            <w:tcW w:w="2131" w:type="dxa"/>
            <w:tcBorders>
              <w:top w:val="nil"/>
              <w:left w:val="nil"/>
              <w:bottom w:val="nil"/>
              <w:right w:val="nil"/>
            </w:tcBorders>
            <w:shd w:val="clear" w:color="auto" w:fill="D9D9D9" w:themeFill="background1" w:themeFillShade="D9"/>
            <w:noWrap/>
            <w:vAlign w:val="bottom"/>
            <w:hideMark/>
          </w:tcPr>
          <w:p w14:paraId="6085CE1C"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r>
      <w:tr w:rsidR="00387617" w:rsidRPr="00973C14" w14:paraId="06EAE27C" w14:textId="77777777" w:rsidTr="00E33B31">
        <w:trPr>
          <w:trHeight w:val="300"/>
          <w:jc w:val="center"/>
        </w:trPr>
        <w:tc>
          <w:tcPr>
            <w:tcW w:w="272" w:type="dxa"/>
            <w:tcBorders>
              <w:top w:val="nil"/>
              <w:left w:val="nil"/>
              <w:bottom w:val="nil"/>
              <w:right w:val="nil"/>
            </w:tcBorders>
            <w:shd w:val="clear" w:color="000000" w:fill="FFFFFF"/>
            <w:noWrap/>
            <w:vAlign w:val="bottom"/>
            <w:hideMark/>
          </w:tcPr>
          <w:p w14:paraId="3DE8EAB7"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272" w:type="dxa"/>
            <w:tcBorders>
              <w:top w:val="nil"/>
              <w:left w:val="nil"/>
              <w:bottom w:val="nil"/>
              <w:right w:val="nil"/>
            </w:tcBorders>
            <w:shd w:val="clear" w:color="000000" w:fill="FFFFFF"/>
            <w:noWrap/>
            <w:vAlign w:val="bottom"/>
            <w:hideMark/>
          </w:tcPr>
          <w:p w14:paraId="2B815549"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5728" w:type="dxa"/>
            <w:tcBorders>
              <w:top w:val="nil"/>
              <w:left w:val="nil"/>
              <w:bottom w:val="nil"/>
              <w:right w:val="nil"/>
            </w:tcBorders>
            <w:shd w:val="clear" w:color="000000" w:fill="FFFFFF"/>
            <w:noWrap/>
            <w:vAlign w:val="bottom"/>
            <w:hideMark/>
          </w:tcPr>
          <w:p w14:paraId="1BB18D17"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1080" w:type="dxa"/>
            <w:tcBorders>
              <w:top w:val="nil"/>
              <w:left w:val="nil"/>
              <w:bottom w:val="nil"/>
              <w:right w:val="nil"/>
            </w:tcBorders>
            <w:shd w:val="clear" w:color="000000" w:fill="FFFFFF"/>
            <w:noWrap/>
            <w:vAlign w:val="bottom"/>
            <w:hideMark/>
          </w:tcPr>
          <w:p w14:paraId="057E6E58"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2131" w:type="dxa"/>
            <w:tcBorders>
              <w:top w:val="nil"/>
              <w:left w:val="nil"/>
              <w:bottom w:val="nil"/>
              <w:right w:val="nil"/>
            </w:tcBorders>
            <w:shd w:val="clear" w:color="000000" w:fill="FFFFFF"/>
            <w:noWrap/>
            <w:vAlign w:val="bottom"/>
            <w:hideMark/>
          </w:tcPr>
          <w:p w14:paraId="5E5BE847"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r>
      <w:tr w:rsidR="00387617" w:rsidRPr="00973C14" w14:paraId="68AD7AC2" w14:textId="77777777" w:rsidTr="00E33B31">
        <w:trPr>
          <w:trHeight w:val="300"/>
          <w:jc w:val="center"/>
        </w:trPr>
        <w:tc>
          <w:tcPr>
            <w:tcW w:w="6272" w:type="dxa"/>
            <w:gridSpan w:val="3"/>
            <w:tcBorders>
              <w:top w:val="nil"/>
              <w:left w:val="nil"/>
              <w:bottom w:val="nil"/>
              <w:right w:val="nil"/>
            </w:tcBorders>
            <w:shd w:val="clear" w:color="auto" w:fill="D9D9D9" w:themeFill="background1" w:themeFillShade="D9"/>
            <w:noWrap/>
            <w:vAlign w:val="bottom"/>
            <w:hideMark/>
          </w:tcPr>
          <w:p w14:paraId="7BFF57BB" w14:textId="77777777" w:rsidR="00387617" w:rsidRPr="00973C14" w:rsidRDefault="00387617" w:rsidP="00E33B31">
            <w:pPr>
              <w:spacing w:after="0"/>
              <w:rPr>
                <w:rFonts w:ascii="Calibri" w:hAnsi="Calibri" w:cs="Arial"/>
                <w:b/>
                <w:bCs/>
                <w:color w:val="000000"/>
                <w:sz w:val="18"/>
                <w:szCs w:val="18"/>
              </w:rPr>
            </w:pPr>
            <w:r w:rsidRPr="00973C14">
              <w:rPr>
                <w:rFonts w:ascii="Calibri" w:hAnsi="Calibri" w:cs="Arial"/>
                <w:b/>
                <w:bCs/>
                <w:color w:val="000000"/>
                <w:sz w:val="18"/>
                <w:szCs w:val="18"/>
              </w:rPr>
              <w:t>SCAP Buffer Added for More Adverse Scenario</w:t>
            </w:r>
          </w:p>
        </w:tc>
        <w:tc>
          <w:tcPr>
            <w:tcW w:w="1080" w:type="dxa"/>
            <w:tcBorders>
              <w:top w:val="nil"/>
              <w:left w:val="nil"/>
              <w:bottom w:val="nil"/>
              <w:right w:val="nil"/>
            </w:tcBorders>
            <w:shd w:val="clear" w:color="auto" w:fill="D9D9D9" w:themeFill="background1" w:themeFillShade="D9"/>
            <w:noWrap/>
            <w:vAlign w:val="bottom"/>
            <w:hideMark/>
          </w:tcPr>
          <w:p w14:paraId="0DD592FA"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2131" w:type="dxa"/>
            <w:tcBorders>
              <w:top w:val="nil"/>
              <w:left w:val="nil"/>
              <w:bottom w:val="nil"/>
              <w:right w:val="nil"/>
            </w:tcBorders>
            <w:shd w:val="clear" w:color="auto" w:fill="D9D9D9" w:themeFill="background1" w:themeFillShade="D9"/>
            <w:noWrap/>
            <w:vAlign w:val="bottom"/>
            <w:hideMark/>
          </w:tcPr>
          <w:p w14:paraId="557445FA"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r>
      <w:tr w:rsidR="00387617" w:rsidRPr="00973C14" w14:paraId="11041FD5" w14:textId="77777777" w:rsidTr="00E33B31">
        <w:trPr>
          <w:trHeight w:val="342"/>
          <w:jc w:val="center"/>
        </w:trPr>
        <w:tc>
          <w:tcPr>
            <w:tcW w:w="7352" w:type="dxa"/>
            <w:gridSpan w:val="4"/>
            <w:tcBorders>
              <w:top w:val="nil"/>
              <w:left w:val="nil"/>
              <w:bottom w:val="nil"/>
              <w:right w:val="nil"/>
            </w:tcBorders>
            <w:shd w:val="clear" w:color="000000" w:fill="FFFFFF"/>
            <w:noWrap/>
            <w:vAlign w:val="bottom"/>
            <w:hideMark/>
          </w:tcPr>
          <w:p w14:paraId="624B56BE" w14:textId="77777777" w:rsidR="00387617" w:rsidRPr="00973C14" w:rsidRDefault="00387617" w:rsidP="00E33B31">
            <w:pPr>
              <w:spacing w:after="0"/>
              <w:rPr>
                <w:rFonts w:ascii="Calibri" w:hAnsi="Calibri" w:cs="Arial"/>
                <w:b/>
                <w:bCs/>
                <w:color w:val="000000"/>
                <w:sz w:val="18"/>
                <w:szCs w:val="18"/>
              </w:rPr>
            </w:pPr>
            <w:r w:rsidRPr="00973C14">
              <w:rPr>
                <w:rFonts w:ascii="Calibri" w:hAnsi="Calibri" w:cs="Arial"/>
                <w:b/>
                <w:bCs/>
                <w:color w:val="000000"/>
                <w:sz w:val="18"/>
                <w:szCs w:val="18"/>
              </w:rPr>
              <w:t>(SCAP buffer is defined as additional Tier 1 Common/contingent Common)</w:t>
            </w:r>
          </w:p>
        </w:tc>
        <w:tc>
          <w:tcPr>
            <w:tcW w:w="2131" w:type="dxa"/>
            <w:tcBorders>
              <w:top w:val="nil"/>
              <w:left w:val="nil"/>
              <w:bottom w:val="nil"/>
              <w:right w:val="nil"/>
            </w:tcBorders>
            <w:shd w:val="clear" w:color="000000" w:fill="FFFFFF"/>
            <w:noWrap/>
            <w:vAlign w:val="bottom"/>
            <w:hideMark/>
          </w:tcPr>
          <w:p w14:paraId="7F4B90EF"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r>
      <w:tr w:rsidR="00387617" w:rsidRPr="00973C14" w14:paraId="139BF0B7" w14:textId="77777777" w:rsidTr="00E33B31">
        <w:trPr>
          <w:trHeight w:val="300"/>
          <w:jc w:val="center"/>
        </w:trPr>
        <w:tc>
          <w:tcPr>
            <w:tcW w:w="6272" w:type="dxa"/>
            <w:gridSpan w:val="3"/>
            <w:tcBorders>
              <w:top w:val="nil"/>
              <w:left w:val="nil"/>
              <w:bottom w:val="nil"/>
              <w:right w:val="nil"/>
            </w:tcBorders>
            <w:shd w:val="clear" w:color="auto" w:fill="D9D9D9" w:themeFill="background1" w:themeFillShade="D9"/>
            <w:noWrap/>
            <w:vAlign w:val="bottom"/>
            <w:hideMark/>
          </w:tcPr>
          <w:p w14:paraId="6645DD5B"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Indicated SCAP Buffer as of December 31, 2008</w:t>
            </w:r>
          </w:p>
        </w:tc>
        <w:tc>
          <w:tcPr>
            <w:tcW w:w="1080" w:type="dxa"/>
            <w:tcBorders>
              <w:top w:val="nil"/>
              <w:left w:val="nil"/>
              <w:bottom w:val="nil"/>
              <w:right w:val="nil"/>
            </w:tcBorders>
            <w:shd w:val="clear" w:color="auto" w:fill="D9D9D9" w:themeFill="background1" w:themeFillShade="D9"/>
            <w:noWrap/>
            <w:vAlign w:val="bottom"/>
            <w:hideMark/>
          </w:tcPr>
          <w:p w14:paraId="2149E7FE"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46.5</w:t>
            </w:r>
          </w:p>
        </w:tc>
        <w:tc>
          <w:tcPr>
            <w:tcW w:w="2131" w:type="dxa"/>
            <w:tcBorders>
              <w:top w:val="nil"/>
              <w:left w:val="nil"/>
              <w:bottom w:val="nil"/>
              <w:right w:val="nil"/>
            </w:tcBorders>
            <w:shd w:val="clear" w:color="auto" w:fill="D9D9D9" w:themeFill="background1" w:themeFillShade="D9"/>
            <w:noWrap/>
            <w:vAlign w:val="bottom"/>
            <w:hideMark/>
          </w:tcPr>
          <w:p w14:paraId="2B55BF63"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r>
      <w:tr w:rsidR="00387617" w:rsidRPr="00973C14" w14:paraId="0AEBBB4A" w14:textId="77777777" w:rsidTr="00E33B31">
        <w:trPr>
          <w:trHeight w:val="300"/>
          <w:jc w:val="center"/>
        </w:trPr>
        <w:tc>
          <w:tcPr>
            <w:tcW w:w="272" w:type="dxa"/>
            <w:tcBorders>
              <w:top w:val="nil"/>
              <w:left w:val="nil"/>
              <w:bottom w:val="nil"/>
              <w:right w:val="nil"/>
            </w:tcBorders>
            <w:shd w:val="clear" w:color="000000" w:fill="FFFFFF"/>
            <w:noWrap/>
            <w:vAlign w:val="bottom"/>
            <w:hideMark/>
          </w:tcPr>
          <w:p w14:paraId="606E5559"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6000" w:type="dxa"/>
            <w:gridSpan w:val="2"/>
            <w:tcBorders>
              <w:top w:val="nil"/>
              <w:left w:val="nil"/>
              <w:bottom w:val="nil"/>
              <w:right w:val="nil"/>
            </w:tcBorders>
            <w:shd w:val="clear" w:color="000000" w:fill="FFFFFF"/>
            <w:noWrap/>
            <w:vAlign w:val="bottom"/>
            <w:hideMark/>
          </w:tcPr>
          <w:p w14:paraId="03CD325E"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Less: Capital Actions and Effects of Q1 2009 Results (3)</w:t>
            </w:r>
          </w:p>
        </w:tc>
        <w:tc>
          <w:tcPr>
            <w:tcW w:w="1080" w:type="dxa"/>
            <w:tcBorders>
              <w:top w:val="nil"/>
              <w:left w:val="nil"/>
              <w:bottom w:val="nil"/>
              <w:right w:val="nil"/>
            </w:tcBorders>
            <w:shd w:val="clear" w:color="000000" w:fill="FFFFFF"/>
            <w:noWrap/>
            <w:vAlign w:val="bottom"/>
            <w:hideMark/>
          </w:tcPr>
          <w:p w14:paraId="7211FD5D"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10.9</w:t>
            </w:r>
          </w:p>
        </w:tc>
        <w:tc>
          <w:tcPr>
            <w:tcW w:w="2131" w:type="dxa"/>
            <w:tcBorders>
              <w:top w:val="nil"/>
              <w:left w:val="nil"/>
              <w:bottom w:val="nil"/>
              <w:right w:val="nil"/>
            </w:tcBorders>
            <w:shd w:val="clear" w:color="000000" w:fill="FFFFFF"/>
            <w:noWrap/>
            <w:vAlign w:val="bottom"/>
            <w:hideMark/>
          </w:tcPr>
          <w:p w14:paraId="3731C1FC"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r>
      <w:tr w:rsidR="00387617" w:rsidRPr="00973C14" w14:paraId="42B0ADEB" w14:textId="77777777" w:rsidTr="00E33B31">
        <w:trPr>
          <w:trHeight w:val="300"/>
          <w:jc w:val="center"/>
        </w:trPr>
        <w:tc>
          <w:tcPr>
            <w:tcW w:w="272" w:type="dxa"/>
            <w:tcBorders>
              <w:top w:val="nil"/>
              <w:left w:val="nil"/>
              <w:right w:val="nil"/>
            </w:tcBorders>
            <w:shd w:val="clear" w:color="auto" w:fill="D9D9D9" w:themeFill="background1" w:themeFillShade="D9"/>
            <w:noWrap/>
            <w:vAlign w:val="bottom"/>
            <w:hideMark/>
          </w:tcPr>
          <w:p w14:paraId="107CB817"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272" w:type="dxa"/>
            <w:tcBorders>
              <w:top w:val="nil"/>
              <w:left w:val="nil"/>
              <w:right w:val="nil"/>
            </w:tcBorders>
            <w:shd w:val="clear" w:color="auto" w:fill="D9D9D9" w:themeFill="background1" w:themeFillShade="D9"/>
            <w:noWrap/>
            <w:vAlign w:val="bottom"/>
            <w:hideMark/>
          </w:tcPr>
          <w:p w14:paraId="1BAEF24B"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c>
          <w:tcPr>
            <w:tcW w:w="5728" w:type="dxa"/>
            <w:tcBorders>
              <w:top w:val="nil"/>
              <w:left w:val="nil"/>
              <w:right w:val="nil"/>
            </w:tcBorders>
            <w:shd w:val="clear" w:color="auto" w:fill="D9D9D9" w:themeFill="background1" w:themeFillShade="D9"/>
            <w:noWrap/>
            <w:vAlign w:val="bottom"/>
            <w:hideMark/>
          </w:tcPr>
          <w:p w14:paraId="2191F9F8"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Other Capital Actions (4)</w:t>
            </w:r>
          </w:p>
        </w:tc>
        <w:tc>
          <w:tcPr>
            <w:tcW w:w="1080" w:type="dxa"/>
            <w:tcBorders>
              <w:top w:val="nil"/>
              <w:left w:val="nil"/>
              <w:right w:val="nil"/>
            </w:tcBorders>
            <w:shd w:val="clear" w:color="auto" w:fill="D9D9D9" w:themeFill="background1" w:themeFillShade="D9"/>
            <w:noWrap/>
            <w:vAlign w:val="bottom"/>
            <w:hideMark/>
          </w:tcPr>
          <w:p w14:paraId="782F66F2"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1.8</w:t>
            </w:r>
          </w:p>
        </w:tc>
        <w:tc>
          <w:tcPr>
            <w:tcW w:w="2131" w:type="dxa"/>
            <w:tcBorders>
              <w:top w:val="nil"/>
              <w:left w:val="nil"/>
              <w:right w:val="nil"/>
            </w:tcBorders>
            <w:shd w:val="clear" w:color="auto" w:fill="D9D9D9" w:themeFill="background1" w:themeFillShade="D9"/>
            <w:noWrap/>
            <w:vAlign w:val="bottom"/>
            <w:hideMark/>
          </w:tcPr>
          <w:p w14:paraId="4D8D5989"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r>
      <w:tr w:rsidR="00387617" w:rsidRPr="00973C14" w14:paraId="6CB09140" w14:textId="77777777" w:rsidTr="00E33B31">
        <w:trPr>
          <w:trHeight w:val="315"/>
          <w:jc w:val="center"/>
        </w:trPr>
        <w:tc>
          <w:tcPr>
            <w:tcW w:w="6272" w:type="dxa"/>
            <w:gridSpan w:val="3"/>
            <w:tcBorders>
              <w:top w:val="nil"/>
              <w:left w:val="nil"/>
              <w:bottom w:val="single" w:sz="4" w:space="0" w:color="auto"/>
              <w:right w:val="nil"/>
            </w:tcBorders>
            <w:shd w:val="clear" w:color="000000" w:fill="FFFFFF"/>
            <w:noWrap/>
            <w:vAlign w:val="bottom"/>
            <w:hideMark/>
          </w:tcPr>
          <w:p w14:paraId="0F0CDF59"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SCAP Buffer</w:t>
            </w:r>
          </w:p>
        </w:tc>
        <w:tc>
          <w:tcPr>
            <w:tcW w:w="1080" w:type="dxa"/>
            <w:tcBorders>
              <w:top w:val="nil"/>
              <w:left w:val="nil"/>
              <w:bottom w:val="single" w:sz="4" w:space="0" w:color="auto"/>
              <w:right w:val="nil"/>
            </w:tcBorders>
            <w:shd w:val="clear" w:color="000000" w:fill="FFFFFF"/>
            <w:noWrap/>
            <w:vAlign w:val="bottom"/>
            <w:hideMark/>
          </w:tcPr>
          <w:p w14:paraId="7BE11E0A" w14:textId="77777777" w:rsidR="00387617" w:rsidRPr="00973C14" w:rsidRDefault="00387617" w:rsidP="00E33B31">
            <w:pPr>
              <w:spacing w:after="0"/>
              <w:jc w:val="center"/>
              <w:rPr>
                <w:rFonts w:ascii="Calibri" w:hAnsi="Calibri" w:cs="Arial"/>
                <w:color w:val="000000"/>
                <w:sz w:val="18"/>
                <w:szCs w:val="18"/>
              </w:rPr>
            </w:pPr>
            <w:r w:rsidRPr="00973C14">
              <w:rPr>
                <w:rFonts w:ascii="Calibri" w:hAnsi="Calibri" w:cs="Arial"/>
                <w:color w:val="000000"/>
                <w:sz w:val="18"/>
                <w:szCs w:val="18"/>
              </w:rPr>
              <w:t>33.9</w:t>
            </w:r>
          </w:p>
        </w:tc>
        <w:tc>
          <w:tcPr>
            <w:tcW w:w="2131" w:type="dxa"/>
            <w:tcBorders>
              <w:top w:val="nil"/>
              <w:left w:val="nil"/>
              <w:bottom w:val="single" w:sz="4" w:space="0" w:color="auto"/>
              <w:right w:val="nil"/>
            </w:tcBorders>
            <w:shd w:val="clear" w:color="000000" w:fill="FFFFFF"/>
            <w:noWrap/>
            <w:vAlign w:val="bottom"/>
            <w:hideMark/>
          </w:tcPr>
          <w:p w14:paraId="064A5521"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 </w:t>
            </w:r>
          </w:p>
        </w:tc>
      </w:tr>
      <w:tr w:rsidR="00387617" w:rsidRPr="00973C14" w14:paraId="2D188BB7" w14:textId="77777777" w:rsidTr="00E33B31">
        <w:trPr>
          <w:trHeight w:val="315"/>
          <w:jc w:val="center"/>
        </w:trPr>
        <w:tc>
          <w:tcPr>
            <w:tcW w:w="9483" w:type="dxa"/>
            <w:gridSpan w:val="5"/>
            <w:tcBorders>
              <w:top w:val="single" w:sz="4" w:space="0" w:color="auto"/>
              <w:left w:val="nil"/>
              <w:bottom w:val="nil"/>
              <w:right w:val="nil"/>
            </w:tcBorders>
            <w:shd w:val="clear" w:color="000000" w:fill="FFFFFF"/>
            <w:noWrap/>
            <w:vAlign w:val="bottom"/>
            <w:hideMark/>
          </w:tcPr>
          <w:p w14:paraId="4CC14247"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(1) Includes other consumer and non-consumer loans and miscellaneous commitments and obligations</w:t>
            </w:r>
          </w:p>
        </w:tc>
      </w:tr>
      <w:tr w:rsidR="00387617" w:rsidRPr="00973C14" w14:paraId="2BF1EFC5" w14:textId="77777777" w:rsidTr="00E33B31">
        <w:trPr>
          <w:trHeight w:val="261"/>
          <w:jc w:val="center"/>
        </w:trPr>
        <w:tc>
          <w:tcPr>
            <w:tcW w:w="9483" w:type="dxa"/>
            <w:gridSpan w:val="5"/>
            <w:tcBorders>
              <w:top w:val="nil"/>
              <w:left w:val="nil"/>
              <w:bottom w:val="nil"/>
              <w:right w:val="nil"/>
            </w:tcBorders>
            <w:shd w:val="clear" w:color="000000" w:fill="FFFFFF"/>
            <w:vAlign w:val="bottom"/>
            <w:hideMark/>
          </w:tcPr>
          <w:p w14:paraId="21B4B0DE"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(2) Resources to absorb losses include pre-provision net revenue less the change in the allowance for loan and lease loans</w:t>
            </w:r>
          </w:p>
        </w:tc>
      </w:tr>
      <w:tr w:rsidR="00387617" w:rsidRPr="00973C14" w14:paraId="2F119ED9" w14:textId="77777777" w:rsidTr="00E33B31">
        <w:trPr>
          <w:trHeight w:val="300"/>
          <w:jc w:val="center"/>
        </w:trPr>
        <w:tc>
          <w:tcPr>
            <w:tcW w:w="9483" w:type="dxa"/>
            <w:gridSpan w:val="5"/>
            <w:tcBorders>
              <w:top w:val="nil"/>
              <w:left w:val="nil"/>
              <w:bottom w:val="nil"/>
              <w:right w:val="nil"/>
            </w:tcBorders>
            <w:shd w:val="clear" w:color="000000" w:fill="FFFFFF"/>
            <w:noWrap/>
            <w:vAlign w:val="bottom"/>
            <w:hideMark/>
          </w:tcPr>
          <w:p w14:paraId="7B88181A"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(3) Capital actions include completed or contracted transactions since Q4 2008</w:t>
            </w:r>
          </w:p>
        </w:tc>
      </w:tr>
      <w:tr w:rsidR="00387617" w:rsidRPr="00973C14" w14:paraId="0D506056" w14:textId="77777777" w:rsidTr="00E33B31">
        <w:trPr>
          <w:trHeight w:val="300"/>
          <w:jc w:val="center"/>
        </w:trPr>
        <w:tc>
          <w:tcPr>
            <w:tcW w:w="9483" w:type="dxa"/>
            <w:gridSpan w:val="5"/>
            <w:tcBorders>
              <w:top w:val="nil"/>
              <w:left w:val="nil"/>
              <w:bottom w:val="nil"/>
              <w:right w:val="nil"/>
            </w:tcBorders>
            <w:shd w:val="clear" w:color="000000" w:fill="FFFFFF"/>
            <w:noWrap/>
            <w:vAlign w:val="bottom"/>
            <w:hideMark/>
          </w:tcPr>
          <w:p w14:paraId="5207B8FB"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(4) Capital benefit from risk-weighted assets impact of eligible asset guarantee</w:t>
            </w:r>
          </w:p>
        </w:tc>
      </w:tr>
      <w:tr w:rsidR="00387617" w:rsidRPr="00973C14" w14:paraId="293D9354" w14:textId="77777777" w:rsidTr="00E33B31">
        <w:trPr>
          <w:trHeight w:val="216"/>
          <w:jc w:val="center"/>
        </w:trPr>
        <w:tc>
          <w:tcPr>
            <w:tcW w:w="9483" w:type="dxa"/>
            <w:gridSpan w:val="5"/>
            <w:tcBorders>
              <w:top w:val="nil"/>
              <w:left w:val="nil"/>
              <w:bottom w:val="nil"/>
              <w:right w:val="nil"/>
            </w:tcBorders>
            <w:shd w:val="clear" w:color="000000" w:fill="FFFFFF"/>
            <w:noWrap/>
            <w:vAlign w:val="bottom"/>
            <w:hideMark/>
          </w:tcPr>
          <w:p w14:paraId="5F8C6CFA" w14:textId="77777777" w:rsidR="00387617" w:rsidRPr="00973C14" w:rsidRDefault="00387617" w:rsidP="00E33B31">
            <w:pPr>
              <w:spacing w:after="0"/>
              <w:rPr>
                <w:rFonts w:ascii="Calibri" w:hAnsi="Calibri" w:cs="Arial"/>
                <w:color w:val="000000"/>
                <w:sz w:val="18"/>
                <w:szCs w:val="18"/>
              </w:rPr>
            </w:pPr>
            <w:r w:rsidRPr="00973C14">
              <w:rPr>
                <w:rFonts w:ascii="Calibri" w:hAnsi="Calibri" w:cs="Arial"/>
                <w:color w:val="000000"/>
                <w:sz w:val="18"/>
                <w:szCs w:val="18"/>
              </w:rPr>
              <w:t>Note: Numbers may not sum due to rounding</w:t>
            </w:r>
          </w:p>
        </w:tc>
      </w:tr>
      <w:tr w:rsidR="00387617" w:rsidRPr="00973C14" w14:paraId="3D9292D6" w14:textId="77777777" w:rsidTr="00E33B31">
        <w:trPr>
          <w:trHeight w:val="162"/>
          <w:jc w:val="center"/>
        </w:trPr>
        <w:tc>
          <w:tcPr>
            <w:tcW w:w="9483" w:type="dxa"/>
            <w:gridSpan w:val="5"/>
            <w:tcBorders>
              <w:top w:val="nil"/>
              <w:left w:val="nil"/>
              <w:bottom w:val="nil"/>
              <w:right w:val="nil"/>
            </w:tcBorders>
            <w:shd w:val="clear" w:color="000000" w:fill="FFFFFF"/>
            <w:noWrap/>
            <w:vAlign w:val="bottom"/>
            <w:hideMark/>
          </w:tcPr>
          <w:p w14:paraId="3A49D58F" w14:textId="77777777" w:rsidR="00387617" w:rsidRPr="00973C14" w:rsidRDefault="00387617" w:rsidP="00E33B31">
            <w:pPr>
              <w:spacing w:after="0"/>
              <w:rPr>
                <w:rFonts w:ascii="Calibri" w:hAnsi="Calibri" w:cs="Arial"/>
                <w:i/>
                <w:iCs/>
                <w:color w:val="000000"/>
                <w:sz w:val="18"/>
                <w:szCs w:val="18"/>
              </w:rPr>
            </w:pPr>
            <w:r w:rsidRPr="00973C14">
              <w:rPr>
                <w:rFonts w:ascii="Calibri" w:hAnsi="Calibri" w:cs="Arial"/>
                <w:i/>
                <w:iCs/>
                <w:color w:val="000000"/>
                <w:sz w:val="18"/>
                <w:szCs w:val="18"/>
              </w:rPr>
              <w:t>Source: Federal Reserve (May 7, 2009).</w:t>
            </w:r>
          </w:p>
        </w:tc>
      </w:tr>
    </w:tbl>
    <w:p w14:paraId="58E4F2E1" w14:textId="35242B89" w:rsidR="0035534F" w:rsidRPr="00973C14" w:rsidRDefault="0035534F" w:rsidP="0035534F">
      <w:pPr>
        <w:pStyle w:val="BodyText"/>
        <w:rPr>
          <w:rFonts w:ascii="Calibri" w:hAnsi="Calibri"/>
        </w:rPr>
      </w:pPr>
      <w:r w:rsidRPr="00973C14">
        <w:rPr>
          <w:rFonts w:ascii="Calibri" w:hAnsi="Calibri"/>
        </w:rPr>
        <w:lastRenderedPageBreak/>
        <w:t>There were many critics of the transparency of the SCAP</w:t>
      </w:r>
      <w:r w:rsidR="0081657F">
        <w:rPr>
          <w:rFonts w:ascii="Calibri" w:hAnsi="Calibri"/>
        </w:rPr>
        <w:t xml:space="preserve">: the </w:t>
      </w:r>
      <w:r w:rsidRPr="00973C14">
        <w:rPr>
          <w:rFonts w:ascii="Calibri" w:hAnsi="Calibri"/>
        </w:rPr>
        <w:t xml:space="preserve">criticism fell broadly into </w:t>
      </w:r>
      <w:r w:rsidR="003D46D0" w:rsidRPr="00973C14">
        <w:rPr>
          <w:rFonts w:ascii="Calibri" w:hAnsi="Calibri"/>
        </w:rPr>
        <w:t>three</w:t>
      </w:r>
      <w:r w:rsidRPr="00973C14">
        <w:rPr>
          <w:rFonts w:ascii="Calibri" w:hAnsi="Calibri"/>
        </w:rPr>
        <w:t xml:space="preserve"> groups. First, some felt the transparency would violate the precedent of “supervisor </w:t>
      </w:r>
      <w:r w:rsidR="00B226B9">
        <w:rPr>
          <w:rFonts w:ascii="Calibri" w:hAnsi="Calibri"/>
        </w:rPr>
        <w:t>confidentiality</w:t>
      </w:r>
      <w:r w:rsidRPr="00973C14">
        <w:rPr>
          <w:rFonts w:ascii="Calibri" w:hAnsi="Calibri"/>
        </w:rPr>
        <w:t>” that helped ally banks’ reticence in sharing proprietary information with their supervisors. “In normal times, assurances of confidentially increase banks’ willingness to cooperate with examiners by allaying any concern that their proprietary information would be obtained by competitors.” (Bernanke 2015).</w:t>
      </w:r>
    </w:p>
    <w:p w14:paraId="701E65CD" w14:textId="08F38820" w:rsidR="003A5253" w:rsidRPr="00973C14" w:rsidRDefault="0035534F" w:rsidP="0035534F">
      <w:pPr>
        <w:pStyle w:val="BodyText"/>
        <w:rPr>
          <w:rFonts w:ascii="Calibri" w:hAnsi="Calibri"/>
        </w:rPr>
      </w:pPr>
      <w:r w:rsidRPr="00973C14">
        <w:rPr>
          <w:rFonts w:ascii="Calibri" w:hAnsi="Calibri"/>
        </w:rPr>
        <w:t xml:space="preserve">A second criticism was the possibility that full disclosures of </w:t>
      </w:r>
      <w:r w:rsidR="002F6A5F">
        <w:rPr>
          <w:rFonts w:ascii="Calibri" w:hAnsi="Calibri"/>
        </w:rPr>
        <w:t xml:space="preserve">a </w:t>
      </w:r>
      <w:r w:rsidRPr="00973C14">
        <w:rPr>
          <w:rFonts w:ascii="Calibri" w:hAnsi="Calibri"/>
        </w:rPr>
        <w:t xml:space="preserve">bank’s </w:t>
      </w:r>
      <w:r w:rsidR="008835D3">
        <w:rPr>
          <w:rFonts w:ascii="Calibri" w:hAnsi="Calibri"/>
        </w:rPr>
        <w:t>capital position</w:t>
      </w:r>
      <w:r w:rsidRPr="00973C14">
        <w:rPr>
          <w:rFonts w:ascii="Calibri" w:hAnsi="Calibri"/>
        </w:rPr>
        <w:t xml:space="preserve"> would reveal a firm as weaker than the market originally thought. In this case, the bank could suffer new runs and the markets’ confidence would </w:t>
      </w:r>
      <w:r w:rsidR="00A549C5" w:rsidRPr="00973C14">
        <w:rPr>
          <w:rFonts w:ascii="Calibri" w:hAnsi="Calibri"/>
        </w:rPr>
        <w:t>worsen</w:t>
      </w:r>
      <w:r w:rsidRPr="00973C14">
        <w:rPr>
          <w:rFonts w:ascii="Calibri" w:hAnsi="Calibri"/>
        </w:rPr>
        <w:t xml:space="preserve">. </w:t>
      </w:r>
      <w:r w:rsidR="005E73B8">
        <w:rPr>
          <w:rFonts w:ascii="Calibri" w:hAnsi="Calibri"/>
        </w:rPr>
        <w:t xml:space="preserve">Former </w:t>
      </w:r>
      <w:r w:rsidR="0015456E">
        <w:rPr>
          <w:rFonts w:ascii="Calibri" w:hAnsi="Calibri"/>
        </w:rPr>
        <w:t>C</w:t>
      </w:r>
      <w:r w:rsidR="003A5253" w:rsidRPr="00973C14">
        <w:rPr>
          <w:rFonts w:ascii="Calibri" w:hAnsi="Calibri"/>
        </w:rPr>
        <w:t>hairman Bernanke noted:</w:t>
      </w:r>
    </w:p>
    <w:p w14:paraId="1AB20732" w14:textId="4EEBA3C8" w:rsidR="003838E3" w:rsidRPr="00973C14" w:rsidRDefault="003A5253" w:rsidP="00826F24">
      <w:pPr>
        <w:pStyle w:val="BodyText"/>
        <w:ind w:left="720"/>
        <w:rPr>
          <w:rFonts w:ascii="Calibri" w:hAnsi="Calibri"/>
        </w:rPr>
      </w:pPr>
      <w:r w:rsidRPr="00973C14">
        <w:rPr>
          <w:rFonts w:ascii="Calibri" w:hAnsi="Calibri"/>
        </w:rPr>
        <w:t>In the atmosphere of fear and uncertainty that prevailed in early 2009, we could not dismiss the possibility that disclosing banks’ weakness could further erode confidence, possibly leading to new runs and further sharp declines in bank stock prices. Fed Board members agreed, however, that releasing as much information as possible was the best way to reduce the paralyzing uncertainty about banks’ financial health. (Bernanke 2015).</w:t>
      </w:r>
    </w:p>
    <w:p w14:paraId="05EC2247" w14:textId="27590D80" w:rsidR="00826F24" w:rsidRPr="00973C14" w:rsidRDefault="003D46D0" w:rsidP="00826F24">
      <w:pPr>
        <w:pStyle w:val="BodyText"/>
        <w:rPr>
          <w:rFonts w:ascii="Calibri" w:hAnsi="Calibri"/>
        </w:rPr>
      </w:pPr>
      <w:r w:rsidRPr="00973C14">
        <w:rPr>
          <w:rFonts w:ascii="Calibri" w:hAnsi="Calibri"/>
        </w:rPr>
        <w:t xml:space="preserve">A third criticism focused on the supervisor’s likelihood to whitewash the results of the tests in order to protect the weaker banks. </w:t>
      </w:r>
      <w:r w:rsidR="00BF339A" w:rsidRPr="00973C14">
        <w:rPr>
          <w:rFonts w:ascii="Calibri" w:hAnsi="Calibri"/>
        </w:rPr>
        <w:t>In February 2009, a</w:t>
      </w:r>
      <w:r w:rsidR="00856384" w:rsidRPr="00973C14">
        <w:rPr>
          <w:rFonts w:ascii="Calibri" w:hAnsi="Calibri"/>
        </w:rPr>
        <w:t>fter</w:t>
      </w:r>
      <w:r w:rsidRPr="00973C14">
        <w:rPr>
          <w:rFonts w:ascii="Calibri" w:hAnsi="Calibri"/>
        </w:rPr>
        <w:t xml:space="preserve"> the </w:t>
      </w:r>
      <w:r w:rsidR="00A81A57" w:rsidRPr="00973C14">
        <w:rPr>
          <w:rFonts w:ascii="Calibri" w:hAnsi="Calibri"/>
        </w:rPr>
        <w:t>Federal Reserve</w:t>
      </w:r>
      <w:r w:rsidR="00BF339A" w:rsidRPr="00973C14">
        <w:rPr>
          <w:rFonts w:ascii="Calibri" w:hAnsi="Calibri"/>
        </w:rPr>
        <w:t xml:space="preserve"> announced the first</w:t>
      </w:r>
      <w:r w:rsidRPr="00973C14">
        <w:rPr>
          <w:rFonts w:ascii="Calibri" w:hAnsi="Calibri"/>
        </w:rPr>
        <w:t xml:space="preserve"> details on how it intended to test the banks, the markets and media felt the tests’ results would likely be overly optimistic. </w:t>
      </w:r>
      <w:r w:rsidR="00BF339A" w:rsidRPr="00973C14">
        <w:rPr>
          <w:rFonts w:ascii="Calibri" w:hAnsi="Calibri"/>
        </w:rPr>
        <w:t xml:space="preserve">The day of the announcement, the </w:t>
      </w:r>
      <w:r w:rsidR="00BF339A" w:rsidRPr="00973C14">
        <w:rPr>
          <w:rFonts w:ascii="Calibri" w:hAnsi="Calibri"/>
          <w:i/>
        </w:rPr>
        <w:t xml:space="preserve">New York Times </w:t>
      </w:r>
      <w:r w:rsidR="0056086D" w:rsidRPr="00973C14">
        <w:rPr>
          <w:rFonts w:ascii="Calibri" w:hAnsi="Calibri"/>
        </w:rPr>
        <w:t>described the tests as</w:t>
      </w:r>
      <w:r w:rsidR="00BF339A" w:rsidRPr="00973C14">
        <w:rPr>
          <w:rFonts w:ascii="Calibri" w:hAnsi="Calibri"/>
        </w:rPr>
        <w:t xml:space="preserve"> “…analysts say the administration’s worst projections, which it describes as unlikely, are not much more dire than what many private forecasters already expect.” The </w:t>
      </w:r>
      <w:r w:rsidR="00BF339A" w:rsidRPr="00973C14">
        <w:rPr>
          <w:rFonts w:ascii="Calibri" w:hAnsi="Calibri"/>
          <w:i/>
        </w:rPr>
        <w:t>Times</w:t>
      </w:r>
      <w:r w:rsidR="00BF339A" w:rsidRPr="00973C14">
        <w:rPr>
          <w:rFonts w:ascii="Calibri" w:hAnsi="Calibri"/>
        </w:rPr>
        <w:t xml:space="preserve"> quoted a bank analyst: “It sure sounds to me like they are designing this to make it sound like the banking system is in great shape.”</w:t>
      </w:r>
      <w:r w:rsidR="00BB5972" w:rsidRPr="00973C14">
        <w:rPr>
          <w:rFonts w:ascii="Calibri" w:hAnsi="Calibri"/>
        </w:rPr>
        <w:t xml:space="preserve"> (New York Times, February 25, 2009). </w:t>
      </w:r>
    </w:p>
    <w:p w14:paraId="591DC64D" w14:textId="3E0ECDF5" w:rsidR="0012251A" w:rsidRPr="00973C14" w:rsidRDefault="00AA44EA" w:rsidP="0012251A">
      <w:pPr>
        <w:pStyle w:val="Heading4"/>
        <w:spacing w:after="200"/>
        <w:rPr>
          <w:rFonts w:ascii="Calibri" w:hAnsi="Calibri"/>
          <w:color w:val="auto"/>
        </w:rPr>
      </w:pPr>
      <w:r w:rsidRPr="00973C14">
        <w:rPr>
          <w:rFonts w:ascii="Calibri" w:hAnsi="Calibri"/>
          <w:color w:val="auto"/>
        </w:rPr>
        <w:t>2</w:t>
      </w:r>
      <w:r w:rsidR="0012251A" w:rsidRPr="00973C14">
        <w:rPr>
          <w:rFonts w:ascii="Calibri" w:hAnsi="Calibri"/>
          <w:color w:val="auto"/>
        </w:rPr>
        <w:t xml:space="preserve">. </w:t>
      </w:r>
      <w:r w:rsidR="000012F9" w:rsidRPr="00973C14">
        <w:rPr>
          <w:rFonts w:ascii="Calibri" w:hAnsi="Calibri"/>
          <w:color w:val="auto"/>
        </w:rPr>
        <w:t xml:space="preserve">The Fed </w:t>
      </w:r>
      <w:r w:rsidR="00826F24" w:rsidRPr="00973C14">
        <w:rPr>
          <w:rFonts w:ascii="Calibri" w:hAnsi="Calibri"/>
          <w:color w:val="auto"/>
        </w:rPr>
        <w:t xml:space="preserve">helped increase credibility of the tests by considering </w:t>
      </w:r>
      <w:r w:rsidR="000012F9" w:rsidRPr="00973C14">
        <w:rPr>
          <w:rFonts w:ascii="Calibri" w:hAnsi="Calibri"/>
          <w:color w:val="auto"/>
        </w:rPr>
        <w:t>two different macroeconomic scenarios</w:t>
      </w:r>
      <w:r w:rsidR="00826F24" w:rsidRPr="00973C14">
        <w:rPr>
          <w:rFonts w:ascii="Calibri" w:hAnsi="Calibri"/>
          <w:color w:val="auto"/>
        </w:rPr>
        <w:t xml:space="preserve">, with the “adverse” scenario projecting more severe loss estimates than </w:t>
      </w:r>
      <w:r w:rsidR="007646AD">
        <w:rPr>
          <w:rFonts w:ascii="Calibri" w:hAnsi="Calibri"/>
          <w:color w:val="auto"/>
        </w:rPr>
        <w:t xml:space="preserve">many </w:t>
      </w:r>
      <w:r w:rsidR="00826F24" w:rsidRPr="00973C14">
        <w:rPr>
          <w:rFonts w:ascii="Calibri" w:hAnsi="Calibri"/>
          <w:color w:val="auto"/>
        </w:rPr>
        <w:t>market analysts</w:t>
      </w:r>
    </w:p>
    <w:p w14:paraId="40F70D04" w14:textId="75BDC4C4" w:rsidR="00826F24" w:rsidRDefault="0012251A" w:rsidP="0012251A">
      <w:pPr>
        <w:rPr>
          <w:rFonts w:ascii="Calibri" w:hAnsi="Calibri"/>
        </w:rPr>
      </w:pPr>
      <w:r w:rsidRPr="00973C14">
        <w:rPr>
          <w:rFonts w:ascii="Calibri" w:hAnsi="Calibri"/>
        </w:rPr>
        <w:t>The Fed provided indicative loss rates under two different macroeconomic environments—“baseline” and “more adverse”—to guide BHCs' estimates. The Fed supervisors chose particularly severe conditions in the “more adverse” scenario, with the estimated commercial bank two-year loan loss rate at 9.1%</w:t>
      </w:r>
      <w:r w:rsidR="00740DF0" w:rsidRPr="00973C14">
        <w:rPr>
          <w:rFonts w:ascii="Calibri" w:hAnsi="Calibri"/>
        </w:rPr>
        <w:t>,</w:t>
      </w:r>
      <w:r w:rsidRPr="00973C14">
        <w:rPr>
          <w:rFonts w:ascii="Calibri" w:hAnsi="Calibri"/>
        </w:rPr>
        <w:t xml:space="preserve"> a rate higher than any observed from 1920 to 2008. The scenario also included estimates of unemployment at </w:t>
      </w:r>
      <w:r w:rsidR="00CB19F6">
        <w:rPr>
          <w:rFonts w:ascii="Calibri" w:hAnsi="Calibri"/>
        </w:rPr>
        <w:t>its</w:t>
      </w:r>
      <w:r w:rsidRPr="00973C14">
        <w:rPr>
          <w:rFonts w:ascii="Calibri" w:hAnsi="Calibri"/>
        </w:rPr>
        <w:t xml:space="preserve"> highest level since the 1930s. Figure 3 details the two scenarios. Firms used these two scenarios to conduct their own estimates, and then the Fed staff analyzed each firm’s estimates independently.</w:t>
      </w:r>
      <w:r w:rsidR="00D91A4F" w:rsidRPr="00973C14">
        <w:rPr>
          <w:rFonts w:ascii="Calibri" w:hAnsi="Calibri"/>
        </w:rPr>
        <w:t xml:space="preserve"> (FRS May 2009).</w:t>
      </w:r>
    </w:p>
    <w:p w14:paraId="420CAAFD" w14:textId="77777777" w:rsidR="007C15B3" w:rsidRDefault="007C15B3" w:rsidP="0012251A">
      <w:pPr>
        <w:rPr>
          <w:rFonts w:ascii="Calibri" w:hAnsi="Calibri"/>
        </w:rPr>
      </w:pPr>
    </w:p>
    <w:p w14:paraId="7B088346" w14:textId="77777777" w:rsidR="007C15B3" w:rsidRDefault="007C15B3" w:rsidP="0012251A">
      <w:pPr>
        <w:rPr>
          <w:rFonts w:ascii="Calibri" w:hAnsi="Calibri"/>
        </w:rPr>
      </w:pPr>
    </w:p>
    <w:p w14:paraId="10A10CB1" w14:textId="77777777" w:rsidR="007C15B3" w:rsidRPr="00973C14" w:rsidRDefault="007C15B3" w:rsidP="0012251A">
      <w:pPr>
        <w:rPr>
          <w:rFonts w:ascii="Calibri" w:hAnsi="Calibri"/>
        </w:rPr>
      </w:pPr>
    </w:p>
    <w:p w14:paraId="6868CB2D" w14:textId="77777777" w:rsidR="00EF0A0B" w:rsidRPr="00973C14" w:rsidRDefault="00EF0A0B" w:rsidP="008B65AC">
      <w:pPr>
        <w:pStyle w:val="FirstParagraph"/>
        <w:spacing w:after="200"/>
        <w:rPr>
          <w:rFonts w:ascii="Calibri" w:hAnsi="Calibri"/>
        </w:rPr>
      </w:pPr>
      <w:bookmarkStart w:id="7" w:name="tested-macroeconomic-conditions"/>
      <w:bookmarkEnd w:id="7"/>
    </w:p>
    <w:tbl>
      <w:tblPr>
        <w:tblpPr w:leftFromText="180" w:rightFromText="180" w:vertAnchor="text" w:tblpY="15"/>
        <w:tblW w:w="9974" w:type="dxa"/>
        <w:tblLayout w:type="fixed"/>
        <w:tblLook w:val="04A0" w:firstRow="1" w:lastRow="0" w:firstColumn="1" w:lastColumn="0" w:noHBand="0" w:noVBand="1"/>
      </w:tblPr>
      <w:tblGrid>
        <w:gridCol w:w="378"/>
        <w:gridCol w:w="2862"/>
        <w:gridCol w:w="1350"/>
        <w:gridCol w:w="236"/>
        <w:gridCol w:w="1582"/>
        <w:gridCol w:w="3240"/>
        <w:gridCol w:w="326"/>
      </w:tblGrid>
      <w:tr w:rsidR="000647D5" w:rsidRPr="00973C14" w14:paraId="11C0934D" w14:textId="77777777" w:rsidTr="0056086D">
        <w:trPr>
          <w:gridAfter w:val="1"/>
          <w:wAfter w:w="326" w:type="dxa"/>
          <w:trHeight w:val="320"/>
        </w:trPr>
        <w:tc>
          <w:tcPr>
            <w:tcW w:w="6408" w:type="dxa"/>
            <w:gridSpan w:val="5"/>
            <w:tcBorders>
              <w:top w:val="nil"/>
              <w:left w:val="nil"/>
              <w:bottom w:val="single" w:sz="4" w:space="0" w:color="auto"/>
              <w:right w:val="nil"/>
            </w:tcBorders>
            <w:shd w:val="clear" w:color="000000" w:fill="FFFFFF"/>
            <w:noWrap/>
            <w:vAlign w:val="bottom"/>
            <w:hideMark/>
          </w:tcPr>
          <w:p w14:paraId="17475A1D" w14:textId="77777777" w:rsidR="000647D5" w:rsidRPr="00973C14" w:rsidRDefault="000647D5" w:rsidP="000647D5">
            <w:pPr>
              <w:spacing w:after="0"/>
              <w:rPr>
                <w:rFonts w:ascii="Calibri" w:hAnsi="Calibri"/>
                <w:b/>
                <w:bCs/>
                <w:color w:val="000000"/>
                <w:szCs w:val="22"/>
              </w:rPr>
            </w:pPr>
            <w:bookmarkStart w:id="8" w:name="tier-1-capital-targets"/>
            <w:bookmarkEnd w:id="8"/>
            <w:r w:rsidRPr="00973C14">
              <w:rPr>
                <w:rFonts w:ascii="Calibri" w:hAnsi="Calibri"/>
                <w:b/>
                <w:bCs/>
                <w:color w:val="000000"/>
                <w:szCs w:val="22"/>
              </w:rPr>
              <w:lastRenderedPageBreak/>
              <w:t>Figure 3: SCAP Economic Scenarios</w:t>
            </w:r>
          </w:p>
        </w:tc>
        <w:tc>
          <w:tcPr>
            <w:tcW w:w="3240" w:type="dxa"/>
            <w:tcBorders>
              <w:top w:val="nil"/>
              <w:left w:val="nil"/>
              <w:bottom w:val="single" w:sz="4" w:space="0" w:color="auto"/>
              <w:right w:val="nil"/>
            </w:tcBorders>
            <w:shd w:val="clear" w:color="000000" w:fill="FFFFFF"/>
            <w:noWrap/>
            <w:vAlign w:val="bottom"/>
            <w:hideMark/>
          </w:tcPr>
          <w:p w14:paraId="2758B911"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r>
      <w:tr w:rsidR="000647D5" w:rsidRPr="00973C14" w14:paraId="31448DCE" w14:textId="77777777" w:rsidTr="0056086D">
        <w:trPr>
          <w:gridAfter w:val="1"/>
          <w:wAfter w:w="326" w:type="dxa"/>
          <w:trHeight w:val="296"/>
        </w:trPr>
        <w:tc>
          <w:tcPr>
            <w:tcW w:w="378" w:type="dxa"/>
            <w:tcBorders>
              <w:top w:val="single" w:sz="4" w:space="0" w:color="auto"/>
              <w:left w:val="nil"/>
              <w:bottom w:val="nil"/>
              <w:right w:val="nil"/>
            </w:tcBorders>
            <w:shd w:val="clear" w:color="000000" w:fill="FFFFFF"/>
            <w:noWrap/>
            <w:vAlign w:val="bottom"/>
            <w:hideMark/>
          </w:tcPr>
          <w:p w14:paraId="23DFA773"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2862" w:type="dxa"/>
            <w:tcBorders>
              <w:top w:val="single" w:sz="4" w:space="0" w:color="auto"/>
              <w:left w:val="nil"/>
              <w:bottom w:val="nil"/>
              <w:right w:val="nil"/>
            </w:tcBorders>
            <w:shd w:val="clear" w:color="000000" w:fill="FFFFFF"/>
            <w:noWrap/>
            <w:vAlign w:val="bottom"/>
            <w:hideMark/>
          </w:tcPr>
          <w:p w14:paraId="56279C46"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1350" w:type="dxa"/>
            <w:tcBorders>
              <w:left w:val="nil"/>
              <w:right w:val="nil"/>
            </w:tcBorders>
            <w:shd w:val="clear" w:color="000000" w:fill="FFFFFF"/>
            <w:noWrap/>
            <w:vAlign w:val="bottom"/>
            <w:hideMark/>
          </w:tcPr>
          <w:p w14:paraId="48A31DCB"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2009</w:t>
            </w:r>
          </w:p>
        </w:tc>
        <w:tc>
          <w:tcPr>
            <w:tcW w:w="236" w:type="dxa"/>
            <w:tcBorders>
              <w:left w:val="nil"/>
              <w:right w:val="nil"/>
            </w:tcBorders>
            <w:shd w:val="clear" w:color="000000" w:fill="FFFFFF"/>
            <w:noWrap/>
            <w:vAlign w:val="bottom"/>
            <w:hideMark/>
          </w:tcPr>
          <w:p w14:paraId="34BAD1F5"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 </w:t>
            </w:r>
          </w:p>
        </w:tc>
        <w:tc>
          <w:tcPr>
            <w:tcW w:w="1582" w:type="dxa"/>
            <w:tcBorders>
              <w:left w:val="nil"/>
              <w:right w:val="nil"/>
            </w:tcBorders>
            <w:shd w:val="clear" w:color="000000" w:fill="FFFFFF"/>
            <w:noWrap/>
            <w:vAlign w:val="bottom"/>
            <w:hideMark/>
          </w:tcPr>
          <w:p w14:paraId="7E157C57"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2010</w:t>
            </w:r>
          </w:p>
        </w:tc>
        <w:tc>
          <w:tcPr>
            <w:tcW w:w="3240" w:type="dxa"/>
            <w:tcBorders>
              <w:top w:val="single" w:sz="4" w:space="0" w:color="auto"/>
              <w:left w:val="nil"/>
              <w:bottom w:val="nil"/>
              <w:right w:val="nil"/>
            </w:tcBorders>
            <w:shd w:val="clear" w:color="000000" w:fill="FFFFFF"/>
            <w:noWrap/>
            <w:vAlign w:val="bottom"/>
            <w:hideMark/>
          </w:tcPr>
          <w:p w14:paraId="19501BBB"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r>
      <w:tr w:rsidR="000647D5" w:rsidRPr="00973C14" w14:paraId="52BCB59F" w14:textId="77777777" w:rsidTr="0056086D">
        <w:trPr>
          <w:gridAfter w:val="1"/>
          <w:wAfter w:w="326" w:type="dxa"/>
          <w:trHeight w:val="300"/>
        </w:trPr>
        <w:tc>
          <w:tcPr>
            <w:tcW w:w="3240" w:type="dxa"/>
            <w:gridSpan w:val="2"/>
            <w:tcBorders>
              <w:top w:val="nil"/>
              <w:left w:val="nil"/>
              <w:bottom w:val="nil"/>
              <w:right w:val="nil"/>
            </w:tcBorders>
            <w:shd w:val="clear" w:color="000000" w:fill="D9D9D9"/>
            <w:noWrap/>
            <w:vAlign w:val="bottom"/>
            <w:hideMark/>
          </w:tcPr>
          <w:p w14:paraId="2E00EC82" w14:textId="77777777" w:rsidR="000647D5" w:rsidRPr="00973C14" w:rsidRDefault="000647D5" w:rsidP="0056086D">
            <w:pPr>
              <w:spacing w:after="0"/>
              <w:rPr>
                <w:rFonts w:ascii="Calibri" w:hAnsi="Calibri"/>
                <w:b/>
                <w:bCs/>
                <w:color w:val="000000"/>
                <w:sz w:val="18"/>
                <w:szCs w:val="18"/>
              </w:rPr>
            </w:pPr>
            <w:r w:rsidRPr="00973C14">
              <w:rPr>
                <w:rFonts w:ascii="Calibri" w:hAnsi="Calibri"/>
                <w:b/>
                <w:bCs/>
                <w:color w:val="000000"/>
                <w:sz w:val="18"/>
                <w:szCs w:val="18"/>
              </w:rPr>
              <w:t>Real GDP</w:t>
            </w:r>
            <w:r w:rsidRPr="00973C14">
              <w:rPr>
                <w:rFonts w:ascii="Calibri" w:hAnsi="Calibri"/>
                <w:color w:val="000000"/>
                <w:sz w:val="18"/>
                <w:szCs w:val="18"/>
                <w:vertAlign w:val="superscript"/>
              </w:rPr>
              <w:t>1</w:t>
            </w:r>
          </w:p>
        </w:tc>
        <w:tc>
          <w:tcPr>
            <w:tcW w:w="1350" w:type="dxa"/>
            <w:tcBorders>
              <w:top w:val="nil"/>
              <w:left w:val="nil"/>
              <w:bottom w:val="nil"/>
              <w:right w:val="nil"/>
            </w:tcBorders>
            <w:shd w:val="clear" w:color="000000" w:fill="D9D9D9"/>
            <w:noWrap/>
            <w:vAlign w:val="bottom"/>
            <w:hideMark/>
          </w:tcPr>
          <w:p w14:paraId="747DF471"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236" w:type="dxa"/>
            <w:tcBorders>
              <w:top w:val="nil"/>
              <w:left w:val="nil"/>
              <w:bottom w:val="nil"/>
              <w:right w:val="nil"/>
            </w:tcBorders>
            <w:shd w:val="clear" w:color="000000" w:fill="D9D9D9"/>
            <w:noWrap/>
            <w:vAlign w:val="bottom"/>
            <w:hideMark/>
          </w:tcPr>
          <w:p w14:paraId="1F177C41"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1582" w:type="dxa"/>
            <w:tcBorders>
              <w:top w:val="nil"/>
              <w:left w:val="nil"/>
              <w:bottom w:val="nil"/>
              <w:right w:val="nil"/>
            </w:tcBorders>
            <w:shd w:val="clear" w:color="000000" w:fill="D9D9D9"/>
            <w:noWrap/>
            <w:vAlign w:val="bottom"/>
            <w:hideMark/>
          </w:tcPr>
          <w:p w14:paraId="63067DFD"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3240" w:type="dxa"/>
            <w:tcBorders>
              <w:top w:val="nil"/>
              <w:left w:val="nil"/>
              <w:bottom w:val="nil"/>
              <w:right w:val="nil"/>
            </w:tcBorders>
            <w:shd w:val="clear" w:color="000000" w:fill="D9D9D9"/>
            <w:noWrap/>
            <w:vAlign w:val="bottom"/>
            <w:hideMark/>
          </w:tcPr>
          <w:p w14:paraId="0B1C2B7B"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r>
      <w:tr w:rsidR="000647D5" w:rsidRPr="00973C14" w14:paraId="19049D77" w14:textId="77777777" w:rsidTr="0056086D">
        <w:trPr>
          <w:gridAfter w:val="1"/>
          <w:wAfter w:w="326" w:type="dxa"/>
          <w:trHeight w:val="300"/>
        </w:trPr>
        <w:tc>
          <w:tcPr>
            <w:tcW w:w="3240" w:type="dxa"/>
            <w:gridSpan w:val="2"/>
            <w:tcBorders>
              <w:top w:val="nil"/>
              <w:left w:val="nil"/>
              <w:bottom w:val="nil"/>
              <w:right w:val="nil"/>
            </w:tcBorders>
            <w:shd w:val="clear" w:color="000000" w:fill="FFFFFF"/>
            <w:noWrap/>
            <w:vAlign w:val="bottom"/>
            <w:hideMark/>
          </w:tcPr>
          <w:p w14:paraId="2C90677C"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Average Baseline</w:t>
            </w:r>
            <w:r w:rsidRPr="00973C14">
              <w:rPr>
                <w:rFonts w:ascii="Calibri" w:hAnsi="Calibri"/>
                <w:color w:val="000000"/>
                <w:sz w:val="18"/>
                <w:szCs w:val="18"/>
                <w:vertAlign w:val="superscript"/>
              </w:rPr>
              <w:t>2</w:t>
            </w:r>
          </w:p>
        </w:tc>
        <w:tc>
          <w:tcPr>
            <w:tcW w:w="1350" w:type="dxa"/>
            <w:tcBorders>
              <w:top w:val="nil"/>
              <w:left w:val="nil"/>
              <w:bottom w:val="nil"/>
              <w:right w:val="nil"/>
            </w:tcBorders>
            <w:shd w:val="clear" w:color="000000" w:fill="FFFFFF"/>
            <w:noWrap/>
            <w:vAlign w:val="bottom"/>
            <w:hideMark/>
          </w:tcPr>
          <w:p w14:paraId="3ADEC7E7"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-2.0</w:t>
            </w:r>
          </w:p>
        </w:tc>
        <w:tc>
          <w:tcPr>
            <w:tcW w:w="236" w:type="dxa"/>
            <w:tcBorders>
              <w:top w:val="nil"/>
              <w:left w:val="nil"/>
              <w:bottom w:val="nil"/>
              <w:right w:val="nil"/>
            </w:tcBorders>
            <w:shd w:val="clear" w:color="000000" w:fill="FFFFFF"/>
            <w:noWrap/>
            <w:vAlign w:val="bottom"/>
            <w:hideMark/>
          </w:tcPr>
          <w:p w14:paraId="0FA7CA2E"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1582" w:type="dxa"/>
            <w:tcBorders>
              <w:top w:val="nil"/>
              <w:left w:val="nil"/>
              <w:bottom w:val="nil"/>
              <w:right w:val="nil"/>
            </w:tcBorders>
            <w:shd w:val="clear" w:color="000000" w:fill="FFFFFF"/>
            <w:noWrap/>
            <w:vAlign w:val="bottom"/>
            <w:hideMark/>
          </w:tcPr>
          <w:p w14:paraId="3303F159"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2.1</w:t>
            </w:r>
          </w:p>
        </w:tc>
        <w:tc>
          <w:tcPr>
            <w:tcW w:w="3240" w:type="dxa"/>
            <w:tcBorders>
              <w:top w:val="nil"/>
              <w:left w:val="nil"/>
              <w:bottom w:val="nil"/>
              <w:right w:val="nil"/>
            </w:tcBorders>
            <w:shd w:val="clear" w:color="000000" w:fill="FFFFFF"/>
            <w:noWrap/>
            <w:vAlign w:val="bottom"/>
            <w:hideMark/>
          </w:tcPr>
          <w:p w14:paraId="394EA45F"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r>
      <w:tr w:rsidR="000647D5" w:rsidRPr="00973C14" w14:paraId="005BBE18" w14:textId="77777777" w:rsidTr="0056086D">
        <w:trPr>
          <w:gridAfter w:val="1"/>
          <w:wAfter w:w="326" w:type="dxa"/>
          <w:trHeight w:val="306"/>
        </w:trPr>
        <w:tc>
          <w:tcPr>
            <w:tcW w:w="378" w:type="dxa"/>
            <w:tcBorders>
              <w:top w:val="nil"/>
              <w:left w:val="nil"/>
              <w:bottom w:val="nil"/>
              <w:right w:val="nil"/>
            </w:tcBorders>
            <w:shd w:val="clear" w:color="000000" w:fill="D9D9D9"/>
            <w:noWrap/>
            <w:vAlign w:val="bottom"/>
            <w:hideMark/>
          </w:tcPr>
          <w:p w14:paraId="6119A69C"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2862" w:type="dxa"/>
            <w:tcBorders>
              <w:top w:val="nil"/>
              <w:left w:val="nil"/>
              <w:bottom w:val="nil"/>
              <w:right w:val="nil"/>
            </w:tcBorders>
            <w:shd w:val="clear" w:color="000000" w:fill="D9D9D9"/>
            <w:noWrap/>
            <w:vAlign w:val="bottom"/>
            <w:hideMark/>
          </w:tcPr>
          <w:p w14:paraId="30199A58"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Consensus Forecasts</w:t>
            </w:r>
          </w:p>
        </w:tc>
        <w:tc>
          <w:tcPr>
            <w:tcW w:w="1350" w:type="dxa"/>
            <w:tcBorders>
              <w:top w:val="nil"/>
              <w:left w:val="nil"/>
              <w:bottom w:val="nil"/>
              <w:right w:val="nil"/>
            </w:tcBorders>
            <w:shd w:val="clear" w:color="000000" w:fill="D9D9D9"/>
            <w:noWrap/>
            <w:vAlign w:val="bottom"/>
            <w:hideMark/>
          </w:tcPr>
          <w:p w14:paraId="6142FC7B"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-2.1</w:t>
            </w:r>
          </w:p>
        </w:tc>
        <w:tc>
          <w:tcPr>
            <w:tcW w:w="236" w:type="dxa"/>
            <w:tcBorders>
              <w:top w:val="nil"/>
              <w:left w:val="nil"/>
              <w:bottom w:val="nil"/>
              <w:right w:val="nil"/>
            </w:tcBorders>
            <w:shd w:val="clear" w:color="000000" w:fill="D9D9D9"/>
            <w:noWrap/>
            <w:vAlign w:val="bottom"/>
            <w:hideMark/>
          </w:tcPr>
          <w:p w14:paraId="61DCE4B5"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1582" w:type="dxa"/>
            <w:tcBorders>
              <w:top w:val="nil"/>
              <w:left w:val="nil"/>
              <w:bottom w:val="nil"/>
              <w:right w:val="nil"/>
            </w:tcBorders>
            <w:shd w:val="clear" w:color="000000" w:fill="D9D9D9"/>
            <w:noWrap/>
            <w:vAlign w:val="bottom"/>
            <w:hideMark/>
          </w:tcPr>
          <w:p w14:paraId="723ECE6A"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2.0</w:t>
            </w:r>
          </w:p>
        </w:tc>
        <w:tc>
          <w:tcPr>
            <w:tcW w:w="3240" w:type="dxa"/>
            <w:tcBorders>
              <w:top w:val="nil"/>
              <w:left w:val="nil"/>
              <w:bottom w:val="nil"/>
              <w:right w:val="nil"/>
            </w:tcBorders>
            <w:shd w:val="clear" w:color="000000" w:fill="D9D9D9"/>
            <w:noWrap/>
            <w:vAlign w:val="bottom"/>
            <w:hideMark/>
          </w:tcPr>
          <w:p w14:paraId="6E81B077"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r>
      <w:tr w:rsidR="000647D5" w:rsidRPr="00973C14" w14:paraId="699AB50C" w14:textId="77777777" w:rsidTr="0056086D">
        <w:trPr>
          <w:gridAfter w:val="1"/>
          <w:wAfter w:w="326" w:type="dxa"/>
          <w:trHeight w:val="260"/>
        </w:trPr>
        <w:tc>
          <w:tcPr>
            <w:tcW w:w="378" w:type="dxa"/>
            <w:tcBorders>
              <w:top w:val="nil"/>
              <w:left w:val="nil"/>
              <w:bottom w:val="nil"/>
              <w:right w:val="nil"/>
            </w:tcBorders>
            <w:shd w:val="clear" w:color="000000" w:fill="FFFFFF"/>
            <w:noWrap/>
            <w:vAlign w:val="bottom"/>
            <w:hideMark/>
          </w:tcPr>
          <w:p w14:paraId="5A9851BE"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2862" w:type="dxa"/>
            <w:tcBorders>
              <w:top w:val="nil"/>
              <w:left w:val="nil"/>
              <w:bottom w:val="nil"/>
              <w:right w:val="nil"/>
            </w:tcBorders>
            <w:shd w:val="clear" w:color="000000" w:fill="FFFFFF"/>
            <w:noWrap/>
            <w:vAlign w:val="bottom"/>
            <w:hideMark/>
          </w:tcPr>
          <w:p w14:paraId="2084DA9E"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Blue Chip</w:t>
            </w:r>
          </w:p>
        </w:tc>
        <w:tc>
          <w:tcPr>
            <w:tcW w:w="1350" w:type="dxa"/>
            <w:tcBorders>
              <w:top w:val="nil"/>
              <w:left w:val="nil"/>
              <w:bottom w:val="nil"/>
              <w:right w:val="nil"/>
            </w:tcBorders>
            <w:shd w:val="clear" w:color="000000" w:fill="FFFFFF"/>
            <w:noWrap/>
            <w:vAlign w:val="bottom"/>
            <w:hideMark/>
          </w:tcPr>
          <w:p w14:paraId="23C3932D"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-1.9</w:t>
            </w:r>
          </w:p>
        </w:tc>
        <w:tc>
          <w:tcPr>
            <w:tcW w:w="236" w:type="dxa"/>
            <w:tcBorders>
              <w:top w:val="nil"/>
              <w:left w:val="nil"/>
              <w:bottom w:val="nil"/>
              <w:right w:val="nil"/>
            </w:tcBorders>
            <w:shd w:val="clear" w:color="000000" w:fill="FFFFFF"/>
            <w:noWrap/>
            <w:vAlign w:val="bottom"/>
            <w:hideMark/>
          </w:tcPr>
          <w:p w14:paraId="20F1EC88"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1582" w:type="dxa"/>
            <w:tcBorders>
              <w:top w:val="nil"/>
              <w:left w:val="nil"/>
              <w:bottom w:val="nil"/>
              <w:right w:val="nil"/>
            </w:tcBorders>
            <w:shd w:val="clear" w:color="000000" w:fill="FFFFFF"/>
            <w:noWrap/>
            <w:vAlign w:val="bottom"/>
            <w:hideMark/>
          </w:tcPr>
          <w:p w14:paraId="7C0BE64F"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2.1</w:t>
            </w:r>
          </w:p>
        </w:tc>
        <w:tc>
          <w:tcPr>
            <w:tcW w:w="3240" w:type="dxa"/>
            <w:tcBorders>
              <w:top w:val="nil"/>
              <w:left w:val="nil"/>
              <w:bottom w:val="nil"/>
              <w:right w:val="nil"/>
            </w:tcBorders>
            <w:shd w:val="clear" w:color="000000" w:fill="FFFFFF"/>
            <w:noWrap/>
            <w:vAlign w:val="bottom"/>
            <w:hideMark/>
          </w:tcPr>
          <w:p w14:paraId="6F8F5AC9"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r>
      <w:tr w:rsidR="000647D5" w:rsidRPr="00973C14" w14:paraId="510461E3" w14:textId="77777777" w:rsidTr="0056086D">
        <w:trPr>
          <w:gridAfter w:val="1"/>
          <w:wAfter w:w="326" w:type="dxa"/>
          <w:trHeight w:val="260"/>
        </w:trPr>
        <w:tc>
          <w:tcPr>
            <w:tcW w:w="378" w:type="dxa"/>
            <w:tcBorders>
              <w:top w:val="nil"/>
              <w:left w:val="nil"/>
              <w:bottom w:val="nil"/>
              <w:right w:val="nil"/>
            </w:tcBorders>
            <w:shd w:val="clear" w:color="000000" w:fill="D9D9D9"/>
            <w:noWrap/>
            <w:vAlign w:val="bottom"/>
            <w:hideMark/>
          </w:tcPr>
          <w:p w14:paraId="6F207A14"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2862" w:type="dxa"/>
            <w:tcBorders>
              <w:top w:val="nil"/>
              <w:left w:val="nil"/>
              <w:bottom w:val="nil"/>
              <w:right w:val="nil"/>
            </w:tcBorders>
            <w:shd w:val="clear" w:color="000000" w:fill="D9D9D9"/>
            <w:noWrap/>
            <w:vAlign w:val="bottom"/>
            <w:hideMark/>
          </w:tcPr>
          <w:p w14:paraId="4BF8409C"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Survey of Professional Forecasters</w:t>
            </w:r>
          </w:p>
        </w:tc>
        <w:tc>
          <w:tcPr>
            <w:tcW w:w="1350" w:type="dxa"/>
            <w:tcBorders>
              <w:top w:val="nil"/>
              <w:left w:val="nil"/>
              <w:bottom w:val="nil"/>
              <w:right w:val="nil"/>
            </w:tcBorders>
            <w:shd w:val="clear" w:color="000000" w:fill="D9D9D9"/>
            <w:noWrap/>
            <w:vAlign w:val="bottom"/>
            <w:hideMark/>
          </w:tcPr>
          <w:p w14:paraId="0DD37784"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-2.0</w:t>
            </w:r>
          </w:p>
        </w:tc>
        <w:tc>
          <w:tcPr>
            <w:tcW w:w="236" w:type="dxa"/>
            <w:tcBorders>
              <w:top w:val="nil"/>
              <w:left w:val="nil"/>
              <w:bottom w:val="nil"/>
              <w:right w:val="nil"/>
            </w:tcBorders>
            <w:shd w:val="clear" w:color="000000" w:fill="D9D9D9"/>
            <w:noWrap/>
            <w:vAlign w:val="bottom"/>
            <w:hideMark/>
          </w:tcPr>
          <w:p w14:paraId="049CCA70"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1582" w:type="dxa"/>
            <w:tcBorders>
              <w:top w:val="nil"/>
              <w:left w:val="nil"/>
              <w:bottom w:val="nil"/>
              <w:right w:val="nil"/>
            </w:tcBorders>
            <w:shd w:val="clear" w:color="000000" w:fill="D9D9D9"/>
            <w:noWrap/>
            <w:vAlign w:val="bottom"/>
            <w:hideMark/>
          </w:tcPr>
          <w:p w14:paraId="0E0EE91B"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2.2</w:t>
            </w:r>
          </w:p>
        </w:tc>
        <w:tc>
          <w:tcPr>
            <w:tcW w:w="3240" w:type="dxa"/>
            <w:tcBorders>
              <w:top w:val="nil"/>
              <w:left w:val="nil"/>
              <w:bottom w:val="nil"/>
              <w:right w:val="nil"/>
            </w:tcBorders>
            <w:shd w:val="clear" w:color="000000" w:fill="D9D9D9"/>
            <w:noWrap/>
            <w:vAlign w:val="bottom"/>
            <w:hideMark/>
          </w:tcPr>
          <w:p w14:paraId="6D11700C"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r>
      <w:tr w:rsidR="000647D5" w:rsidRPr="00973C14" w14:paraId="50D33E3A" w14:textId="77777777" w:rsidTr="0056086D">
        <w:trPr>
          <w:gridAfter w:val="1"/>
          <w:wAfter w:w="326" w:type="dxa"/>
          <w:trHeight w:val="288"/>
        </w:trPr>
        <w:tc>
          <w:tcPr>
            <w:tcW w:w="3240" w:type="dxa"/>
            <w:gridSpan w:val="2"/>
            <w:tcBorders>
              <w:top w:val="nil"/>
              <w:left w:val="nil"/>
              <w:bottom w:val="nil"/>
              <w:right w:val="nil"/>
            </w:tcBorders>
            <w:shd w:val="clear" w:color="000000" w:fill="FFFFFF"/>
            <w:noWrap/>
            <w:vAlign w:val="bottom"/>
            <w:hideMark/>
          </w:tcPr>
          <w:p w14:paraId="302C201A"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Alternative More Adverse</w:t>
            </w:r>
          </w:p>
        </w:tc>
        <w:tc>
          <w:tcPr>
            <w:tcW w:w="1350" w:type="dxa"/>
            <w:tcBorders>
              <w:top w:val="nil"/>
              <w:left w:val="nil"/>
              <w:bottom w:val="nil"/>
              <w:right w:val="nil"/>
            </w:tcBorders>
            <w:shd w:val="clear" w:color="000000" w:fill="FFFFFF"/>
            <w:noWrap/>
            <w:vAlign w:val="bottom"/>
            <w:hideMark/>
          </w:tcPr>
          <w:p w14:paraId="27D848BC"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-3.3</w:t>
            </w:r>
          </w:p>
        </w:tc>
        <w:tc>
          <w:tcPr>
            <w:tcW w:w="236" w:type="dxa"/>
            <w:tcBorders>
              <w:top w:val="nil"/>
              <w:left w:val="nil"/>
              <w:bottom w:val="nil"/>
              <w:right w:val="nil"/>
            </w:tcBorders>
            <w:shd w:val="clear" w:color="000000" w:fill="FFFFFF"/>
            <w:noWrap/>
            <w:vAlign w:val="bottom"/>
            <w:hideMark/>
          </w:tcPr>
          <w:p w14:paraId="2F6B0C1F"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1582" w:type="dxa"/>
            <w:tcBorders>
              <w:top w:val="nil"/>
              <w:left w:val="nil"/>
              <w:bottom w:val="nil"/>
              <w:right w:val="nil"/>
            </w:tcBorders>
            <w:shd w:val="clear" w:color="000000" w:fill="FFFFFF"/>
            <w:noWrap/>
            <w:vAlign w:val="bottom"/>
            <w:hideMark/>
          </w:tcPr>
          <w:p w14:paraId="38BCC11A"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0.5</w:t>
            </w:r>
          </w:p>
        </w:tc>
        <w:tc>
          <w:tcPr>
            <w:tcW w:w="3240" w:type="dxa"/>
            <w:tcBorders>
              <w:top w:val="nil"/>
              <w:left w:val="nil"/>
              <w:bottom w:val="nil"/>
              <w:right w:val="nil"/>
            </w:tcBorders>
            <w:shd w:val="clear" w:color="000000" w:fill="FFFFFF"/>
            <w:noWrap/>
            <w:vAlign w:val="bottom"/>
            <w:hideMark/>
          </w:tcPr>
          <w:p w14:paraId="3C48D2FE"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r>
      <w:tr w:rsidR="000647D5" w:rsidRPr="00973C14" w14:paraId="41D2C3AC" w14:textId="77777777" w:rsidTr="0056086D">
        <w:trPr>
          <w:gridAfter w:val="1"/>
          <w:wAfter w:w="326" w:type="dxa"/>
          <w:trHeight w:val="300"/>
        </w:trPr>
        <w:tc>
          <w:tcPr>
            <w:tcW w:w="3240" w:type="dxa"/>
            <w:gridSpan w:val="2"/>
            <w:tcBorders>
              <w:top w:val="nil"/>
              <w:left w:val="nil"/>
              <w:bottom w:val="nil"/>
              <w:right w:val="nil"/>
            </w:tcBorders>
            <w:shd w:val="clear" w:color="000000" w:fill="D9D9D9"/>
            <w:noWrap/>
            <w:vAlign w:val="bottom"/>
            <w:hideMark/>
          </w:tcPr>
          <w:p w14:paraId="53071CBF" w14:textId="77777777" w:rsidR="000647D5" w:rsidRPr="00973C14" w:rsidRDefault="000647D5" w:rsidP="0056086D">
            <w:pPr>
              <w:spacing w:after="0"/>
              <w:rPr>
                <w:rFonts w:ascii="Calibri" w:hAnsi="Calibri"/>
                <w:b/>
                <w:bCs/>
                <w:color w:val="000000"/>
                <w:sz w:val="18"/>
                <w:szCs w:val="18"/>
              </w:rPr>
            </w:pPr>
            <w:r w:rsidRPr="00973C14">
              <w:rPr>
                <w:rFonts w:ascii="Calibri" w:hAnsi="Calibri"/>
                <w:b/>
                <w:bCs/>
                <w:color w:val="000000"/>
                <w:sz w:val="18"/>
                <w:szCs w:val="18"/>
              </w:rPr>
              <w:t>Civilian Unemployment Rate</w:t>
            </w:r>
            <w:r w:rsidRPr="00973C14">
              <w:rPr>
                <w:rFonts w:ascii="Calibri" w:hAnsi="Calibri"/>
                <w:color w:val="000000"/>
                <w:sz w:val="18"/>
                <w:szCs w:val="18"/>
                <w:vertAlign w:val="superscript"/>
              </w:rPr>
              <w:t>3</w:t>
            </w:r>
          </w:p>
        </w:tc>
        <w:tc>
          <w:tcPr>
            <w:tcW w:w="1350" w:type="dxa"/>
            <w:tcBorders>
              <w:top w:val="nil"/>
              <w:left w:val="nil"/>
              <w:bottom w:val="nil"/>
              <w:right w:val="nil"/>
            </w:tcBorders>
            <w:shd w:val="clear" w:color="000000" w:fill="D9D9D9"/>
            <w:noWrap/>
            <w:vAlign w:val="bottom"/>
            <w:hideMark/>
          </w:tcPr>
          <w:p w14:paraId="52E6B7E2"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236" w:type="dxa"/>
            <w:tcBorders>
              <w:top w:val="nil"/>
              <w:left w:val="nil"/>
              <w:bottom w:val="nil"/>
              <w:right w:val="nil"/>
            </w:tcBorders>
            <w:shd w:val="clear" w:color="000000" w:fill="D9D9D9"/>
            <w:noWrap/>
            <w:vAlign w:val="bottom"/>
            <w:hideMark/>
          </w:tcPr>
          <w:p w14:paraId="78293389"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1582" w:type="dxa"/>
            <w:tcBorders>
              <w:top w:val="nil"/>
              <w:left w:val="nil"/>
              <w:bottom w:val="nil"/>
              <w:right w:val="nil"/>
            </w:tcBorders>
            <w:shd w:val="clear" w:color="000000" w:fill="D9D9D9"/>
            <w:noWrap/>
            <w:vAlign w:val="bottom"/>
            <w:hideMark/>
          </w:tcPr>
          <w:p w14:paraId="5FAB1830"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3240" w:type="dxa"/>
            <w:tcBorders>
              <w:top w:val="nil"/>
              <w:left w:val="nil"/>
              <w:bottom w:val="nil"/>
              <w:right w:val="nil"/>
            </w:tcBorders>
            <w:shd w:val="clear" w:color="000000" w:fill="D9D9D9"/>
            <w:noWrap/>
            <w:vAlign w:val="bottom"/>
            <w:hideMark/>
          </w:tcPr>
          <w:p w14:paraId="41CBC85F"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r>
      <w:tr w:rsidR="000647D5" w:rsidRPr="00973C14" w14:paraId="01DA73E5" w14:textId="77777777" w:rsidTr="0056086D">
        <w:trPr>
          <w:gridAfter w:val="1"/>
          <w:wAfter w:w="326" w:type="dxa"/>
          <w:trHeight w:val="260"/>
        </w:trPr>
        <w:tc>
          <w:tcPr>
            <w:tcW w:w="3240" w:type="dxa"/>
            <w:gridSpan w:val="2"/>
            <w:tcBorders>
              <w:top w:val="nil"/>
              <w:left w:val="nil"/>
              <w:bottom w:val="nil"/>
              <w:right w:val="nil"/>
            </w:tcBorders>
            <w:shd w:val="clear" w:color="000000" w:fill="FFFFFF"/>
            <w:noWrap/>
            <w:vAlign w:val="bottom"/>
            <w:hideMark/>
          </w:tcPr>
          <w:p w14:paraId="4DA96B2F"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Average Baseline</w:t>
            </w:r>
          </w:p>
        </w:tc>
        <w:tc>
          <w:tcPr>
            <w:tcW w:w="1350" w:type="dxa"/>
            <w:tcBorders>
              <w:top w:val="nil"/>
              <w:left w:val="nil"/>
              <w:bottom w:val="nil"/>
              <w:right w:val="nil"/>
            </w:tcBorders>
            <w:shd w:val="clear" w:color="000000" w:fill="FFFFFF"/>
            <w:noWrap/>
            <w:vAlign w:val="bottom"/>
            <w:hideMark/>
          </w:tcPr>
          <w:p w14:paraId="7781D1C6"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8.4</w:t>
            </w:r>
          </w:p>
        </w:tc>
        <w:tc>
          <w:tcPr>
            <w:tcW w:w="236" w:type="dxa"/>
            <w:tcBorders>
              <w:top w:val="nil"/>
              <w:left w:val="nil"/>
              <w:bottom w:val="nil"/>
              <w:right w:val="nil"/>
            </w:tcBorders>
            <w:shd w:val="clear" w:color="000000" w:fill="FFFFFF"/>
            <w:noWrap/>
            <w:vAlign w:val="bottom"/>
            <w:hideMark/>
          </w:tcPr>
          <w:p w14:paraId="4A5981C1"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1582" w:type="dxa"/>
            <w:tcBorders>
              <w:top w:val="nil"/>
              <w:left w:val="nil"/>
              <w:bottom w:val="nil"/>
              <w:right w:val="nil"/>
            </w:tcBorders>
            <w:shd w:val="clear" w:color="000000" w:fill="FFFFFF"/>
            <w:noWrap/>
            <w:vAlign w:val="bottom"/>
            <w:hideMark/>
          </w:tcPr>
          <w:p w14:paraId="66D3A772"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8.8</w:t>
            </w:r>
          </w:p>
        </w:tc>
        <w:tc>
          <w:tcPr>
            <w:tcW w:w="3240" w:type="dxa"/>
            <w:tcBorders>
              <w:top w:val="nil"/>
              <w:left w:val="nil"/>
              <w:bottom w:val="nil"/>
              <w:right w:val="nil"/>
            </w:tcBorders>
            <w:shd w:val="clear" w:color="000000" w:fill="FFFFFF"/>
            <w:noWrap/>
            <w:vAlign w:val="bottom"/>
            <w:hideMark/>
          </w:tcPr>
          <w:p w14:paraId="60CBB48D"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r>
      <w:tr w:rsidR="000647D5" w:rsidRPr="00973C14" w14:paraId="756448E6" w14:textId="77777777" w:rsidTr="0056086D">
        <w:trPr>
          <w:gridAfter w:val="1"/>
          <w:wAfter w:w="326" w:type="dxa"/>
          <w:trHeight w:val="260"/>
        </w:trPr>
        <w:tc>
          <w:tcPr>
            <w:tcW w:w="378" w:type="dxa"/>
            <w:tcBorders>
              <w:top w:val="nil"/>
              <w:left w:val="nil"/>
              <w:bottom w:val="nil"/>
              <w:right w:val="nil"/>
            </w:tcBorders>
            <w:shd w:val="clear" w:color="000000" w:fill="D9D9D9"/>
            <w:noWrap/>
            <w:vAlign w:val="bottom"/>
            <w:hideMark/>
          </w:tcPr>
          <w:p w14:paraId="349CD688"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2862" w:type="dxa"/>
            <w:tcBorders>
              <w:top w:val="nil"/>
              <w:left w:val="nil"/>
              <w:bottom w:val="nil"/>
              <w:right w:val="nil"/>
            </w:tcBorders>
            <w:shd w:val="clear" w:color="000000" w:fill="D9D9D9"/>
            <w:noWrap/>
            <w:vAlign w:val="bottom"/>
            <w:hideMark/>
          </w:tcPr>
          <w:p w14:paraId="7FDEFE0A"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Consensus Forecasts</w:t>
            </w:r>
          </w:p>
        </w:tc>
        <w:tc>
          <w:tcPr>
            <w:tcW w:w="1350" w:type="dxa"/>
            <w:tcBorders>
              <w:top w:val="nil"/>
              <w:left w:val="nil"/>
              <w:bottom w:val="nil"/>
              <w:right w:val="nil"/>
            </w:tcBorders>
            <w:shd w:val="clear" w:color="000000" w:fill="D9D9D9"/>
            <w:noWrap/>
            <w:vAlign w:val="bottom"/>
            <w:hideMark/>
          </w:tcPr>
          <w:p w14:paraId="28C4C649"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8.4</w:t>
            </w:r>
          </w:p>
        </w:tc>
        <w:tc>
          <w:tcPr>
            <w:tcW w:w="236" w:type="dxa"/>
            <w:tcBorders>
              <w:top w:val="nil"/>
              <w:left w:val="nil"/>
              <w:bottom w:val="nil"/>
              <w:right w:val="nil"/>
            </w:tcBorders>
            <w:shd w:val="clear" w:color="000000" w:fill="D9D9D9"/>
            <w:noWrap/>
            <w:vAlign w:val="bottom"/>
            <w:hideMark/>
          </w:tcPr>
          <w:p w14:paraId="1FF7B3B7"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1582" w:type="dxa"/>
            <w:tcBorders>
              <w:top w:val="nil"/>
              <w:left w:val="nil"/>
              <w:bottom w:val="nil"/>
              <w:right w:val="nil"/>
            </w:tcBorders>
            <w:shd w:val="clear" w:color="000000" w:fill="D9D9D9"/>
            <w:noWrap/>
            <w:vAlign w:val="bottom"/>
            <w:hideMark/>
          </w:tcPr>
          <w:p w14:paraId="7CB63B1C"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9.0</w:t>
            </w:r>
          </w:p>
        </w:tc>
        <w:tc>
          <w:tcPr>
            <w:tcW w:w="3240" w:type="dxa"/>
            <w:tcBorders>
              <w:top w:val="nil"/>
              <w:left w:val="nil"/>
              <w:bottom w:val="nil"/>
              <w:right w:val="nil"/>
            </w:tcBorders>
            <w:shd w:val="clear" w:color="000000" w:fill="D9D9D9"/>
            <w:noWrap/>
            <w:vAlign w:val="bottom"/>
            <w:hideMark/>
          </w:tcPr>
          <w:p w14:paraId="760693E2"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r>
      <w:tr w:rsidR="000647D5" w:rsidRPr="00973C14" w14:paraId="6E90FE94" w14:textId="77777777" w:rsidTr="0056086D">
        <w:trPr>
          <w:gridAfter w:val="1"/>
          <w:wAfter w:w="326" w:type="dxa"/>
          <w:trHeight w:val="260"/>
        </w:trPr>
        <w:tc>
          <w:tcPr>
            <w:tcW w:w="378" w:type="dxa"/>
            <w:tcBorders>
              <w:top w:val="nil"/>
              <w:left w:val="nil"/>
              <w:bottom w:val="nil"/>
              <w:right w:val="nil"/>
            </w:tcBorders>
            <w:shd w:val="clear" w:color="000000" w:fill="FFFFFF"/>
            <w:noWrap/>
            <w:vAlign w:val="bottom"/>
            <w:hideMark/>
          </w:tcPr>
          <w:p w14:paraId="234D8CE1"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2862" w:type="dxa"/>
            <w:tcBorders>
              <w:top w:val="nil"/>
              <w:left w:val="nil"/>
              <w:bottom w:val="nil"/>
              <w:right w:val="nil"/>
            </w:tcBorders>
            <w:shd w:val="clear" w:color="000000" w:fill="FFFFFF"/>
            <w:noWrap/>
            <w:vAlign w:val="bottom"/>
            <w:hideMark/>
          </w:tcPr>
          <w:p w14:paraId="712247D0"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Blue Chip</w:t>
            </w:r>
          </w:p>
        </w:tc>
        <w:tc>
          <w:tcPr>
            <w:tcW w:w="1350" w:type="dxa"/>
            <w:tcBorders>
              <w:top w:val="nil"/>
              <w:left w:val="nil"/>
              <w:bottom w:val="nil"/>
              <w:right w:val="nil"/>
            </w:tcBorders>
            <w:shd w:val="clear" w:color="000000" w:fill="FFFFFF"/>
            <w:noWrap/>
            <w:vAlign w:val="bottom"/>
            <w:hideMark/>
          </w:tcPr>
          <w:p w14:paraId="4B29D99E"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8.3</w:t>
            </w:r>
          </w:p>
        </w:tc>
        <w:tc>
          <w:tcPr>
            <w:tcW w:w="236" w:type="dxa"/>
            <w:tcBorders>
              <w:top w:val="nil"/>
              <w:left w:val="nil"/>
              <w:bottom w:val="nil"/>
              <w:right w:val="nil"/>
            </w:tcBorders>
            <w:shd w:val="clear" w:color="000000" w:fill="FFFFFF"/>
            <w:noWrap/>
            <w:vAlign w:val="bottom"/>
            <w:hideMark/>
          </w:tcPr>
          <w:p w14:paraId="1F8E6156"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1582" w:type="dxa"/>
            <w:tcBorders>
              <w:top w:val="nil"/>
              <w:left w:val="nil"/>
              <w:bottom w:val="nil"/>
              <w:right w:val="nil"/>
            </w:tcBorders>
            <w:shd w:val="clear" w:color="000000" w:fill="FFFFFF"/>
            <w:noWrap/>
            <w:vAlign w:val="bottom"/>
            <w:hideMark/>
          </w:tcPr>
          <w:p w14:paraId="3438D90A"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8.7</w:t>
            </w:r>
          </w:p>
        </w:tc>
        <w:tc>
          <w:tcPr>
            <w:tcW w:w="3240" w:type="dxa"/>
            <w:tcBorders>
              <w:top w:val="nil"/>
              <w:left w:val="nil"/>
              <w:bottom w:val="nil"/>
              <w:right w:val="nil"/>
            </w:tcBorders>
            <w:shd w:val="clear" w:color="000000" w:fill="FFFFFF"/>
            <w:noWrap/>
            <w:vAlign w:val="bottom"/>
            <w:hideMark/>
          </w:tcPr>
          <w:p w14:paraId="03EB2256"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r>
      <w:tr w:rsidR="000647D5" w:rsidRPr="00973C14" w14:paraId="00D6EE2F" w14:textId="77777777" w:rsidTr="0056086D">
        <w:trPr>
          <w:gridAfter w:val="1"/>
          <w:wAfter w:w="326" w:type="dxa"/>
          <w:trHeight w:val="260"/>
        </w:trPr>
        <w:tc>
          <w:tcPr>
            <w:tcW w:w="378" w:type="dxa"/>
            <w:tcBorders>
              <w:top w:val="nil"/>
              <w:left w:val="nil"/>
              <w:bottom w:val="nil"/>
              <w:right w:val="nil"/>
            </w:tcBorders>
            <w:shd w:val="clear" w:color="000000" w:fill="D9D9D9"/>
            <w:noWrap/>
            <w:vAlign w:val="bottom"/>
            <w:hideMark/>
          </w:tcPr>
          <w:p w14:paraId="4B835C97"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2862" w:type="dxa"/>
            <w:tcBorders>
              <w:top w:val="nil"/>
              <w:left w:val="nil"/>
              <w:bottom w:val="nil"/>
              <w:right w:val="nil"/>
            </w:tcBorders>
            <w:shd w:val="clear" w:color="000000" w:fill="D9D9D9"/>
            <w:noWrap/>
            <w:vAlign w:val="bottom"/>
            <w:hideMark/>
          </w:tcPr>
          <w:p w14:paraId="0983EB32"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Survey of Professional Forecasters</w:t>
            </w:r>
          </w:p>
        </w:tc>
        <w:tc>
          <w:tcPr>
            <w:tcW w:w="1350" w:type="dxa"/>
            <w:tcBorders>
              <w:top w:val="nil"/>
              <w:left w:val="nil"/>
              <w:bottom w:val="nil"/>
              <w:right w:val="nil"/>
            </w:tcBorders>
            <w:shd w:val="clear" w:color="000000" w:fill="D9D9D9"/>
            <w:noWrap/>
            <w:vAlign w:val="bottom"/>
            <w:hideMark/>
          </w:tcPr>
          <w:p w14:paraId="24E28494"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8.4</w:t>
            </w:r>
          </w:p>
        </w:tc>
        <w:tc>
          <w:tcPr>
            <w:tcW w:w="236" w:type="dxa"/>
            <w:tcBorders>
              <w:top w:val="nil"/>
              <w:left w:val="nil"/>
              <w:bottom w:val="nil"/>
              <w:right w:val="nil"/>
            </w:tcBorders>
            <w:shd w:val="clear" w:color="000000" w:fill="D9D9D9"/>
            <w:noWrap/>
            <w:vAlign w:val="bottom"/>
            <w:hideMark/>
          </w:tcPr>
          <w:p w14:paraId="2104EA13"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1582" w:type="dxa"/>
            <w:tcBorders>
              <w:top w:val="nil"/>
              <w:left w:val="nil"/>
              <w:bottom w:val="nil"/>
              <w:right w:val="nil"/>
            </w:tcBorders>
            <w:shd w:val="clear" w:color="000000" w:fill="D9D9D9"/>
            <w:noWrap/>
            <w:vAlign w:val="bottom"/>
            <w:hideMark/>
          </w:tcPr>
          <w:p w14:paraId="5494993E"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8.8</w:t>
            </w:r>
          </w:p>
        </w:tc>
        <w:tc>
          <w:tcPr>
            <w:tcW w:w="3240" w:type="dxa"/>
            <w:tcBorders>
              <w:top w:val="nil"/>
              <w:left w:val="nil"/>
              <w:bottom w:val="nil"/>
              <w:right w:val="nil"/>
            </w:tcBorders>
            <w:shd w:val="clear" w:color="000000" w:fill="D9D9D9"/>
            <w:noWrap/>
            <w:vAlign w:val="bottom"/>
            <w:hideMark/>
          </w:tcPr>
          <w:p w14:paraId="63C7BE28"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r>
      <w:tr w:rsidR="000647D5" w:rsidRPr="00973C14" w14:paraId="7B8D3F22" w14:textId="77777777" w:rsidTr="0056086D">
        <w:trPr>
          <w:gridAfter w:val="1"/>
          <w:wAfter w:w="326" w:type="dxa"/>
          <w:trHeight w:val="260"/>
        </w:trPr>
        <w:tc>
          <w:tcPr>
            <w:tcW w:w="3240" w:type="dxa"/>
            <w:gridSpan w:val="2"/>
            <w:tcBorders>
              <w:top w:val="nil"/>
              <w:left w:val="nil"/>
              <w:bottom w:val="nil"/>
              <w:right w:val="nil"/>
            </w:tcBorders>
            <w:shd w:val="clear" w:color="000000" w:fill="FFFFFF"/>
            <w:noWrap/>
            <w:vAlign w:val="bottom"/>
            <w:hideMark/>
          </w:tcPr>
          <w:p w14:paraId="507C38E5"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Alternative More Adverse</w:t>
            </w:r>
          </w:p>
        </w:tc>
        <w:tc>
          <w:tcPr>
            <w:tcW w:w="1350" w:type="dxa"/>
            <w:tcBorders>
              <w:top w:val="nil"/>
              <w:left w:val="nil"/>
              <w:bottom w:val="nil"/>
              <w:right w:val="nil"/>
            </w:tcBorders>
            <w:shd w:val="clear" w:color="000000" w:fill="FFFFFF"/>
            <w:noWrap/>
            <w:vAlign w:val="bottom"/>
            <w:hideMark/>
          </w:tcPr>
          <w:p w14:paraId="489F8F65"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8.9</w:t>
            </w:r>
          </w:p>
        </w:tc>
        <w:tc>
          <w:tcPr>
            <w:tcW w:w="236" w:type="dxa"/>
            <w:tcBorders>
              <w:top w:val="nil"/>
              <w:left w:val="nil"/>
              <w:bottom w:val="nil"/>
              <w:right w:val="nil"/>
            </w:tcBorders>
            <w:shd w:val="clear" w:color="000000" w:fill="FFFFFF"/>
            <w:noWrap/>
            <w:vAlign w:val="bottom"/>
            <w:hideMark/>
          </w:tcPr>
          <w:p w14:paraId="2C4CF1B4"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1582" w:type="dxa"/>
            <w:tcBorders>
              <w:top w:val="nil"/>
              <w:left w:val="nil"/>
              <w:bottom w:val="nil"/>
              <w:right w:val="nil"/>
            </w:tcBorders>
            <w:shd w:val="clear" w:color="000000" w:fill="FFFFFF"/>
            <w:noWrap/>
            <w:vAlign w:val="bottom"/>
            <w:hideMark/>
          </w:tcPr>
          <w:p w14:paraId="1EE16254"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10.3</w:t>
            </w:r>
          </w:p>
        </w:tc>
        <w:tc>
          <w:tcPr>
            <w:tcW w:w="3240" w:type="dxa"/>
            <w:tcBorders>
              <w:top w:val="nil"/>
              <w:left w:val="nil"/>
              <w:bottom w:val="nil"/>
              <w:right w:val="nil"/>
            </w:tcBorders>
            <w:shd w:val="clear" w:color="000000" w:fill="FFFFFF"/>
            <w:noWrap/>
            <w:vAlign w:val="bottom"/>
            <w:hideMark/>
          </w:tcPr>
          <w:p w14:paraId="4786057C"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r>
      <w:tr w:rsidR="000647D5" w:rsidRPr="00973C14" w14:paraId="49F28412" w14:textId="77777777" w:rsidTr="0056086D">
        <w:trPr>
          <w:gridAfter w:val="1"/>
          <w:wAfter w:w="326" w:type="dxa"/>
          <w:trHeight w:val="300"/>
        </w:trPr>
        <w:tc>
          <w:tcPr>
            <w:tcW w:w="3240" w:type="dxa"/>
            <w:gridSpan w:val="2"/>
            <w:tcBorders>
              <w:top w:val="nil"/>
              <w:left w:val="nil"/>
              <w:bottom w:val="nil"/>
              <w:right w:val="nil"/>
            </w:tcBorders>
            <w:shd w:val="clear" w:color="000000" w:fill="D9D9D9"/>
            <w:noWrap/>
            <w:vAlign w:val="bottom"/>
            <w:hideMark/>
          </w:tcPr>
          <w:p w14:paraId="74BBFA6D" w14:textId="77777777" w:rsidR="000647D5" w:rsidRPr="00973C14" w:rsidRDefault="000647D5" w:rsidP="0056086D">
            <w:pPr>
              <w:spacing w:after="0"/>
              <w:rPr>
                <w:rFonts w:ascii="Calibri" w:hAnsi="Calibri"/>
                <w:b/>
                <w:bCs/>
                <w:color w:val="000000"/>
                <w:sz w:val="18"/>
                <w:szCs w:val="18"/>
              </w:rPr>
            </w:pPr>
            <w:r w:rsidRPr="00973C14">
              <w:rPr>
                <w:rFonts w:ascii="Calibri" w:hAnsi="Calibri"/>
                <w:b/>
                <w:bCs/>
                <w:color w:val="000000"/>
                <w:sz w:val="18"/>
                <w:szCs w:val="18"/>
              </w:rPr>
              <w:t>House Prices</w:t>
            </w:r>
            <w:r w:rsidRPr="00973C14">
              <w:rPr>
                <w:rFonts w:ascii="Calibri" w:hAnsi="Calibri"/>
                <w:color w:val="000000"/>
                <w:sz w:val="18"/>
                <w:szCs w:val="18"/>
                <w:vertAlign w:val="superscript"/>
              </w:rPr>
              <w:t>4</w:t>
            </w:r>
          </w:p>
        </w:tc>
        <w:tc>
          <w:tcPr>
            <w:tcW w:w="1350" w:type="dxa"/>
            <w:tcBorders>
              <w:top w:val="nil"/>
              <w:left w:val="nil"/>
              <w:bottom w:val="nil"/>
              <w:right w:val="nil"/>
            </w:tcBorders>
            <w:shd w:val="clear" w:color="000000" w:fill="D9D9D9"/>
            <w:noWrap/>
            <w:vAlign w:val="bottom"/>
            <w:hideMark/>
          </w:tcPr>
          <w:p w14:paraId="6A832A32"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236" w:type="dxa"/>
            <w:tcBorders>
              <w:top w:val="nil"/>
              <w:left w:val="nil"/>
              <w:bottom w:val="nil"/>
              <w:right w:val="nil"/>
            </w:tcBorders>
            <w:shd w:val="clear" w:color="000000" w:fill="D9D9D9"/>
            <w:noWrap/>
            <w:vAlign w:val="bottom"/>
            <w:hideMark/>
          </w:tcPr>
          <w:p w14:paraId="44F6B115"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1582" w:type="dxa"/>
            <w:tcBorders>
              <w:top w:val="nil"/>
              <w:left w:val="nil"/>
              <w:bottom w:val="nil"/>
              <w:right w:val="nil"/>
            </w:tcBorders>
            <w:shd w:val="clear" w:color="000000" w:fill="D9D9D9"/>
            <w:noWrap/>
            <w:vAlign w:val="bottom"/>
            <w:hideMark/>
          </w:tcPr>
          <w:p w14:paraId="46F44234"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3240" w:type="dxa"/>
            <w:tcBorders>
              <w:top w:val="nil"/>
              <w:left w:val="nil"/>
              <w:bottom w:val="nil"/>
              <w:right w:val="nil"/>
            </w:tcBorders>
            <w:shd w:val="clear" w:color="000000" w:fill="D9D9D9"/>
            <w:noWrap/>
            <w:vAlign w:val="bottom"/>
            <w:hideMark/>
          </w:tcPr>
          <w:p w14:paraId="239C9AFC"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r>
      <w:tr w:rsidR="000647D5" w:rsidRPr="00973C14" w14:paraId="48CDC1FF" w14:textId="77777777" w:rsidTr="0056086D">
        <w:trPr>
          <w:gridAfter w:val="1"/>
          <w:wAfter w:w="326" w:type="dxa"/>
          <w:trHeight w:val="260"/>
        </w:trPr>
        <w:tc>
          <w:tcPr>
            <w:tcW w:w="3240" w:type="dxa"/>
            <w:gridSpan w:val="2"/>
            <w:tcBorders>
              <w:top w:val="nil"/>
              <w:left w:val="nil"/>
              <w:right w:val="nil"/>
            </w:tcBorders>
            <w:shd w:val="clear" w:color="000000" w:fill="FFFFFF"/>
            <w:noWrap/>
            <w:vAlign w:val="bottom"/>
            <w:hideMark/>
          </w:tcPr>
          <w:p w14:paraId="77C18E29"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Baseline</w:t>
            </w:r>
          </w:p>
        </w:tc>
        <w:tc>
          <w:tcPr>
            <w:tcW w:w="1350" w:type="dxa"/>
            <w:tcBorders>
              <w:top w:val="nil"/>
              <w:left w:val="nil"/>
              <w:right w:val="nil"/>
            </w:tcBorders>
            <w:shd w:val="clear" w:color="000000" w:fill="FFFFFF"/>
            <w:noWrap/>
            <w:vAlign w:val="bottom"/>
            <w:hideMark/>
          </w:tcPr>
          <w:p w14:paraId="5777C31D"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-14</w:t>
            </w:r>
          </w:p>
        </w:tc>
        <w:tc>
          <w:tcPr>
            <w:tcW w:w="236" w:type="dxa"/>
            <w:tcBorders>
              <w:top w:val="nil"/>
              <w:left w:val="nil"/>
              <w:right w:val="nil"/>
            </w:tcBorders>
            <w:shd w:val="clear" w:color="000000" w:fill="FFFFFF"/>
            <w:noWrap/>
            <w:vAlign w:val="bottom"/>
            <w:hideMark/>
          </w:tcPr>
          <w:p w14:paraId="28851211"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1582" w:type="dxa"/>
            <w:tcBorders>
              <w:top w:val="nil"/>
              <w:left w:val="nil"/>
              <w:right w:val="nil"/>
            </w:tcBorders>
            <w:shd w:val="clear" w:color="000000" w:fill="FFFFFF"/>
            <w:noWrap/>
            <w:vAlign w:val="bottom"/>
            <w:hideMark/>
          </w:tcPr>
          <w:p w14:paraId="1412EA8C"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-4</w:t>
            </w:r>
          </w:p>
        </w:tc>
        <w:tc>
          <w:tcPr>
            <w:tcW w:w="3240" w:type="dxa"/>
            <w:tcBorders>
              <w:top w:val="nil"/>
              <w:left w:val="nil"/>
              <w:right w:val="nil"/>
            </w:tcBorders>
            <w:shd w:val="clear" w:color="000000" w:fill="FFFFFF"/>
            <w:noWrap/>
            <w:vAlign w:val="bottom"/>
            <w:hideMark/>
          </w:tcPr>
          <w:p w14:paraId="34BCC491"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r>
      <w:tr w:rsidR="000647D5" w:rsidRPr="00973C14" w14:paraId="035D8FB4" w14:textId="77777777" w:rsidTr="0056086D">
        <w:trPr>
          <w:gridAfter w:val="1"/>
          <w:wAfter w:w="326" w:type="dxa"/>
          <w:trHeight w:val="260"/>
        </w:trPr>
        <w:tc>
          <w:tcPr>
            <w:tcW w:w="3240" w:type="dxa"/>
            <w:gridSpan w:val="2"/>
            <w:tcBorders>
              <w:top w:val="nil"/>
              <w:left w:val="nil"/>
              <w:bottom w:val="single" w:sz="4" w:space="0" w:color="auto"/>
              <w:right w:val="nil"/>
            </w:tcBorders>
            <w:shd w:val="clear" w:color="000000" w:fill="D9D9D9"/>
            <w:noWrap/>
            <w:vAlign w:val="bottom"/>
            <w:hideMark/>
          </w:tcPr>
          <w:p w14:paraId="18982CE1"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Alternative More Adverse</w:t>
            </w:r>
          </w:p>
        </w:tc>
        <w:tc>
          <w:tcPr>
            <w:tcW w:w="1350" w:type="dxa"/>
            <w:tcBorders>
              <w:top w:val="nil"/>
              <w:left w:val="nil"/>
              <w:bottom w:val="single" w:sz="4" w:space="0" w:color="auto"/>
              <w:right w:val="nil"/>
            </w:tcBorders>
            <w:shd w:val="clear" w:color="000000" w:fill="D9D9D9"/>
            <w:noWrap/>
            <w:vAlign w:val="bottom"/>
            <w:hideMark/>
          </w:tcPr>
          <w:p w14:paraId="20FE7407"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-22</w:t>
            </w:r>
          </w:p>
        </w:tc>
        <w:tc>
          <w:tcPr>
            <w:tcW w:w="236" w:type="dxa"/>
            <w:tcBorders>
              <w:top w:val="nil"/>
              <w:left w:val="nil"/>
              <w:bottom w:val="single" w:sz="4" w:space="0" w:color="auto"/>
              <w:right w:val="nil"/>
            </w:tcBorders>
            <w:shd w:val="clear" w:color="000000" w:fill="D9D9D9"/>
            <w:noWrap/>
            <w:vAlign w:val="bottom"/>
            <w:hideMark/>
          </w:tcPr>
          <w:p w14:paraId="5CB60489"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c>
          <w:tcPr>
            <w:tcW w:w="1582" w:type="dxa"/>
            <w:tcBorders>
              <w:top w:val="nil"/>
              <w:left w:val="nil"/>
              <w:bottom w:val="single" w:sz="4" w:space="0" w:color="auto"/>
              <w:right w:val="nil"/>
            </w:tcBorders>
            <w:shd w:val="clear" w:color="000000" w:fill="D9D9D9"/>
            <w:noWrap/>
            <w:vAlign w:val="bottom"/>
            <w:hideMark/>
          </w:tcPr>
          <w:p w14:paraId="4DD8ED5C" w14:textId="77777777" w:rsidR="000647D5" w:rsidRPr="00973C14" w:rsidRDefault="000647D5" w:rsidP="0056086D">
            <w:pPr>
              <w:spacing w:after="0"/>
              <w:jc w:val="right"/>
              <w:rPr>
                <w:rFonts w:ascii="Calibri" w:hAnsi="Calibri"/>
                <w:color w:val="000000"/>
                <w:sz w:val="18"/>
                <w:szCs w:val="18"/>
              </w:rPr>
            </w:pPr>
            <w:r w:rsidRPr="00973C14">
              <w:rPr>
                <w:rFonts w:ascii="Calibri" w:hAnsi="Calibri"/>
                <w:color w:val="000000"/>
                <w:sz w:val="18"/>
                <w:szCs w:val="18"/>
              </w:rPr>
              <w:t>-7</w:t>
            </w:r>
          </w:p>
        </w:tc>
        <w:tc>
          <w:tcPr>
            <w:tcW w:w="3240" w:type="dxa"/>
            <w:tcBorders>
              <w:top w:val="nil"/>
              <w:left w:val="nil"/>
              <w:bottom w:val="single" w:sz="4" w:space="0" w:color="auto"/>
              <w:right w:val="nil"/>
            </w:tcBorders>
            <w:shd w:val="clear" w:color="000000" w:fill="D9D9D9"/>
            <w:noWrap/>
            <w:vAlign w:val="bottom"/>
            <w:hideMark/>
          </w:tcPr>
          <w:p w14:paraId="1616CA5A"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r>
      <w:tr w:rsidR="000647D5" w:rsidRPr="00973C14" w14:paraId="1EA11FC5" w14:textId="77777777" w:rsidTr="0056086D">
        <w:trPr>
          <w:gridAfter w:val="1"/>
          <w:wAfter w:w="326" w:type="dxa"/>
          <w:trHeight w:val="300"/>
        </w:trPr>
        <w:tc>
          <w:tcPr>
            <w:tcW w:w="6408" w:type="dxa"/>
            <w:gridSpan w:val="5"/>
            <w:tcBorders>
              <w:top w:val="single" w:sz="4" w:space="0" w:color="auto"/>
              <w:left w:val="nil"/>
              <w:bottom w:val="nil"/>
              <w:right w:val="nil"/>
            </w:tcBorders>
            <w:shd w:val="clear" w:color="000000" w:fill="FFFFFF"/>
            <w:noWrap/>
            <w:vAlign w:val="bottom"/>
            <w:hideMark/>
          </w:tcPr>
          <w:p w14:paraId="375E97ED"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vertAlign w:val="superscript"/>
              </w:rPr>
              <w:t xml:space="preserve">1 </w:t>
            </w:r>
            <w:r w:rsidRPr="00973C14">
              <w:rPr>
                <w:rFonts w:ascii="Calibri" w:hAnsi="Calibri"/>
                <w:color w:val="000000"/>
                <w:sz w:val="18"/>
                <w:szCs w:val="18"/>
              </w:rPr>
              <w:t>Percent change in annual average.</w:t>
            </w:r>
          </w:p>
        </w:tc>
        <w:tc>
          <w:tcPr>
            <w:tcW w:w="3240" w:type="dxa"/>
            <w:tcBorders>
              <w:top w:val="single" w:sz="4" w:space="0" w:color="auto"/>
              <w:left w:val="nil"/>
              <w:bottom w:val="nil"/>
              <w:right w:val="nil"/>
            </w:tcBorders>
            <w:shd w:val="clear" w:color="000000" w:fill="FFFFFF"/>
            <w:noWrap/>
            <w:vAlign w:val="bottom"/>
            <w:hideMark/>
          </w:tcPr>
          <w:p w14:paraId="42F72707"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r>
      <w:tr w:rsidR="000647D5" w:rsidRPr="00973C14" w14:paraId="29E94972" w14:textId="77777777" w:rsidTr="0056086D">
        <w:trPr>
          <w:trHeight w:val="396"/>
        </w:trPr>
        <w:tc>
          <w:tcPr>
            <w:tcW w:w="9648" w:type="dxa"/>
            <w:gridSpan w:val="6"/>
            <w:tcBorders>
              <w:top w:val="nil"/>
              <w:left w:val="nil"/>
              <w:bottom w:val="nil"/>
              <w:right w:val="nil"/>
            </w:tcBorders>
            <w:shd w:val="clear" w:color="000000" w:fill="FFFFFF"/>
            <w:vAlign w:val="bottom"/>
            <w:hideMark/>
          </w:tcPr>
          <w:p w14:paraId="264C9572"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vertAlign w:val="superscript"/>
              </w:rPr>
              <w:t>2</w:t>
            </w:r>
            <w:r w:rsidRPr="00973C14">
              <w:rPr>
                <w:rFonts w:ascii="Calibri" w:hAnsi="Calibri"/>
                <w:color w:val="000000"/>
                <w:sz w:val="18"/>
                <w:szCs w:val="18"/>
              </w:rPr>
              <w:t xml:space="preserve"> Baseline forecasts for real GDP and the unemployment rate equal the average projections released by Conesus Forecasts, Blue Chip, and Survey of Professional Forecasters in February 2009.</w:t>
            </w:r>
          </w:p>
        </w:tc>
        <w:tc>
          <w:tcPr>
            <w:tcW w:w="326" w:type="dxa"/>
            <w:tcBorders>
              <w:top w:val="nil"/>
              <w:left w:val="nil"/>
              <w:bottom w:val="nil"/>
              <w:right w:val="nil"/>
            </w:tcBorders>
            <w:shd w:val="clear" w:color="000000" w:fill="FFFFFF"/>
            <w:vAlign w:val="bottom"/>
            <w:hideMark/>
          </w:tcPr>
          <w:p w14:paraId="630DF7D3"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r>
      <w:tr w:rsidR="000647D5" w:rsidRPr="00973C14" w14:paraId="7727789E" w14:textId="77777777" w:rsidTr="0056086D">
        <w:trPr>
          <w:gridAfter w:val="1"/>
          <w:wAfter w:w="326" w:type="dxa"/>
          <w:trHeight w:val="225"/>
        </w:trPr>
        <w:tc>
          <w:tcPr>
            <w:tcW w:w="6408" w:type="dxa"/>
            <w:gridSpan w:val="5"/>
            <w:tcBorders>
              <w:top w:val="nil"/>
              <w:left w:val="nil"/>
              <w:bottom w:val="nil"/>
              <w:right w:val="nil"/>
            </w:tcBorders>
            <w:shd w:val="clear" w:color="000000" w:fill="FFFFFF"/>
            <w:noWrap/>
            <w:vAlign w:val="bottom"/>
            <w:hideMark/>
          </w:tcPr>
          <w:p w14:paraId="75B3748D"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vertAlign w:val="superscript"/>
              </w:rPr>
              <w:t>3</w:t>
            </w:r>
            <w:r w:rsidRPr="00973C14">
              <w:rPr>
                <w:rFonts w:ascii="Calibri" w:hAnsi="Calibri"/>
                <w:color w:val="000000"/>
                <w:sz w:val="18"/>
                <w:szCs w:val="18"/>
              </w:rPr>
              <w:t xml:space="preserve"> Annual average. </w:t>
            </w:r>
          </w:p>
        </w:tc>
        <w:tc>
          <w:tcPr>
            <w:tcW w:w="3240" w:type="dxa"/>
            <w:tcBorders>
              <w:top w:val="nil"/>
              <w:left w:val="nil"/>
              <w:bottom w:val="nil"/>
              <w:right w:val="nil"/>
            </w:tcBorders>
            <w:shd w:val="clear" w:color="000000" w:fill="FFFFFF"/>
            <w:noWrap/>
            <w:vAlign w:val="bottom"/>
            <w:hideMark/>
          </w:tcPr>
          <w:p w14:paraId="008B32C6"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r>
      <w:tr w:rsidR="000647D5" w:rsidRPr="00973C14" w14:paraId="24FC3E79" w14:textId="77777777" w:rsidTr="0056086D">
        <w:trPr>
          <w:gridAfter w:val="1"/>
          <w:wAfter w:w="326" w:type="dxa"/>
          <w:trHeight w:val="414"/>
        </w:trPr>
        <w:tc>
          <w:tcPr>
            <w:tcW w:w="6408" w:type="dxa"/>
            <w:gridSpan w:val="5"/>
            <w:tcBorders>
              <w:top w:val="nil"/>
              <w:left w:val="nil"/>
              <w:bottom w:val="nil"/>
              <w:right w:val="nil"/>
            </w:tcBorders>
            <w:shd w:val="clear" w:color="000000" w:fill="FFFFFF"/>
            <w:noWrap/>
            <w:vAlign w:val="bottom"/>
            <w:hideMark/>
          </w:tcPr>
          <w:p w14:paraId="404B496C"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vertAlign w:val="superscript"/>
              </w:rPr>
              <w:t>4</w:t>
            </w:r>
            <w:r w:rsidRPr="00973C14">
              <w:rPr>
                <w:rFonts w:ascii="Calibri" w:hAnsi="Calibri"/>
                <w:color w:val="000000"/>
                <w:sz w:val="18"/>
                <w:szCs w:val="18"/>
              </w:rPr>
              <w:t xml:space="preserve"> Case-Shiller 10-City Composite, percent change, Q4/Q4.</w:t>
            </w:r>
          </w:p>
          <w:p w14:paraId="234C9B90" w14:textId="77777777" w:rsidR="000647D5" w:rsidRPr="00973C14" w:rsidRDefault="000647D5" w:rsidP="0056086D">
            <w:pPr>
              <w:spacing w:after="0"/>
              <w:rPr>
                <w:rFonts w:ascii="Calibri" w:hAnsi="Calibri"/>
                <w:i/>
                <w:sz w:val="18"/>
                <w:szCs w:val="18"/>
              </w:rPr>
            </w:pPr>
            <w:r w:rsidRPr="00973C14">
              <w:rPr>
                <w:rFonts w:ascii="Calibri" w:hAnsi="Calibri"/>
                <w:i/>
                <w:sz w:val="18"/>
                <w:szCs w:val="18"/>
              </w:rPr>
              <w:t>Source: Federal Reserve (May 7, 2009).</w:t>
            </w:r>
          </w:p>
          <w:p w14:paraId="4CF8A94C" w14:textId="77777777" w:rsidR="000647D5" w:rsidRPr="00973C14" w:rsidRDefault="000647D5" w:rsidP="0056086D">
            <w:pPr>
              <w:spacing w:after="0"/>
              <w:rPr>
                <w:rFonts w:ascii="Calibri" w:hAnsi="Calibri"/>
                <w:b/>
                <w:i/>
                <w:color w:val="000000"/>
                <w:sz w:val="18"/>
                <w:szCs w:val="18"/>
              </w:rPr>
            </w:pPr>
          </w:p>
        </w:tc>
        <w:tc>
          <w:tcPr>
            <w:tcW w:w="3240" w:type="dxa"/>
            <w:tcBorders>
              <w:top w:val="nil"/>
              <w:left w:val="nil"/>
              <w:bottom w:val="nil"/>
              <w:right w:val="nil"/>
            </w:tcBorders>
            <w:shd w:val="clear" w:color="000000" w:fill="FFFFFF"/>
            <w:noWrap/>
            <w:vAlign w:val="bottom"/>
            <w:hideMark/>
          </w:tcPr>
          <w:p w14:paraId="7A83951C" w14:textId="77777777" w:rsidR="000647D5" w:rsidRPr="00973C14" w:rsidRDefault="000647D5" w:rsidP="0056086D">
            <w:pPr>
              <w:spacing w:after="0"/>
              <w:rPr>
                <w:rFonts w:ascii="Calibri" w:hAnsi="Calibri"/>
                <w:color w:val="000000"/>
                <w:sz w:val="18"/>
                <w:szCs w:val="18"/>
              </w:rPr>
            </w:pPr>
            <w:r w:rsidRPr="00973C14">
              <w:rPr>
                <w:rFonts w:ascii="Calibri" w:hAnsi="Calibri"/>
                <w:color w:val="000000"/>
                <w:sz w:val="18"/>
                <w:szCs w:val="18"/>
              </w:rPr>
              <w:t> </w:t>
            </w:r>
          </w:p>
        </w:tc>
      </w:tr>
    </w:tbl>
    <w:p w14:paraId="7BF55FA0" w14:textId="2BE48068" w:rsidR="00EF0A0B" w:rsidRPr="00973C14" w:rsidRDefault="00AA44EA" w:rsidP="008B65AC">
      <w:pPr>
        <w:pStyle w:val="Heading4"/>
        <w:spacing w:after="200"/>
        <w:rPr>
          <w:rFonts w:ascii="Calibri" w:hAnsi="Calibri"/>
          <w:color w:val="auto"/>
        </w:rPr>
      </w:pPr>
      <w:r w:rsidRPr="00973C14">
        <w:rPr>
          <w:rFonts w:ascii="Calibri" w:hAnsi="Calibri"/>
          <w:color w:val="auto"/>
        </w:rPr>
        <w:t>3</w:t>
      </w:r>
      <w:r w:rsidR="00D006B7" w:rsidRPr="00973C14">
        <w:rPr>
          <w:rFonts w:ascii="Calibri" w:hAnsi="Calibri"/>
          <w:color w:val="auto"/>
        </w:rPr>
        <w:t>. The stress tests were based on targets for the amount of Tier 1 capital firms should hold</w:t>
      </w:r>
    </w:p>
    <w:p w14:paraId="60F1A4BF" w14:textId="0BEC6FDE" w:rsidR="00EB63BF" w:rsidRPr="00973C14" w:rsidRDefault="008C1901" w:rsidP="004F7A39">
      <w:pPr>
        <w:pStyle w:val="FirstParagraph"/>
        <w:spacing w:after="200"/>
        <w:rPr>
          <w:rFonts w:ascii="Calibri" w:hAnsi="Calibri"/>
        </w:rPr>
      </w:pPr>
      <w:r w:rsidRPr="00973C14">
        <w:rPr>
          <w:rFonts w:ascii="Calibri" w:hAnsi="Calibri"/>
        </w:rPr>
        <w:t xml:space="preserve">Fed staff examined both the level of capital in each BHC as well as the composition of the capital held by evaluating the Tier 1 risk-based capital ratio, which is the ratio of Tier 1 capital to risk-weighted assets. The Fed also evaluated common equity's share of Tier 1 capital. Tier 1 capital was required to be at least half of qualifying total capital. In practice, these measures are referred to as the Tier 1 Common capital ratio and the Tier 1 capital ratio where the former excludes preferred shares and non-controlling interests and the latter includes them. Regulators focused on Tier 1 Common specifically as it is the first to absorb losses and so acts as a permanent cushion that </w:t>
      </w:r>
      <w:r w:rsidR="005A152E">
        <w:rPr>
          <w:rFonts w:ascii="Calibri" w:hAnsi="Calibri"/>
        </w:rPr>
        <w:t>BHCs</w:t>
      </w:r>
      <w:r w:rsidR="001A7C7B">
        <w:rPr>
          <w:rFonts w:ascii="Calibri" w:hAnsi="Calibri"/>
        </w:rPr>
        <w:t xml:space="preserve"> </w:t>
      </w:r>
      <w:r w:rsidRPr="00973C14">
        <w:rPr>
          <w:rFonts w:ascii="Calibri" w:hAnsi="Calibri"/>
        </w:rPr>
        <w:t>can adjust to changing circumstances by varying dividends and their timing.</w:t>
      </w:r>
      <w:r w:rsidR="00CA12CB" w:rsidRPr="00973C14">
        <w:rPr>
          <w:rFonts w:ascii="Calibri" w:hAnsi="Calibri"/>
        </w:rPr>
        <w:t xml:space="preserve"> (12 CFR part 225, Appendix A).</w:t>
      </w:r>
    </w:p>
    <w:p w14:paraId="5032740D" w14:textId="77777777" w:rsidR="00EF0A0B" w:rsidRPr="00973C14" w:rsidRDefault="008C1901" w:rsidP="008B65AC">
      <w:pPr>
        <w:pStyle w:val="BodyText"/>
        <w:spacing w:after="200"/>
        <w:rPr>
          <w:rFonts w:ascii="Calibri" w:hAnsi="Calibri"/>
        </w:rPr>
      </w:pPr>
      <w:r w:rsidRPr="00973C14">
        <w:rPr>
          <w:rFonts w:ascii="Calibri" w:hAnsi="Calibri"/>
        </w:rPr>
        <w:t>In designing and implementing the tests, the Fed sought to answer two questions to determine the resources required to withstand a more adverse macroeconomic environment:</w:t>
      </w:r>
    </w:p>
    <w:p w14:paraId="3A9B07DD" w14:textId="161C5600" w:rsidR="00EF0A0B" w:rsidRPr="00973C14" w:rsidRDefault="008C1901" w:rsidP="008B65AC">
      <w:pPr>
        <w:pStyle w:val="Compact"/>
        <w:numPr>
          <w:ilvl w:val="0"/>
          <w:numId w:val="4"/>
        </w:numPr>
        <w:spacing w:after="200"/>
        <w:rPr>
          <w:rFonts w:ascii="Calibri" w:hAnsi="Calibri"/>
        </w:rPr>
      </w:pPr>
      <w:r w:rsidRPr="00973C14">
        <w:rPr>
          <w:rFonts w:ascii="Calibri" w:hAnsi="Calibri"/>
        </w:rPr>
        <w:t>If the economy follows the "more adverse" scenario, how much additional Tier 1 capital</w:t>
      </w:r>
      <w:r w:rsidR="00FA03EC">
        <w:rPr>
          <w:rFonts w:ascii="Calibri" w:hAnsi="Calibri"/>
        </w:rPr>
        <w:t xml:space="preserve"> </w:t>
      </w:r>
      <w:r w:rsidRPr="00973C14">
        <w:rPr>
          <w:rFonts w:ascii="Calibri" w:hAnsi="Calibri"/>
        </w:rPr>
        <w:t>would an institution need today to be able to have a Tier 1 risk-based ratio in excess of six percent at year-end 2010?</w:t>
      </w:r>
    </w:p>
    <w:p w14:paraId="68898DC3" w14:textId="513AC2D3" w:rsidR="00EF0A0B" w:rsidRPr="00973C14" w:rsidRDefault="008C1901" w:rsidP="008B65AC">
      <w:pPr>
        <w:pStyle w:val="Compact"/>
        <w:numPr>
          <w:ilvl w:val="0"/>
          <w:numId w:val="4"/>
        </w:numPr>
        <w:spacing w:after="200"/>
        <w:rPr>
          <w:rFonts w:ascii="Calibri" w:hAnsi="Calibri"/>
        </w:rPr>
      </w:pPr>
      <w:r w:rsidRPr="00973C14">
        <w:rPr>
          <w:rFonts w:ascii="Calibri" w:hAnsi="Calibri"/>
        </w:rPr>
        <w:t>If the economy follows the "more adverse" scenario, how much additional Tier 1 Common capital would an institution need to have today to have a Tier 1 Common capital risk-based ratio in excess of four percent at year-end 2010?</w:t>
      </w:r>
    </w:p>
    <w:p w14:paraId="0F6D13FC" w14:textId="31874918" w:rsidR="00651279" w:rsidRPr="00973C14" w:rsidRDefault="00651279" w:rsidP="00B06933">
      <w:pPr>
        <w:rPr>
          <w:rFonts w:ascii="Calibri" w:hAnsi="Calibri"/>
        </w:rPr>
      </w:pPr>
      <w:r w:rsidRPr="00973C14">
        <w:rPr>
          <w:rFonts w:ascii="Calibri" w:hAnsi="Calibri"/>
        </w:rPr>
        <w:lastRenderedPageBreak/>
        <w:t xml:space="preserve">The </w:t>
      </w:r>
      <w:r w:rsidR="00344AAD">
        <w:rPr>
          <w:rFonts w:ascii="Calibri" w:hAnsi="Calibri"/>
        </w:rPr>
        <w:t xml:space="preserve">test </w:t>
      </w:r>
      <w:r w:rsidRPr="00973C14">
        <w:rPr>
          <w:rFonts w:ascii="Calibri" w:hAnsi="Calibri"/>
        </w:rPr>
        <w:t xml:space="preserve">design also assumed that the institutions would continue to operate under the regulatory framework existing as of December 31, 2008 and under any significant changes in the framework that would take place </w:t>
      </w:r>
      <w:r w:rsidR="00BC00E3">
        <w:rPr>
          <w:rFonts w:ascii="Calibri" w:hAnsi="Calibri"/>
        </w:rPr>
        <w:t xml:space="preserve">over </w:t>
      </w:r>
      <w:r w:rsidRPr="00973C14">
        <w:rPr>
          <w:rFonts w:ascii="Calibri" w:hAnsi="Calibri"/>
        </w:rPr>
        <w:t xml:space="preserve">the next two years. The stress test included an assessment of capital at the end of 2010 capturing expected losses in 2011, as BHCs participating in the SCAP booked the majority of their assets on an accrual basis. (FRS April 2009). </w:t>
      </w:r>
      <w:bookmarkStart w:id="9" w:name="other-than-temporary-impairment-charges"/>
      <w:bookmarkEnd w:id="9"/>
    </w:p>
    <w:p w14:paraId="001061F0" w14:textId="539C924C" w:rsidR="00EF0A0B" w:rsidRPr="00973C14" w:rsidRDefault="00AA44EA" w:rsidP="00CC7C1A">
      <w:pPr>
        <w:pStyle w:val="Heading4"/>
        <w:spacing w:after="200"/>
        <w:rPr>
          <w:rFonts w:ascii="Calibri" w:hAnsi="Calibri"/>
          <w:color w:val="auto"/>
        </w:rPr>
      </w:pPr>
      <w:r w:rsidRPr="00973C14">
        <w:rPr>
          <w:rFonts w:ascii="Calibri" w:hAnsi="Calibri"/>
          <w:color w:val="auto"/>
        </w:rPr>
        <w:t>4</w:t>
      </w:r>
      <w:r w:rsidR="008C1901" w:rsidRPr="00973C14">
        <w:rPr>
          <w:rFonts w:ascii="Calibri" w:hAnsi="Calibri"/>
          <w:color w:val="auto"/>
        </w:rPr>
        <w:t xml:space="preserve">. </w:t>
      </w:r>
      <w:r w:rsidR="00D006B7" w:rsidRPr="00973C14">
        <w:rPr>
          <w:rFonts w:ascii="Calibri" w:hAnsi="Calibri"/>
          <w:color w:val="auto"/>
        </w:rPr>
        <w:t>The Fed applied other than temporary impairment charges to securities that a bank was likely to sell or be forced to sell</w:t>
      </w:r>
    </w:p>
    <w:p w14:paraId="0F89DD7A" w14:textId="3F17F57F" w:rsidR="00EF0A0B" w:rsidRPr="00973C14" w:rsidRDefault="008C1901" w:rsidP="00CC7C1A">
      <w:pPr>
        <w:pStyle w:val="FirstParagraph"/>
        <w:spacing w:after="200"/>
        <w:rPr>
          <w:rFonts w:ascii="Calibri" w:hAnsi="Calibri"/>
        </w:rPr>
      </w:pPr>
      <w:r w:rsidRPr="00973C14">
        <w:rPr>
          <w:rFonts w:ascii="Calibri" w:hAnsi="Calibri"/>
        </w:rPr>
        <w:t>Particular focus centered on losses in available-for-sale (AFS) and held-to-maturity (HTM) portfolios, as well as counterparty credit risk. Losses in these items would ultimately represent the largest share of total losses. Supervisors analyzed whether securitized assets would become impaired over their lifetime—if this were the case, and if credit support was insuf</w:t>
      </w:r>
      <w:r w:rsidR="00766AFD">
        <w:rPr>
          <w:rFonts w:ascii="Calibri" w:hAnsi="Calibri"/>
        </w:rPr>
        <w:t>ficient to cover</w:t>
      </w:r>
      <w:r w:rsidRPr="00973C14">
        <w:rPr>
          <w:rFonts w:ascii="Calibri" w:hAnsi="Calibri"/>
        </w:rPr>
        <w:t xml:space="preserve"> expected losses, the security was written-down to fair value.</w:t>
      </w:r>
    </w:p>
    <w:p w14:paraId="37024805" w14:textId="32C3743F" w:rsidR="00EF0A0B" w:rsidRPr="00973C14" w:rsidRDefault="008C1901" w:rsidP="00CC7C1A">
      <w:pPr>
        <w:pStyle w:val="BodyText"/>
        <w:spacing w:after="200"/>
        <w:rPr>
          <w:rFonts w:ascii="Calibri" w:hAnsi="Calibri"/>
        </w:rPr>
      </w:pPr>
      <w:r w:rsidRPr="00973C14">
        <w:rPr>
          <w:rFonts w:ascii="Calibri" w:hAnsi="Calibri"/>
        </w:rPr>
        <w:t>In its analysis, the Fed considered whether a firm intended to sell a security or "whether it is more-likely-than-not that firms will be required to sell the security before recovery of its cost basis." Both scenarios triggered an “other than temporary impairment” charge. Regulators felt it best practice, following the Financial Accounting Standards Board's guidance, to account for the eventuality that firms might not be able to hold a security to recovery under more stressful conditions. For securities determined to be other than temporarily impaired, the loss was the difference between the amort</w:t>
      </w:r>
      <w:r w:rsidR="00E37D8F" w:rsidRPr="00973C14">
        <w:rPr>
          <w:rFonts w:ascii="Calibri" w:hAnsi="Calibri"/>
        </w:rPr>
        <w:t>ized cost basis and fair value.</w:t>
      </w:r>
      <w:r w:rsidR="00B03CF0" w:rsidRPr="00973C14">
        <w:rPr>
          <w:rFonts w:ascii="Calibri" w:hAnsi="Calibri"/>
        </w:rPr>
        <w:t xml:space="preserve"> (FRS May 2009).</w:t>
      </w:r>
    </w:p>
    <w:p w14:paraId="6D91BFE0" w14:textId="3A7038E5" w:rsidR="00EF0A0B" w:rsidRPr="008662B1" w:rsidRDefault="00AA44EA" w:rsidP="00B144B5">
      <w:pPr>
        <w:pStyle w:val="Heading4"/>
        <w:rPr>
          <w:rFonts w:ascii="Calibri" w:hAnsi="Calibri"/>
          <w:color w:val="000000" w:themeColor="text1"/>
        </w:rPr>
      </w:pPr>
      <w:bookmarkStart w:id="10" w:name="inclusion-of-q1-2009-revenues"/>
      <w:bookmarkEnd w:id="10"/>
      <w:r w:rsidRPr="008662B1">
        <w:rPr>
          <w:rFonts w:ascii="Calibri" w:hAnsi="Calibri"/>
          <w:color w:val="000000" w:themeColor="text1"/>
        </w:rPr>
        <w:t>5</w:t>
      </w:r>
      <w:r w:rsidR="008C1901" w:rsidRPr="008662B1">
        <w:rPr>
          <w:rFonts w:ascii="Calibri" w:hAnsi="Calibri"/>
          <w:color w:val="000000" w:themeColor="text1"/>
        </w:rPr>
        <w:t xml:space="preserve">. </w:t>
      </w:r>
      <w:r w:rsidR="00D006B7" w:rsidRPr="008662B1">
        <w:rPr>
          <w:rFonts w:ascii="Calibri" w:hAnsi="Calibri"/>
          <w:color w:val="000000" w:themeColor="text1"/>
        </w:rPr>
        <w:t>Q1 2009 revenues were included in the stress test calculation</w:t>
      </w:r>
    </w:p>
    <w:p w14:paraId="0B7AD6C2" w14:textId="77777777" w:rsidR="000B3B43" w:rsidRPr="00973C14" w:rsidRDefault="008C1901" w:rsidP="003B71C3">
      <w:pPr>
        <w:pStyle w:val="FirstParagraph"/>
        <w:spacing w:after="200"/>
        <w:rPr>
          <w:rFonts w:ascii="Calibri" w:hAnsi="Calibri"/>
        </w:rPr>
      </w:pPr>
      <w:r w:rsidRPr="00973C14">
        <w:rPr>
          <w:rFonts w:ascii="Calibri" w:hAnsi="Calibri"/>
        </w:rPr>
        <w:t>Market participants also questioned whether Q1 2009 results would be included in the estimates. After a period, regulators decided to include these revenues. In the subsequently published information for each institution, a line item addressed this explicitly as in footnote 3 in Figure 2 noting, "[c]apital actions include completed or contracted transactions since Q4 2008."</w:t>
      </w:r>
      <w:bookmarkStart w:id="11" w:name="list-of-key-resources"/>
      <w:bookmarkEnd w:id="11"/>
      <w:r w:rsidR="003B71C3" w:rsidRPr="00973C14">
        <w:rPr>
          <w:rFonts w:ascii="Calibri" w:hAnsi="Calibri"/>
        </w:rPr>
        <w:t xml:space="preserve"> </w:t>
      </w:r>
    </w:p>
    <w:p w14:paraId="69370261" w14:textId="590DFBDE" w:rsidR="00B64E23" w:rsidRPr="008662B1" w:rsidRDefault="00AA44EA" w:rsidP="008662B1">
      <w:pPr>
        <w:pStyle w:val="Heading4"/>
        <w:spacing w:before="0"/>
        <w:rPr>
          <w:rFonts w:ascii="Calibri" w:hAnsi="Calibri"/>
          <w:color w:val="000000" w:themeColor="text1"/>
        </w:rPr>
      </w:pPr>
      <w:r w:rsidRPr="008662B1">
        <w:rPr>
          <w:rFonts w:ascii="Calibri" w:hAnsi="Calibri"/>
          <w:color w:val="000000" w:themeColor="text1"/>
        </w:rPr>
        <w:t>6.</w:t>
      </w:r>
      <w:r w:rsidR="00B64E23" w:rsidRPr="008662B1">
        <w:rPr>
          <w:rFonts w:ascii="Calibri" w:hAnsi="Calibri"/>
          <w:color w:val="000000" w:themeColor="text1"/>
        </w:rPr>
        <w:t xml:space="preserve"> </w:t>
      </w:r>
      <w:r w:rsidR="008662B1">
        <w:rPr>
          <w:rFonts w:ascii="Calibri" w:hAnsi="Calibri"/>
          <w:color w:val="000000" w:themeColor="text1"/>
        </w:rPr>
        <w:t>BHCs with c</w:t>
      </w:r>
      <w:r w:rsidR="00B64E23" w:rsidRPr="008662B1">
        <w:rPr>
          <w:rFonts w:ascii="Calibri" w:hAnsi="Calibri"/>
          <w:color w:val="000000" w:themeColor="text1"/>
        </w:rPr>
        <w:t xml:space="preserve">apital shortfalls revealed by the SCAP would ultimately have access to U.S. Treasury funds if the firm was </w:t>
      </w:r>
      <w:r w:rsidR="001515D7" w:rsidRPr="008662B1">
        <w:rPr>
          <w:rFonts w:ascii="Calibri" w:hAnsi="Calibri"/>
          <w:color w:val="000000" w:themeColor="text1"/>
        </w:rPr>
        <w:t>unable to raise private capital</w:t>
      </w:r>
    </w:p>
    <w:p w14:paraId="415B7096" w14:textId="77777777" w:rsidR="00283F04" w:rsidRPr="00283F04" w:rsidRDefault="00283F04" w:rsidP="008662B1">
      <w:pPr>
        <w:pStyle w:val="BodyText"/>
        <w:spacing w:before="0" w:after="0"/>
      </w:pPr>
    </w:p>
    <w:p w14:paraId="7A1F540F" w14:textId="7A19EEE7" w:rsidR="00617975" w:rsidRPr="00973C14" w:rsidRDefault="00617975" w:rsidP="008662B1">
      <w:pPr>
        <w:spacing w:after="0"/>
        <w:rPr>
          <w:rFonts w:ascii="Calibri" w:hAnsi="Calibri"/>
        </w:rPr>
      </w:pPr>
      <w:r w:rsidRPr="00973C14">
        <w:rPr>
          <w:rFonts w:ascii="Calibri" w:hAnsi="Calibri"/>
        </w:rPr>
        <w:t xml:space="preserve">If the SCAP test indicated a bank needed more capital, the Treasury would provide the additional capital buffer through the CAP in the form of convertible preferred securities should the bank be unable to raise enough capital through private sources. These convertible preferred holdings would be convertible to common equity “if needed to retain the confidence of investors or to meet supervisory expectations regarding the amount and composition of capital.” (Treasury White Paper). The Treasury offered the CAP to all banks and qualifying financial institutions, unlike the SCAP discussed above which was limited to the 19 largest BHCs. BHCs had six months to raise additional capital, but could apply to the CAP immediately after the publication of the SCAP results and delay actual </w:t>
      </w:r>
      <w:r w:rsidR="00EC3D14">
        <w:rPr>
          <w:rFonts w:ascii="Calibri" w:hAnsi="Calibri"/>
        </w:rPr>
        <w:t xml:space="preserve">CAP </w:t>
      </w:r>
      <w:r w:rsidRPr="00973C14">
        <w:rPr>
          <w:rFonts w:ascii="Calibri" w:hAnsi="Calibri"/>
        </w:rPr>
        <w:t xml:space="preserve">funding for the six months while the firms raised as much private capital as possible. </w:t>
      </w:r>
    </w:p>
    <w:p w14:paraId="2A1431EF" w14:textId="3A54CB96" w:rsidR="00EF5ABC" w:rsidRDefault="00617975" w:rsidP="00617975">
      <w:pPr>
        <w:rPr>
          <w:rFonts w:ascii="Calibri" w:hAnsi="Calibri"/>
        </w:rPr>
      </w:pPr>
      <w:r w:rsidRPr="00973C14">
        <w:rPr>
          <w:rFonts w:ascii="Calibri" w:hAnsi="Calibri"/>
        </w:rPr>
        <w:lastRenderedPageBreak/>
        <w:t>Qualifying financial institutions (QFIs) were eligible to apply to the CAP. QFIs included BHCs, financial holding companies, insured depository institutions, and savings and loan holding companies, that were organized and operating in the United States, and deemed viable by the appropriate federal banking agency. Financial institutions controlled by foreign entities were ineligible. (Treasury February 25, 2009).</w:t>
      </w:r>
    </w:p>
    <w:p w14:paraId="6BFB0A40" w14:textId="207E9262" w:rsidR="00283F04" w:rsidRPr="00BA087A" w:rsidRDefault="00283F04" w:rsidP="00EA4F86">
      <w:pPr>
        <w:pStyle w:val="Heading4"/>
        <w:rPr>
          <w:rFonts w:ascii="Calibri" w:hAnsi="Calibri"/>
          <w:color w:val="000000" w:themeColor="text1"/>
        </w:rPr>
      </w:pPr>
      <w:r w:rsidRPr="00BA087A">
        <w:rPr>
          <w:rFonts w:ascii="Calibri" w:hAnsi="Calibri"/>
          <w:color w:val="000000" w:themeColor="text1"/>
        </w:rPr>
        <w:t xml:space="preserve">7. </w:t>
      </w:r>
      <w:r w:rsidR="00EA4F86" w:rsidRPr="00BA087A">
        <w:rPr>
          <w:rFonts w:ascii="Calibri" w:hAnsi="Calibri"/>
          <w:color w:val="000000" w:themeColor="text1"/>
        </w:rPr>
        <w:t>Regulators conducted the stress test on BHCs with more than $100 billion in assets on a consolidated basis</w:t>
      </w:r>
    </w:p>
    <w:p w14:paraId="20155927" w14:textId="39EBA3C9" w:rsidR="00283F04" w:rsidRPr="00973C14" w:rsidRDefault="00283F04" w:rsidP="00283F04">
      <w:pPr>
        <w:pStyle w:val="BodyText"/>
        <w:spacing w:after="200"/>
        <w:rPr>
          <w:rFonts w:ascii="Calibri" w:hAnsi="Calibri"/>
        </w:rPr>
      </w:pPr>
      <w:r>
        <w:rPr>
          <w:rFonts w:ascii="Calibri" w:hAnsi="Calibri"/>
        </w:rPr>
        <w:t>A</w:t>
      </w:r>
      <w:r w:rsidRPr="00973C14">
        <w:rPr>
          <w:rFonts w:ascii="Calibri" w:hAnsi="Calibri"/>
        </w:rPr>
        <w:t xml:space="preserve"> government report highlighted the moral hazard concerns relating to the stress test under the SCAP. It pointed out that some saw the focus of SCAP on BHCs with more than $100 billion in asset size as a formal demarcation of </w:t>
      </w:r>
      <w:r w:rsidR="006D1350">
        <w:rPr>
          <w:rFonts w:ascii="Calibri" w:hAnsi="Calibri"/>
        </w:rPr>
        <w:t>“</w:t>
      </w:r>
      <w:r w:rsidRPr="00973C14">
        <w:rPr>
          <w:rFonts w:ascii="Calibri" w:hAnsi="Calibri"/>
        </w:rPr>
        <w:t>too-big-to-fail.</w:t>
      </w:r>
      <w:r w:rsidR="006D1350">
        <w:rPr>
          <w:rFonts w:ascii="Calibri" w:hAnsi="Calibri"/>
        </w:rPr>
        <w:t>”</w:t>
      </w:r>
      <w:r w:rsidRPr="00973C14">
        <w:rPr>
          <w:rFonts w:ascii="Calibri" w:hAnsi="Calibri"/>
        </w:rPr>
        <w:t xml:space="preserve"> The report also expressed that this focus of the SCAP created an impression that the federal government would protect the 19 BHCs at least for the duration of the financial crisis due to their size. (</w:t>
      </w:r>
      <w:r w:rsidR="006B2E35">
        <w:rPr>
          <w:rFonts w:ascii="Calibri" w:hAnsi="Calibri"/>
        </w:rPr>
        <w:t>OFS</w:t>
      </w:r>
      <w:r w:rsidRPr="00973C14">
        <w:rPr>
          <w:rFonts w:ascii="Calibri" w:hAnsi="Calibri"/>
        </w:rPr>
        <w:t xml:space="preserve"> 2010).</w:t>
      </w:r>
    </w:p>
    <w:p w14:paraId="6E09EB22" w14:textId="4BF3D9DC" w:rsidR="00283F04" w:rsidRDefault="00283F04" w:rsidP="00FB7106">
      <w:pPr>
        <w:pStyle w:val="BodyText"/>
        <w:spacing w:before="0" w:after="0"/>
        <w:rPr>
          <w:rFonts w:ascii="Calibri" w:eastAsiaTheme="majorEastAsia" w:hAnsi="Calibri" w:cstheme="majorBidi"/>
          <w:bCs/>
        </w:rPr>
      </w:pPr>
      <w:r w:rsidRPr="00973C14">
        <w:rPr>
          <w:rFonts w:ascii="Calibri" w:eastAsiaTheme="majorEastAsia" w:hAnsi="Calibri" w:cstheme="majorBidi"/>
          <w:bCs/>
        </w:rPr>
        <w:t xml:space="preserve">This concern </w:t>
      </w:r>
      <w:r w:rsidR="00FB7106">
        <w:rPr>
          <w:rFonts w:ascii="Calibri" w:eastAsiaTheme="majorEastAsia" w:hAnsi="Calibri" w:cstheme="majorBidi"/>
          <w:bCs/>
        </w:rPr>
        <w:t xml:space="preserve">somewhat </w:t>
      </w:r>
      <w:r w:rsidR="002F202B">
        <w:rPr>
          <w:rFonts w:ascii="Calibri" w:eastAsiaTheme="majorEastAsia" w:hAnsi="Calibri" w:cstheme="majorBidi"/>
          <w:bCs/>
        </w:rPr>
        <w:t>materialized</w:t>
      </w:r>
      <w:r w:rsidRPr="00973C14">
        <w:rPr>
          <w:rFonts w:ascii="Calibri" w:eastAsiaTheme="majorEastAsia" w:hAnsi="Calibri" w:cstheme="majorBidi"/>
          <w:bCs/>
        </w:rPr>
        <w:t xml:space="preserve"> in rating agencies’ practice of upgrading the largest banks based on their access to extensive support from the federal government in 2009. For example, Moody’s upgraded ratings for deposits and senior debt issued by the six largest U.S. banks, based on its expectation of “a very high probability of systemic support” for such banks from the U.S. government. Moreover, Standard &amp; Poor’s gave</w:t>
      </w:r>
      <w:r w:rsidR="002F202B">
        <w:rPr>
          <w:rFonts w:ascii="Calibri" w:eastAsiaTheme="majorEastAsia" w:hAnsi="Calibri" w:cstheme="majorBidi"/>
          <w:bCs/>
        </w:rPr>
        <w:t xml:space="preserve"> a rating upgrade to Citigroup and </w:t>
      </w:r>
      <w:r w:rsidRPr="00973C14">
        <w:rPr>
          <w:rFonts w:ascii="Calibri" w:eastAsiaTheme="majorEastAsia" w:hAnsi="Calibri" w:cstheme="majorBidi"/>
          <w:bCs/>
        </w:rPr>
        <w:t>the agency added that it would have been rated four notches lower with no government assistance. On the other hand, Standard &amp; Poor’s downgraded a Citibank subsidiary, Citibank Korea Inc., in its stand-alon</w:t>
      </w:r>
      <w:r w:rsidR="00605C6E">
        <w:rPr>
          <w:rFonts w:ascii="Calibri" w:eastAsiaTheme="majorEastAsia" w:hAnsi="Calibri" w:cstheme="majorBidi"/>
          <w:bCs/>
        </w:rPr>
        <w:t>e</w:t>
      </w:r>
      <w:r w:rsidRPr="00973C14">
        <w:rPr>
          <w:rFonts w:ascii="Calibri" w:eastAsiaTheme="majorEastAsia" w:hAnsi="Calibri" w:cstheme="majorBidi"/>
          <w:bCs/>
        </w:rPr>
        <w:t xml:space="preserve"> rating because it felt that there was “uncertainty” about whether the U.S. government wanted Citigroup providing additional support to noncore oversea affiliates. (</w:t>
      </w:r>
      <w:r w:rsidR="00864793">
        <w:rPr>
          <w:rFonts w:ascii="Calibri" w:eastAsiaTheme="majorEastAsia" w:hAnsi="Calibri" w:cstheme="majorBidi"/>
          <w:bCs/>
        </w:rPr>
        <w:t>OFS</w:t>
      </w:r>
      <w:r w:rsidRPr="00973C14">
        <w:rPr>
          <w:rFonts w:ascii="Calibri" w:eastAsiaTheme="majorEastAsia" w:hAnsi="Calibri" w:cstheme="majorBidi"/>
          <w:bCs/>
        </w:rPr>
        <w:t xml:space="preserve"> 2010).</w:t>
      </w:r>
    </w:p>
    <w:p w14:paraId="18C51856" w14:textId="77777777" w:rsidR="00283F04" w:rsidRPr="00973C14" w:rsidRDefault="00283F04" w:rsidP="00FB7106">
      <w:pPr>
        <w:spacing w:after="0"/>
        <w:rPr>
          <w:rFonts w:ascii="Calibri" w:hAnsi="Calibri"/>
        </w:rPr>
      </w:pPr>
    </w:p>
    <w:p w14:paraId="46379741" w14:textId="2022218D" w:rsidR="001515D7" w:rsidRPr="00BA087A" w:rsidRDefault="00C12AB0" w:rsidP="00B21495">
      <w:pPr>
        <w:pStyle w:val="Heading2"/>
        <w:spacing w:before="0"/>
        <w:rPr>
          <w:rFonts w:ascii="Calibri" w:hAnsi="Calibri"/>
          <w:color w:val="000000" w:themeColor="text1"/>
          <w:sz w:val="24"/>
          <w:szCs w:val="24"/>
        </w:rPr>
      </w:pPr>
      <w:r w:rsidRPr="00BA087A">
        <w:rPr>
          <w:rFonts w:ascii="Calibri" w:hAnsi="Calibri"/>
          <w:color w:val="000000" w:themeColor="text1"/>
          <w:sz w:val="24"/>
          <w:szCs w:val="24"/>
        </w:rPr>
        <w:t>Evaluation</w:t>
      </w:r>
    </w:p>
    <w:p w14:paraId="3E6A04FF" w14:textId="77777777" w:rsidR="00B21495" w:rsidRPr="00B21495" w:rsidRDefault="00B21495" w:rsidP="00B21495">
      <w:pPr>
        <w:pStyle w:val="BodyText"/>
        <w:spacing w:before="0" w:after="0"/>
      </w:pPr>
    </w:p>
    <w:p w14:paraId="0A123AAF" w14:textId="00B40525" w:rsidR="00C12AB0" w:rsidRPr="00B21495" w:rsidRDefault="00C12AB0" w:rsidP="007A067E">
      <w:pPr>
        <w:pStyle w:val="FirstParagraph"/>
        <w:spacing w:before="0" w:after="0"/>
        <w:rPr>
          <w:rFonts w:ascii="Calibri" w:hAnsi="Calibri"/>
          <w:color w:val="000000" w:themeColor="text1"/>
        </w:rPr>
      </w:pPr>
      <w:r w:rsidRPr="00B21495">
        <w:rPr>
          <w:rFonts w:ascii="Calibri" w:hAnsi="Calibri"/>
          <w:color w:val="000000" w:themeColor="text1"/>
        </w:rPr>
        <w:t xml:space="preserve">The SCAP was widely seen as a turning point for the U.S. banking system, due both to the SCAP’s credibly tough loss estimates, as well as the </w:t>
      </w:r>
      <w:r w:rsidR="007A067E">
        <w:rPr>
          <w:rFonts w:ascii="Calibri" w:hAnsi="Calibri"/>
          <w:color w:val="000000" w:themeColor="text1"/>
        </w:rPr>
        <w:t xml:space="preserve">capital backstop proved by the </w:t>
      </w:r>
      <w:r w:rsidRPr="00B21495">
        <w:rPr>
          <w:rFonts w:ascii="Calibri" w:hAnsi="Calibri"/>
          <w:color w:val="000000" w:themeColor="text1"/>
        </w:rPr>
        <w:t xml:space="preserve">CAP. In order to make the tests credible, and therefore increase the likelihood the market accepted its results, loss estimates were particularly severe—higher even than loss rates during the Great Depression. Moreover, the availability of public funds via the CAP “gave regulators the right incentives.” (Bernanke 2015). Without the </w:t>
      </w:r>
      <w:r w:rsidR="00F96ABF">
        <w:rPr>
          <w:rFonts w:ascii="Calibri" w:hAnsi="Calibri"/>
          <w:color w:val="000000" w:themeColor="text1"/>
        </w:rPr>
        <w:t xml:space="preserve">CAP </w:t>
      </w:r>
      <w:r w:rsidRPr="00B21495">
        <w:rPr>
          <w:rFonts w:ascii="Calibri" w:hAnsi="Calibri"/>
          <w:color w:val="000000" w:themeColor="text1"/>
        </w:rPr>
        <w:t>backstop</w:t>
      </w:r>
      <w:r w:rsidR="00A70D41">
        <w:rPr>
          <w:rFonts w:ascii="Calibri" w:hAnsi="Calibri"/>
          <w:color w:val="000000" w:themeColor="text1"/>
        </w:rPr>
        <w:t>,</w:t>
      </w:r>
      <w:r w:rsidRPr="00B21495">
        <w:rPr>
          <w:rFonts w:ascii="Calibri" w:hAnsi="Calibri"/>
          <w:color w:val="000000" w:themeColor="text1"/>
        </w:rPr>
        <w:t xml:space="preserve"> regulators may have been inclined to present over-optimistic assessments of the weakest banks. </w:t>
      </w:r>
      <w:r w:rsidR="007A6F69" w:rsidRPr="00B21495">
        <w:rPr>
          <w:rFonts w:ascii="Calibri" w:hAnsi="Calibri"/>
          <w:color w:val="000000" w:themeColor="text1"/>
        </w:rPr>
        <w:t xml:space="preserve">The results showed the banking system as relatively healthier than expected and markedly increased confidence in the banking system. </w:t>
      </w:r>
    </w:p>
    <w:p w14:paraId="7861F9F4" w14:textId="77777777" w:rsidR="00C12AB0" w:rsidRPr="00366779" w:rsidRDefault="00C12AB0" w:rsidP="00B64E23">
      <w:pPr>
        <w:pStyle w:val="BodyText"/>
        <w:rPr>
          <w:rFonts w:ascii="Calibri" w:hAnsi="Calibri"/>
          <w:b/>
          <w:color w:val="000000" w:themeColor="text1"/>
        </w:rPr>
      </w:pPr>
    </w:p>
    <w:p w14:paraId="6B2C5644" w14:textId="77777777" w:rsidR="00ED0216" w:rsidRDefault="00ED0216">
      <w:pPr>
        <w:rPr>
          <w:rFonts w:ascii="Calibri" w:eastAsiaTheme="majorEastAsia" w:hAnsi="Calibri" w:cstheme="majorBidi"/>
          <w:b/>
          <w:bCs/>
          <w:color w:val="000000" w:themeColor="text1"/>
        </w:rPr>
      </w:pPr>
      <w:r>
        <w:rPr>
          <w:rFonts w:ascii="Calibri" w:hAnsi="Calibri"/>
          <w:color w:val="000000" w:themeColor="text1"/>
        </w:rPr>
        <w:br w:type="page"/>
      </w:r>
    </w:p>
    <w:p w14:paraId="41B45628" w14:textId="1BD23AF4" w:rsidR="00DC192B" w:rsidRPr="00BA087A" w:rsidRDefault="00DC192B" w:rsidP="00B144B5">
      <w:pPr>
        <w:pStyle w:val="Heading2"/>
        <w:rPr>
          <w:rFonts w:ascii="Calibri" w:hAnsi="Calibri"/>
          <w:color w:val="000000" w:themeColor="text1"/>
          <w:sz w:val="24"/>
          <w:szCs w:val="24"/>
        </w:rPr>
      </w:pPr>
      <w:r w:rsidRPr="00BA087A">
        <w:rPr>
          <w:rFonts w:ascii="Calibri" w:hAnsi="Calibri"/>
          <w:color w:val="000000" w:themeColor="text1"/>
          <w:sz w:val="24"/>
          <w:szCs w:val="24"/>
        </w:rPr>
        <w:lastRenderedPageBreak/>
        <w:t>Resources Cited</w:t>
      </w:r>
    </w:p>
    <w:p w14:paraId="690DF896" w14:textId="0F9B9921" w:rsidR="00AB0D33" w:rsidRPr="00072A95" w:rsidRDefault="001A5F64" w:rsidP="00AB0D33">
      <w:pPr>
        <w:pStyle w:val="BodyText"/>
        <w:numPr>
          <w:ilvl w:val="0"/>
          <w:numId w:val="9"/>
        </w:numPr>
        <w:spacing w:after="200"/>
        <w:rPr>
          <w:rFonts w:ascii="Calibri" w:hAnsi="Calibri"/>
        </w:rPr>
      </w:pPr>
      <w:hyperlink r:id="rId7" w:history="1">
        <w:r w:rsidR="00AB0D33" w:rsidRPr="00072A95">
          <w:rPr>
            <w:rStyle w:val="Hyperlink"/>
            <w:rFonts w:ascii="Calibri" w:hAnsi="Calibri"/>
            <w:color w:val="000000" w:themeColor="text1"/>
            <w:u w:val="single"/>
          </w:rPr>
          <w:t>FAQs on Supervisory Capital Assessment Program</w:t>
        </w:r>
      </w:hyperlink>
      <w:r w:rsidR="00AB0D33" w:rsidRPr="00072A95">
        <w:rPr>
          <w:rFonts w:ascii="Calibri" w:hAnsi="Calibri"/>
        </w:rPr>
        <w:t xml:space="preserve">. Board of Governors of the Federal Reserve System, February 25, 2009. </w:t>
      </w:r>
      <w:r w:rsidR="00AB0D33" w:rsidRPr="00072A95">
        <w:rPr>
          <w:rFonts w:ascii="Calibri" w:hAnsi="Calibri"/>
          <w:i/>
        </w:rPr>
        <w:t>Federal Reserve document outlining initial design details and purpose of the SCAP</w:t>
      </w:r>
    </w:p>
    <w:p w14:paraId="1C5038FB" w14:textId="77777777" w:rsidR="00DC192B" w:rsidRPr="00B930EB" w:rsidRDefault="001A5F64" w:rsidP="00AB0D33">
      <w:pPr>
        <w:pStyle w:val="ListParagraph"/>
        <w:numPr>
          <w:ilvl w:val="0"/>
          <w:numId w:val="9"/>
        </w:numPr>
        <w:rPr>
          <w:rFonts w:ascii="Calibri" w:hAnsi="Calibri"/>
          <w:i/>
          <w:color w:val="000000" w:themeColor="text1"/>
        </w:rPr>
      </w:pPr>
      <w:hyperlink r:id="rId8" w:history="1">
        <w:r w:rsidR="00DC192B" w:rsidRPr="00B930EB">
          <w:rPr>
            <w:rStyle w:val="Hyperlink"/>
            <w:rFonts w:ascii="Calibri" w:hAnsi="Calibri" w:cs="Arial"/>
            <w:color w:val="000000" w:themeColor="text1"/>
            <w:u w:val="single"/>
          </w:rPr>
          <w:t>The Supervisory Capital Assessment Program: Design and Implementation</w:t>
        </w:r>
      </w:hyperlink>
      <w:r w:rsidR="00DC192B" w:rsidRPr="00B930EB">
        <w:rPr>
          <w:rStyle w:val="Link"/>
          <w:rFonts w:ascii="Calibri" w:hAnsi="Calibri" w:cs="Arial"/>
          <w:color w:val="000000" w:themeColor="text1"/>
        </w:rPr>
        <w:t xml:space="preserve">, </w:t>
      </w:r>
      <w:r w:rsidR="00DC192B" w:rsidRPr="00B930EB">
        <w:rPr>
          <w:rFonts w:ascii="Calibri" w:hAnsi="Calibri"/>
          <w:color w:val="000000" w:themeColor="text1"/>
        </w:rPr>
        <w:t xml:space="preserve">Board of Governors of the Federal Reserve System, April 24, 2009. </w:t>
      </w:r>
      <w:r w:rsidR="00DC192B" w:rsidRPr="00B930EB">
        <w:rPr>
          <w:rFonts w:ascii="Calibri" w:hAnsi="Calibri"/>
          <w:i/>
          <w:color w:val="000000" w:themeColor="text1"/>
        </w:rPr>
        <w:t>Federal Reserve document outlining design details of the SCAP</w:t>
      </w:r>
    </w:p>
    <w:p w14:paraId="55BDEAC8" w14:textId="77777777" w:rsidR="00DC192B" w:rsidRPr="00B930EB" w:rsidRDefault="001A5F64" w:rsidP="00AB0D33">
      <w:pPr>
        <w:pStyle w:val="ListParagraph"/>
        <w:numPr>
          <w:ilvl w:val="0"/>
          <w:numId w:val="9"/>
        </w:numPr>
        <w:rPr>
          <w:rFonts w:ascii="Calibri" w:hAnsi="Calibri"/>
          <w:i/>
          <w:color w:val="000000" w:themeColor="text1"/>
        </w:rPr>
      </w:pPr>
      <w:hyperlink r:id="rId9">
        <w:r w:rsidR="00DC192B" w:rsidRPr="00B930EB">
          <w:rPr>
            <w:rStyle w:val="Link"/>
            <w:rFonts w:ascii="Calibri" w:hAnsi="Calibri" w:cs="Arial"/>
            <w:color w:val="000000" w:themeColor="text1"/>
            <w:u w:val="single"/>
          </w:rPr>
          <w:t>The Supervisory Capital Assessment Program: Overview of Results</w:t>
        </w:r>
      </w:hyperlink>
      <w:r w:rsidR="00DC192B" w:rsidRPr="00B930EB">
        <w:rPr>
          <w:rFonts w:ascii="Calibri" w:hAnsi="Calibri"/>
          <w:color w:val="000000" w:themeColor="text1"/>
        </w:rPr>
        <w:t xml:space="preserve">, Board of Governors of the Federal Reserve System, May 7, 2009. </w:t>
      </w:r>
      <w:r w:rsidR="00DC192B" w:rsidRPr="00B930EB">
        <w:rPr>
          <w:rFonts w:ascii="Calibri" w:hAnsi="Calibri"/>
          <w:i/>
          <w:color w:val="000000" w:themeColor="text1"/>
        </w:rPr>
        <w:t>Federal Reserve document that announced the results of the SCAP</w:t>
      </w:r>
    </w:p>
    <w:p w14:paraId="769E50EE" w14:textId="74BD9311" w:rsidR="00DC192B" w:rsidRPr="00B930EB" w:rsidRDefault="001A5F64" w:rsidP="00AB0D33">
      <w:pPr>
        <w:pStyle w:val="ListParagraph"/>
        <w:numPr>
          <w:ilvl w:val="0"/>
          <w:numId w:val="9"/>
        </w:numPr>
        <w:rPr>
          <w:rFonts w:ascii="Calibri" w:hAnsi="Calibri"/>
          <w:color w:val="000000" w:themeColor="text1"/>
          <w:u w:val="single"/>
        </w:rPr>
      </w:pPr>
      <w:hyperlink r:id="rId10">
        <w:r w:rsidR="00DC192B" w:rsidRPr="00B930EB">
          <w:rPr>
            <w:rStyle w:val="Link"/>
            <w:rFonts w:ascii="Calibri" w:hAnsi="Calibri" w:cs="Arial"/>
            <w:color w:val="000000" w:themeColor="text1"/>
            <w:u w:val="single"/>
          </w:rPr>
          <w:t>Term Sheet for Capital Assistance Program</w:t>
        </w:r>
      </w:hyperlink>
      <w:r w:rsidR="008E48CE" w:rsidRPr="00B930EB">
        <w:rPr>
          <w:rStyle w:val="Link"/>
          <w:rFonts w:ascii="Calibri" w:hAnsi="Calibri" w:cs="Arial"/>
          <w:color w:val="000000" w:themeColor="text1"/>
        </w:rPr>
        <w:t>,</w:t>
      </w:r>
      <w:r w:rsidR="00C65025" w:rsidRPr="00B930EB">
        <w:rPr>
          <w:rStyle w:val="Link"/>
          <w:rFonts w:ascii="Calibri" w:hAnsi="Calibri" w:cs="Arial"/>
          <w:color w:val="000000" w:themeColor="text1"/>
        </w:rPr>
        <w:t xml:space="preserve"> U.S. Treasury. </w:t>
      </w:r>
      <w:r w:rsidR="00DC192B" w:rsidRPr="00B930EB">
        <w:rPr>
          <w:rStyle w:val="Link"/>
          <w:rFonts w:ascii="Calibri" w:hAnsi="Calibri" w:cs="Arial"/>
          <w:i/>
          <w:color w:val="000000" w:themeColor="text1"/>
        </w:rPr>
        <w:t>Treasury document discussing terms of investments made via the CAP</w:t>
      </w:r>
    </w:p>
    <w:p w14:paraId="25A91F8A" w14:textId="1B5E4D41" w:rsidR="00E320E0" w:rsidRPr="00AB0D33" w:rsidRDefault="001A5F64" w:rsidP="00AB0D33">
      <w:pPr>
        <w:pStyle w:val="ListParagraph"/>
        <w:numPr>
          <w:ilvl w:val="0"/>
          <w:numId w:val="9"/>
        </w:numPr>
        <w:rPr>
          <w:rFonts w:ascii="Calibri" w:hAnsi="Calibri"/>
          <w:i/>
          <w:color w:val="000000" w:themeColor="text1"/>
        </w:rPr>
      </w:pPr>
      <w:hyperlink r:id="rId11" w:history="1">
        <w:r w:rsidR="00DC192B" w:rsidRPr="008E48CE">
          <w:rPr>
            <w:rStyle w:val="Hyperlink"/>
            <w:rFonts w:ascii="Calibri" w:hAnsi="Calibri"/>
            <w:color w:val="000000" w:themeColor="text1"/>
            <w:u w:val="single"/>
          </w:rPr>
          <w:t>Government Offers Details of Bank Stress Tests</w:t>
        </w:r>
      </w:hyperlink>
      <w:r w:rsidR="008E48CE">
        <w:rPr>
          <w:rFonts w:ascii="Calibri" w:hAnsi="Calibri"/>
          <w:color w:val="000000" w:themeColor="text1"/>
        </w:rPr>
        <w:t>,</w:t>
      </w:r>
      <w:r w:rsidR="00DC192B" w:rsidRPr="00AB0D33">
        <w:rPr>
          <w:rFonts w:ascii="Calibri" w:hAnsi="Calibri"/>
          <w:color w:val="000000" w:themeColor="text1"/>
        </w:rPr>
        <w:t xml:space="preserve"> New York Times</w:t>
      </w:r>
      <w:r w:rsidR="009C0C91">
        <w:rPr>
          <w:rFonts w:ascii="Calibri" w:hAnsi="Calibri"/>
          <w:color w:val="000000" w:themeColor="text1"/>
        </w:rPr>
        <w:t>,</w:t>
      </w:r>
      <w:r w:rsidR="00DC192B" w:rsidRPr="00AB0D33">
        <w:rPr>
          <w:rFonts w:ascii="Calibri" w:hAnsi="Calibri"/>
          <w:color w:val="000000" w:themeColor="text1"/>
        </w:rPr>
        <w:t xml:space="preserve"> February 25, 2009. </w:t>
      </w:r>
      <w:r w:rsidR="00DC192B" w:rsidRPr="00AB0D33">
        <w:rPr>
          <w:rFonts w:ascii="Calibri" w:hAnsi="Calibri"/>
          <w:i/>
          <w:color w:val="000000" w:themeColor="text1"/>
        </w:rPr>
        <w:t>Article discussing immediate reception to str</w:t>
      </w:r>
      <w:r w:rsidR="00A12833">
        <w:rPr>
          <w:rFonts w:ascii="Calibri" w:hAnsi="Calibri"/>
          <w:i/>
          <w:color w:val="000000" w:themeColor="text1"/>
        </w:rPr>
        <w:t>ess tests’ proposed methodology</w:t>
      </w:r>
    </w:p>
    <w:p w14:paraId="08489DAD" w14:textId="62DA446F" w:rsidR="00AB0D33" w:rsidRPr="00AB0D33" w:rsidRDefault="001A5F64" w:rsidP="00AB0D33">
      <w:pPr>
        <w:pStyle w:val="ListParagraph"/>
        <w:numPr>
          <w:ilvl w:val="0"/>
          <w:numId w:val="9"/>
        </w:numPr>
        <w:rPr>
          <w:rFonts w:ascii="Calibri" w:hAnsi="Calibri"/>
          <w:i/>
          <w:color w:val="000000" w:themeColor="text1"/>
        </w:rPr>
      </w:pPr>
      <w:hyperlink r:id="rId12" w:history="1">
        <w:r w:rsidR="00DC192B" w:rsidRPr="00AB0D33">
          <w:rPr>
            <w:rStyle w:val="Hyperlink"/>
            <w:rFonts w:ascii="Calibri" w:hAnsi="Calibri" w:cs="Arial"/>
            <w:color w:val="000000" w:themeColor="text1"/>
            <w:u w:val="single"/>
          </w:rPr>
          <w:t>Banks Won Concessions on Tests</w:t>
        </w:r>
      </w:hyperlink>
      <w:r w:rsidR="00B552EC" w:rsidRPr="00B552EC">
        <w:rPr>
          <w:rFonts w:ascii="Calibri" w:hAnsi="Calibri"/>
          <w:color w:val="000000" w:themeColor="text1"/>
        </w:rPr>
        <w:t>,</w:t>
      </w:r>
      <w:r w:rsidR="00DC192B" w:rsidRPr="00AB0D33">
        <w:rPr>
          <w:rFonts w:ascii="Calibri" w:hAnsi="Calibri"/>
          <w:color w:val="000000" w:themeColor="text1"/>
        </w:rPr>
        <w:t xml:space="preserve"> Wall Street Journal</w:t>
      </w:r>
      <w:r w:rsidR="009C0C91">
        <w:rPr>
          <w:rFonts w:ascii="Calibri" w:hAnsi="Calibri"/>
          <w:color w:val="000000" w:themeColor="text1"/>
        </w:rPr>
        <w:t>,</w:t>
      </w:r>
      <w:r w:rsidR="00DC192B" w:rsidRPr="00AB0D33">
        <w:rPr>
          <w:rFonts w:ascii="Calibri" w:hAnsi="Calibri"/>
          <w:color w:val="000000" w:themeColor="text1"/>
        </w:rPr>
        <w:t xml:space="preserve"> May 9, 2009. </w:t>
      </w:r>
      <w:r w:rsidR="00DC192B" w:rsidRPr="00AB0D33">
        <w:rPr>
          <w:rFonts w:ascii="Calibri" w:hAnsi="Calibri"/>
          <w:i/>
          <w:color w:val="000000" w:themeColor="text1"/>
        </w:rPr>
        <w:t>Article discussing the implications for targeting tangible common equity c</w:t>
      </w:r>
      <w:r w:rsidR="00A12833">
        <w:rPr>
          <w:rFonts w:ascii="Calibri" w:hAnsi="Calibri"/>
          <w:i/>
          <w:color w:val="000000" w:themeColor="text1"/>
        </w:rPr>
        <w:t>ompared to common equity Tier 1</w:t>
      </w:r>
    </w:p>
    <w:p w14:paraId="51CD14BB" w14:textId="00058C1B" w:rsidR="00DC192B" w:rsidRPr="00AB0D33" w:rsidRDefault="001A5F64" w:rsidP="00AB0D33">
      <w:pPr>
        <w:pStyle w:val="ListParagraph"/>
        <w:numPr>
          <w:ilvl w:val="0"/>
          <w:numId w:val="9"/>
        </w:numPr>
        <w:rPr>
          <w:rFonts w:ascii="Calibri" w:eastAsiaTheme="majorEastAsia" w:hAnsi="Calibri" w:cstheme="majorBidi"/>
          <w:b/>
          <w:bCs/>
          <w:color w:val="000000" w:themeColor="text1"/>
        </w:rPr>
      </w:pPr>
      <w:hyperlink r:id="rId13">
        <w:r w:rsidR="00DC192B" w:rsidRPr="00AB0D33">
          <w:rPr>
            <w:rStyle w:val="Link"/>
            <w:rFonts w:ascii="Calibri" w:hAnsi="Calibri" w:cs="Arial"/>
            <w:color w:val="000000" w:themeColor="text1"/>
            <w:u w:val="single"/>
          </w:rPr>
          <w:t>Troubled Asset Relief Program: Two Year Retrospective</w:t>
        </w:r>
      </w:hyperlink>
      <w:r w:rsidR="00DC192B" w:rsidRPr="00AB0D33">
        <w:rPr>
          <w:rFonts w:ascii="Calibri" w:hAnsi="Calibri"/>
          <w:color w:val="000000" w:themeColor="text1"/>
        </w:rPr>
        <w:t xml:space="preserve">, Office of Financial Stability. </w:t>
      </w:r>
      <w:r w:rsidR="00DC192B" w:rsidRPr="00AB0D33">
        <w:rPr>
          <w:rFonts w:ascii="Calibri" w:hAnsi="Calibri"/>
          <w:i/>
          <w:color w:val="000000" w:themeColor="text1"/>
        </w:rPr>
        <w:t>Office of Financial Stability report discussing the program and its outcomes in the context of the wider swath of TARP</w:t>
      </w:r>
    </w:p>
    <w:p w14:paraId="1E76B5E2" w14:textId="15FBAC57" w:rsidR="00AB0D33" w:rsidRPr="00DE18FC" w:rsidRDefault="001A5F64" w:rsidP="00AB0D33">
      <w:pPr>
        <w:pStyle w:val="ListParagraph"/>
        <w:numPr>
          <w:ilvl w:val="0"/>
          <w:numId w:val="9"/>
        </w:numPr>
        <w:rPr>
          <w:rFonts w:ascii="Calibri" w:hAnsi="Calibri"/>
          <w:szCs w:val="22"/>
        </w:rPr>
      </w:pPr>
      <w:hyperlink r:id="rId14" w:history="1">
        <w:r w:rsidR="00AB0D33" w:rsidRPr="0089628E">
          <w:rPr>
            <w:rStyle w:val="Hyperlink"/>
            <w:rFonts w:ascii="Calibri" w:hAnsi="Calibri" w:cs="Arial"/>
            <w:color w:val="000000" w:themeColor="text1"/>
            <w:szCs w:val="22"/>
            <w:u w:val="single"/>
          </w:rPr>
          <w:t>Statement by Timothy F. Geithner U. S. Secretary of the Treasury before the Senate Banking Committee</w:t>
        </w:r>
      </w:hyperlink>
      <w:r w:rsidR="00AB0D33" w:rsidRPr="00B930EB">
        <w:rPr>
          <w:rStyle w:val="Link"/>
          <w:rFonts w:ascii="Calibri" w:hAnsi="Calibri" w:cs="Arial"/>
          <w:color w:val="000000" w:themeColor="text1"/>
          <w:szCs w:val="22"/>
        </w:rPr>
        <w:t xml:space="preserve">, </w:t>
      </w:r>
      <w:r w:rsidR="00AB0D33" w:rsidRPr="00973C14">
        <w:rPr>
          <w:rFonts w:ascii="Calibri" w:hAnsi="Calibri"/>
        </w:rPr>
        <w:t>May 20, 2009</w:t>
      </w:r>
      <w:r w:rsidR="00AB0D33" w:rsidRPr="00973C14">
        <w:rPr>
          <w:rFonts w:ascii="Calibri" w:hAnsi="Calibri"/>
          <w:szCs w:val="22"/>
        </w:rPr>
        <w:t>.</w:t>
      </w:r>
      <w:r w:rsidR="00BF11B9">
        <w:rPr>
          <w:rFonts w:ascii="Calibri" w:hAnsi="Calibri"/>
          <w:szCs w:val="22"/>
        </w:rPr>
        <w:t xml:space="preserve"> </w:t>
      </w:r>
      <w:r w:rsidR="00BF11B9">
        <w:rPr>
          <w:rFonts w:ascii="Calibri" w:hAnsi="Calibri"/>
          <w:i/>
          <w:szCs w:val="22"/>
        </w:rPr>
        <w:t>Secretary Geithner discusses the initial impact and market response of the SCAP’s results</w:t>
      </w:r>
    </w:p>
    <w:p w14:paraId="73C088CC" w14:textId="4770022F" w:rsidR="00DE18FC" w:rsidRPr="00973C14" w:rsidRDefault="00DE18FC" w:rsidP="00AB0D33">
      <w:pPr>
        <w:pStyle w:val="ListParagraph"/>
        <w:numPr>
          <w:ilvl w:val="0"/>
          <w:numId w:val="9"/>
        </w:numPr>
        <w:rPr>
          <w:rFonts w:ascii="Calibri" w:hAnsi="Calibri"/>
          <w:szCs w:val="22"/>
        </w:rPr>
      </w:pPr>
      <w:r>
        <w:rPr>
          <w:rStyle w:val="Link"/>
          <w:rFonts w:ascii="Calibri" w:hAnsi="Calibri" w:cs="Arial"/>
          <w:color w:val="000000" w:themeColor="text1"/>
          <w:szCs w:val="22"/>
          <w:u w:val="single"/>
        </w:rPr>
        <w:t>The Courage to Act</w:t>
      </w:r>
      <w:r>
        <w:rPr>
          <w:rStyle w:val="Link"/>
          <w:rFonts w:ascii="Calibri" w:hAnsi="Calibri" w:cs="Arial"/>
          <w:color w:val="000000" w:themeColor="text1"/>
          <w:szCs w:val="22"/>
        </w:rPr>
        <w:t xml:space="preserve">, Bernanke, 2015. </w:t>
      </w:r>
      <w:r>
        <w:rPr>
          <w:rStyle w:val="Link"/>
          <w:rFonts w:ascii="Calibri" w:hAnsi="Calibri" w:cs="Arial"/>
          <w:i/>
          <w:color w:val="000000" w:themeColor="text1"/>
          <w:szCs w:val="22"/>
        </w:rPr>
        <w:t>Former Chairman Bernanke’s memoir, which includes passages on policymakers’ considerations when designing and implementing SCAP</w:t>
      </w:r>
      <w:r>
        <w:rPr>
          <w:rStyle w:val="Link"/>
          <w:rFonts w:ascii="Calibri" w:hAnsi="Calibri" w:cs="Arial"/>
          <w:color w:val="000000" w:themeColor="text1"/>
          <w:szCs w:val="22"/>
        </w:rPr>
        <w:t xml:space="preserve"> </w:t>
      </w:r>
    </w:p>
    <w:p w14:paraId="696907BD" w14:textId="77777777" w:rsidR="00E2003A" w:rsidRPr="00973C14" w:rsidRDefault="00E2003A" w:rsidP="00D7241F">
      <w:pPr>
        <w:pStyle w:val="BodyText"/>
        <w:spacing w:after="200"/>
        <w:rPr>
          <w:rFonts w:ascii="Calibri" w:hAnsi="Calibri"/>
        </w:rPr>
      </w:pPr>
    </w:p>
    <w:p w14:paraId="028D96FD" w14:textId="77268F74" w:rsidR="00EF0A0B" w:rsidRPr="00973C14" w:rsidRDefault="00CF0196" w:rsidP="008B65AC">
      <w:pPr>
        <w:pStyle w:val="Heading2"/>
        <w:spacing w:after="200"/>
        <w:rPr>
          <w:rFonts w:ascii="Calibri" w:hAnsi="Calibri"/>
          <w:color w:val="auto"/>
          <w:sz w:val="24"/>
          <w:szCs w:val="24"/>
        </w:rPr>
      </w:pPr>
      <w:r w:rsidRPr="00973C14">
        <w:rPr>
          <w:rFonts w:ascii="Calibri" w:hAnsi="Calibri"/>
          <w:color w:val="auto"/>
          <w:sz w:val="24"/>
          <w:szCs w:val="24"/>
        </w:rPr>
        <w:t>List of Other Resources</w:t>
      </w:r>
    </w:p>
    <w:p w14:paraId="0CE61878" w14:textId="77777777" w:rsidR="008E5754" w:rsidRPr="00973C14" w:rsidRDefault="008C1901" w:rsidP="008B65AC">
      <w:pPr>
        <w:pStyle w:val="Heading3"/>
        <w:spacing w:after="200"/>
        <w:rPr>
          <w:rFonts w:ascii="Calibri" w:hAnsi="Calibri"/>
          <w:color w:val="auto"/>
          <w:sz w:val="24"/>
          <w:szCs w:val="24"/>
        </w:rPr>
      </w:pPr>
      <w:bookmarkStart w:id="12" w:name="summary-of-program"/>
      <w:bookmarkEnd w:id="12"/>
      <w:r w:rsidRPr="00973C14">
        <w:rPr>
          <w:rFonts w:ascii="Calibri" w:hAnsi="Calibri"/>
          <w:color w:val="auto"/>
          <w:sz w:val="24"/>
          <w:szCs w:val="24"/>
        </w:rPr>
        <w:t>Summary of Program</w:t>
      </w:r>
    </w:p>
    <w:p w14:paraId="6621D340" w14:textId="080A6540" w:rsidR="00BE5925" w:rsidRPr="00BE5925" w:rsidRDefault="001A5F64" w:rsidP="00BE5925">
      <w:pPr>
        <w:pStyle w:val="BodyText"/>
        <w:numPr>
          <w:ilvl w:val="0"/>
          <w:numId w:val="6"/>
        </w:numPr>
        <w:spacing w:after="200"/>
        <w:rPr>
          <w:rFonts w:ascii="Calibri" w:hAnsi="Calibri"/>
        </w:rPr>
      </w:pPr>
      <w:hyperlink r:id="rId15" w:history="1">
        <w:r w:rsidR="00BE5925" w:rsidRPr="00BE5925">
          <w:rPr>
            <w:rStyle w:val="Hyperlink"/>
            <w:rFonts w:ascii="Calibri" w:hAnsi="Calibri"/>
            <w:color w:val="000000" w:themeColor="text1"/>
            <w:u w:val="single"/>
          </w:rPr>
          <w:t>FAQs on Supervisory Capital Assessment Program</w:t>
        </w:r>
      </w:hyperlink>
      <w:r w:rsidR="008C78DB">
        <w:rPr>
          <w:rFonts w:ascii="Calibri" w:hAnsi="Calibri"/>
        </w:rPr>
        <w:t>,</w:t>
      </w:r>
      <w:r w:rsidR="00BE5925" w:rsidRPr="00BE5925">
        <w:rPr>
          <w:rFonts w:ascii="Calibri" w:hAnsi="Calibri"/>
        </w:rPr>
        <w:t xml:space="preserve"> Board of Governors of the Federal Reserve System, February 25, 2009. </w:t>
      </w:r>
      <w:r w:rsidR="00BE5925" w:rsidRPr="00BE5925">
        <w:rPr>
          <w:rFonts w:ascii="Calibri" w:hAnsi="Calibri"/>
          <w:i/>
        </w:rPr>
        <w:t>Federal Reserve document outlining initial design details and purpose of the SCAP</w:t>
      </w:r>
    </w:p>
    <w:p w14:paraId="72455BAE" w14:textId="77777777" w:rsidR="00FC697F" w:rsidRPr="00973C14" w:rsidRDefault="001A5F64" w:rsidP="00040B2D">
      <w:pPr>
        <w:pStyle w:val="BodyText"/>
        <w:numPr>
          <w:ilvl w:val="0"/>
          <w:numId w:val="6"/>
        </w:numPr>
        <w:spacing w:after="200"/>
        <w:rPr>
          <w:rFonts w:ascii="Calibri" w:hAnsi="Calibri"/>
        </w:rPr>
      </w:pPr>
      <w:hyperlink r:id="rId16" w:history="1">
        <w:r w:rsidR="007211A9" w:rsidRPr="00E2003A">
          <w:rPr>
            <w:rStyle w:val="Hyperlink"/>
            <w:rFonts w:ascii="Calibri" w:hAnsi="Calibri" w:cs="Arial"/>
            <w:color w:val="000000" w:themeColor="text1"/>
            <w:u w:val="single"/>
          </w:rPr>
          <w:t>The Supervisory Capital Assessment Program: Design and Implementation</w:t>
        </w:r>
      </w:hyperlink>
      <w:r w:rsidR="007211A9" w:rsidRPr="00973C14">
        <w:rPr>
          <w:rStyle w:val="Link"/>
          <w:rFonts w:ascii="Calibri" w:hAnsi="Calibri" w:cs="Arial"/>
          <w:color w:val="auto"/>
        </w:rPr>
        <w:t xml:space="preserve">, </w:t>
      </w:r>
      <w:r w:rsidR="007211A9" w:rsidRPr="00973C14">
        <w:rPr>
          <w:rFonts w:ascii="Calibri" w:hAnsi="Calibri"/>
        </w:rPr>
        <w:t>Board of Governors of the Federal Reserve System, April 24, 2009.</w:t>
      </w:r>
      <w:r w:rsidR="008E5754" w:rsidRPr="00973C14">
        <w:rPr>
          <w:rFonts w:ascii="Calibri" w:hAnsi="Calibri"/>
        </w:rPr>
        <w:t xml:space="preserve"> </w:t>
      </w:r>
      <w:r w:rsidR="008E5754" w:rsidRPr="00973C14">
        <w:rPr>
          <w:rFonts w:ascii="Calibri" w:hAnsi="Calibri"/>
          <w:i/>
        </w:rPr>
        <w:t>Federal Reserve document outlining design details of the SCAP</w:t>
      </w:r>
    </w:p>
    <w:p w14:paraId="69DB19DC" w14:textId="77777777" w:rsidR="008E5754" w:rsidRPr="00973C14" w:rsidRDefault="001A5F64" w:rsidP="00040B2D">
      <w:pPr>
        <w:pStyle w:val="ListParagraph"/>
        <w:numPr>
          <w:ilvl w:val="0"/>
          <w:numId w:val="6"/>
        </w:numPr>
        <w:contextualSpacing w:val="0"/>
        <w:rPr>
          <w:rFonts w:ascii="Calibri" w:hAnsi="Calibri"/>
        </w:rPr>
      </w:pPr>
      <w:hyperlink r:id="rId17">
        <w:r w:rsidR="008E5754" w:rsidRPr="00973C14">
          <w:rPr>
            <w:rStyle w:val="Link"/>
            <w:rFonts w:ascii="Calibri" w:hAnsi="Calibri" w:cs="Arial"/>
            <w:color w:val="auto"/>
            <w:u w:val="single"/>
          </w:rPr>
          <w:t>The Supervisory Capital Assessment Program: Overview of Results</w:t>
        </w:r>
      </w:hyperlink>
      <w:r w:rsidR="008E5754" w:rsidRPr="00973C14">
        <w:rPr>
          <w:rFonts w:ascii="Calibri" w:hAnsi="Calibri"/>
        </w:rPr>
        <w:t xml:space="preserve">, Board of Governors of the Federal Reserve System, May 7, 2009. </w:t>
      </w:r>
      <w:r w:rsidR="008E5754" w:rsidRPr="00973C14">
        <w:rPr>
          <w:rFonts w:ascii="Calibri" w:hAnsi="Calibri"/>
          <w:i/>
        </w:rPr>
        <w:t>Federal Reserve document that announced the results of the SCAP</w:t>
      </w:r>
    </w:p>
    <w:p w14:paraId="157C00FD" w14:textId="77777777" w:rsidR="008E5754" w:rsidRPr="00973C14" w:rsidRDefault="001A5F64" w:rsidP="00040B2D">
      <w:pPr>
        <w:pStyle w:val="ListParagraph"/>
        <w:numPr>
          <w:ilvl w:val="0"/>
          <w:numId w:val="6"/>
        </w:numPr>
        <w:contextualSpacing w:val="0"/>
        <w:rPr>
          <w:rFonts w:ascii="Calibri" w:hAnsi="Calibri"/>
        </w:rPr>
      </w:pPr>
      <w:hyperlink r:id="rId18">
        <w:r w:rsidR="008E5754" w:rsidRPr="00973C14">
          <w:rPr>
            <w:rStyle w:val="Link"/>
            <w:rFonts w:ascii="Calibri" w:hAnsi="Calibri" w:cs="Arial"/>
            <w:color w:val="auto"/>
            <w:u w:val="single"/>
          </w:rPr>
          <w:t>FAQs on Capital Purchase Program Repayment and Capital Assistance Program</w:t>
        </w:r>
      </w:hyperlink>
      <w:r w:rsidR="008E5754" w:rsidRPr="00973C14">
        <w:rPr>
          <w:rFonts w:ascii="Calibri" w:hAnsi="Calibri"/>
        </w:rPr>
        <w:t xml:space="preserve">, Treasury, 2008. </w:t>
      </w:r>
      <w:r w:rsidR="008E5754" w:rsidRPr="00973C14">
        <w:rPr>
          <w:rFonts w:ascii="Calibri" w:hAnsi="Calibri"/>
          <w:i/>
        </w:rPr>
        <w:t>Treasury Document discussing relationship between SCAP and the CAP</w:t>
      </w:r>
    </w:p>
    <w:p w14:paraId="1AE5B213" w14:textId="410F449B" w:rsidR="00DC192B" w:rsidRPr="00973C14" w:rsidRDefault="00DC192B" w:rsidP="008B65AC">
      <w:pPr>
        <w:pStyle w:val="Heading3"/>
        <w:spacing w:after="200"/>
        <w:rPr>
          <w:rFonts w:ascii="Calibri" w:hAnsi="Calibri"/>
          <w:color w:val="auto"/>
          <w:sz w:val="24"/>
          <w:szCs w:val="24"/>
        </w:rPr>
      </w:pPr>
      <w:bookmarkStart w:id="13" w:name="legal-documents-and-forms"/>
      <w:bookmarkStart w:id="14" w:name="regulatory-decisionsnoticies"/>
      <w:bookmarkStart w:id="15" w:name="newsannouncements"/>
      <w:bookmarkEnd w:id="13"/>
      <w:bookmarkEnd w:id="14"/>
      <w:bookmarkEnd w:id="15"/>
      <w:r w:rsidRPr="00973C14">
        <w:rPr>
          <w:rFonts w:ascii="Calibri" w:hAnsi="Calibri"/>
          <w:color w:val="auto"/>
          <w:sz w:val="24"/>
          <w:szCs w:val="24"/>
        </w:rPr>
        <w:t>Implementation Documents</w:t>
      </w:r>
    </w:p>
    <w:p w14:paraId="15F77663" w14:textId="77777777" w:rsidR="00A953BD" w:rsidRPr="00A953BD" w:rsidRDefault="001A5F64" w:rsidP="00A953BD">
      <w:pPr>
        <w:pStyle w:val="ListParagraph"/>
        <w:numPr>
          <w:ilvl w:val="0"/>
          <w:numId w:val="9"/>
        </w:numPr>
        <w:rPr>
          <w:rFonts w:ascii="Calibri" w:hAnsi="Calibri"/>
          <w:color w:val="000000" w:themeColor="text1"/>
          <w:u w:val="single"/>
        </w:rPr>
      </w:pPr>
      <w:hyperlink r:id="rId19">
        <w:r w:rsidR="00A953BD" w:rsidRPr="00A953BD">
          <w:rPr>
            <w:rStyle w:val="Link"/>
            <w:rFonts w:ascii="Calibri" w:hAnsi="Calibri" w:cs="Arial"/>
            <w:color w:val="000000" w:themeColor="text1"/>
            <w:u w:val="single"/>
          </w:rPr>
          <w:t>Term Sheet for Capital Assistance Program</w:t>
        </w:r>
      </w:hyperlink>
      <w:r w:rsidR="00A953BD" w:rsidRPr="00A953BD">
        <w:rPr>
          <w:rStyle w:val="Link"/>
          <w:rFonts w:ascii="Calibri" w:hAnsi="Calibri" w:cs="Arial"/>
          <w:color w:val="000000" w:themeColor="text1"/>
        </w:rPr>
        <w:t xml:space="preserve">, U.S. Treasury. </w:t>
      </w:r>
      <w:r w:rsidR="00A953BD" w:rsidRPr="00A953BD">
        <w:rPr>
          <w:rStyle w:val="Link"/>
          <w:rFonts w:ascii="Calibri" w:hAnsi="Calibri" w:cs="Arial"/>
          <w:i/>
          <w:color w:val="000000" w:themeColor="text1"/>
        </w:rPr>
        <w:t>Treasury document discussing terms of investments made via the CAP</w:t>
      </w:r>
    </w:p>
    <w:p w14:paraId="78ED4224" w14:textId="690E2333" w:rsidR="00DC192B" w:rsidRPr="00BA087A" w:rsidRDefault="00DC192B" w:rsidP="002E106F">
      <w:pPr>
        <w:pStyle w:val="Heading3"/>
        <w:rPr>
          <w:rFonts w:ascii="Calibri" w:hAnsi="Calibri"/>
          <w:color w:val="000000" w:themeColor="text1"/>
          <w:sz w:val="24"/>
          <w:szCs w:val="24"/>
        </w:rPr>
      </w:pPr>
      <w:r w:rsidRPr="00BA087A">
        <w:rPr>
          <w:rFonts w:ascii="Calibri" w:hAnsi="Calibri"/>
          <w:color w:val="000000" w:themeColor="text1"/>
          <w:sz w:val="24"/>
          <w:szCs w:val="24"/>
        </w:rPr>
        <w:t>Regulatory Guidance</w:t>
      </w:r>
    </w:p>
    <w:p w14:paraId="34D0558A" w14:textId="654B9BD4" w:rsidR="00DC192B" w:rsidRPr="00973C14" w:rsidRDefault="001A5F64" w:rsidP="00DC192B">
      <w:pPr>
        <w:pStyle w:val="BodyText"/>
        <w:numPr>
          <w:ilvl w:val="0"/>
          <w:numId w:val="6"/>
        </w:numPr>
        <w:rPr>
          <w:rFonts w:ascii="Calibri" w:hAnsi="Calibri"/>
        </w:rPr>
      </w:pPr>
      <w:hyperlink r:id="rId20" w:history="1">
        <w:r w:rsidR="00DC192B" w:rsidRPr="00581BAD">
          <w:rPr>
            <w:rStyle w:val="Hyperlink"/>
            <w:rFonts w:ascii="Calibri" w:hAnsi="Calibri"/>
            <w:color w:val="000000" w:themeColor="text1"/>
            <w:u w:val="single"/>
          </w:rPr>
          <w:t>12 CFR part 225, Appendix A, Section II.A.I</w:t>
        </w:r>
      </w:hyperlink>
      <w:r w:rsidR="00DC192B" w:rsidRPr="00973C14">
        <w:rPr>
          <w:rFonts w:ascii="Calibri" w:hAnsi="Calibri"/>
        </w:rPr>
        <w:t xml:space="preserve">. </w:t>
      </w:r>
      <w:r w:rsidR="00CF427F">
        <w:rPr>
          <w:rFonts w:ascii="Calibri" w:hAnsi="Calibri"/>
          <w:i/>
        </w:rPr>
        <w:t>Provides definitions of Tier 1 capital ratios and describes components of qualifying capital</w:t>
      </w:r>
    </w:p>
    <w:p w14:paraId="63F7319A" w14:textId="327187E8" w:rsidR="00E43CFD" w:rsidRPr="00973C14" w:rsidRDefault="001A5F64" w:rsidP="00DC192B">
      <w:pPr>
        <w:pStyle w:val="BodyText"/>
        <w:numPr>
          <w:ilvl w:val="0"/>
          <w:numId w:val="6"/>
        </w:numPr>
        <w:rPr>
          <w:rFonts w:ascii="Calibri" w:hAnsi="Calibri"/>
        </w:rPr>
      </w:pPr>
      <w:hyperlink r:id="rId21" w:history="1">
        <w:r w:rsidR="00E43CFD" w:rsidRPr="00E2003A">
          <w:rPr>
            <w:rStyle w:val="Hyperlink"/>
            <w:rFonts w:ascii="Calibri" w:hAnsi="Calibri"/>
            <w:color w:val="000000" w:themeColor="text1"/>
            <w:u w:val="single"/>
          </w:rPr>
          <w:t>Staff Positions 115-2 and FAS 124-2, Recognition and Presentation of Other-Than-Temporary Impairments</w:t>
        </w:r>
      </w:hyperlink>
      <w:r w:rsidR="008E55EA" w:rsidRPr="008C78DB">
        <w:rPr>
          <w:rFonts w:ascii="Calibri" w:hAnsi="Calibri"/>
        </w:rPr>
        <w:t>,</w:t>
      </w:r>
      <w:r w:rsidR="008C78DB" w:rsidRPr="008C78DB">
        <w:rPr>
          <w:rFonts w:ascii="Calibri" w:hAnsi="Calibri"/>
        </w:rPr>
        <w:t xml:space="preserve"> Financial Accounting Standards Board (FASB)</w:t>
      </w:r>
      <w:r w:rsidR="00F52FA2">
        <w:rPr>
          <w:rFonts w:ascii="Calibri" w:hAnsi="Calibri"/>
        </w:rPr>
        <w:t xml:space="preserve">, </w:t>
      </w:r>
      <w:r w:rsidR="00E43CFD" w:rsidRPr="00973C14">
        <w:rPr>
          <w:rFonts w:ascii="Calibri" w:hAnsi="Calibri"/>
        </w:rPr>
        <w:t xml:space="preserve">April 9, 2009. </w:t>
      </w:r>
      <w:r w:rsidR="007E0A70">
        <w:rPr>
          <w:rFonts w:ascii="Calibri" w:hAnsi="Calibri"/>
          <w:i/>
        </w:rPr>
        <w:t xml:space="preserve"> </w:t>
      </w:r>
      <w:r w:rsidR="00515174">
        <w:rPr>
          <w:rFonts w:ascii="Calibri" w:hAnsi="Calibri"/>
          <w:i/>
        </w:rPr>
        <w:t>Guidance d</w:t>
      </w:r>
      <w:r w:rsidR="007E0A70">
        <w:rPr>
          <w:rFonts w:ascii="Calibri" w:hAnsi="Calibri"/>
          <w:i/>
        </w:rPr>
        <w:t xml:space="preserve">escribing </w:t>
      </w:r>
      <w:r w:rsidR="00E43CFD" w:rsidRPr="00973C14">
        <w:rPr>
          <w:rFonts w:ascii="Calibri" w:hAnsi="Calibri"/>
          <w:i/>
        </w:rPr>
        <w:t>the suggested process to account for debt securities held in the AFS and HTM accounts and when a firm must recognize o</w:t>
      </w:r>
      <w:r w:rsidR="00855107">
        <w:rPr>
          <w:rFonts w:ascii="Calibri" w:hAnsi="Calibri"/>
          <w:i/>
        </w:rPr>
        <w:t>ther than temporary impairments</w:t>
      </w:r>
      <w:r w:rsidR="00E43CFD" w:rsidRPr="00973C14">
        <w:rPr>
          <w:rFonts w:ascii="Calibri" w:hAnsi="Calibri"/>
          <w:i/>
        </w:rPr>
        <w:t xml:space="preserve"> </w:t>
      </w:r>
    </w:p>
    <w:p w14:paraId="01C7CCF2" w14:textId="70648B23" w:rsidR="00DC192B" w:rsidRPr="00BA087A" w:rsidRDefault="00DC192B" w:rsidP="002E106F">
      <w:pPr>
        <w:pStyle w:val="Heading3"/>
        <w:rPr>
          <w:rFonts w:ascii="Calibri" w:hAnsi="Calibri"/>
          <w:color w:val="000000" w:themeColor="text1"/>
          <w:sz w:val="24"/>
          <w:szCs w:val="24"/>
        </w:rPr>
      </w:pPr>
      <w:r w:rsidRPr="00BA087A">
        <w:rPr>
          <w:rFonts w:ascii="Calibri" w:hAnsi="Calibri"/>
          <w:color w:val="000000" w:themeColor="text1"/>
          <w:sz w:val="24"/>
          <w:szCs w:val="24"/>
        </w:rPr>
        <w:t>News</w:t>
      </w:r>
    </w:p>
    <w:p w14:paraId="17B22F17" w14:textId="48E5D2BD" w:rsidR="00EF5BD4" w:rsidRPr="00AB0D33" w:rsidRDefault="001A5F64" w:rsidP="00EF5BD4">
      <w:pPr>
        <w:pStyle w:val="ListParagraph"/>
        <w:numPr>
          <w:ilvl w:val="0"/>
          <w:numId w:val="7"/>
        </w:numPr>
        <w:rPr>
          <w:rFonts w:ascii="Calibri" w:hAnsi="Calibri"/>
          <w:i/>
          <w:color w:val="000000" w:themeColor="text1"/>
        </w:rPr>
      </w:pPr>
      <w:hyperlink r:id="rId22" w:history="1">
        <w:r w:rsidR="00EF5BD4" w:rsidRPr="008E48CE">
          <w:rPr>
            <w:rStyle w:val="Hyperlink"/>
            <w:rFonts w:ascii="Calibri" w:hAnsi="Calibri"/>
            <w:color w:val="000000" w:themeColor="text1"/>
            <w:u w:val="single"/>
          </w:rPr>
          <w:t>Government Offers Details of Bank Stress Tests</w:t>
        </w:r>
      </w:hyperlink>
      <w:r w:rsidR="00EF5BD4">
        <w:rPr>
          <w:rFonts w:ascii="Calibri" w:hAnsi="Calibri"/>
          <w:color w:val="000000" w:themeColor="text1"/>
        </w:rPr>
        <w:t>,</w:t>
      </w:r>
      <w:r w:rsidR="00EF5BD4" w:rsidRPr="00AB0D33">
        <w:rPr>
          <w:rFonts w:ascii="Calibri" w:hAnsi="Calibri"/>
          <w:color w:val="000000" w:themeColor="text1"/>
        </w:rPr>
        <w:t xml:space="preserve"> New York Times</w:t>
      </w:r>
      <w:r w:rsidR="00EF5BD4">
        <w:rPr>
          <w:rFonts w:ascii="Calibri" w:hAnsi="Calibri"/>
          <w:color w:val="000000" w:themeColor="text1"/>
        </w:rPr>
        <w:t>,</w:t>
      </w:r>
      <w:r w:rsidR="00EF5BD4" w:rsidRPr="00AB0D33">
        <w:rPr>
          <w:rFonts w:ascii="Calibri" w:hAnsi="Calibri"/>
          <w:color w:val="000000" w:themeColor="text1"/>
        </w:rPr>
        <w:t xml:space="preserve"> February 25, 2009. </w:t>
      </w:r>
      <w:r w:rsidR="00EF5BD4" w:rsidRPr="00AB0D33">
        <w:rPr>
          <w:rFonts w:ascii="Calibri" w:hAnsi="Calibri"/>
          <w:i/>
          <w:color w:val="000000" w:themeColor="text1"/>
        </w:rPr>
        <w:t>Article discussing immediate reception to str</w:t>
      </w:r>
      <w:r w:rsidR="00A12833">
        <w:rPr>
          <w:rFonts w:ascii="Calibri" w:hAnsi="Calibri"/>
          <w:i/>
          <w:color w:val="000000" w:themeColor="text1"/>
        </w:rPr>
        <w:t>ess tests’ proposed methodology</w:t>
      </w:r>
    </w:p>
    <w:p w14:paraId="707B1A4D" w14:textId="5947789D" w:rsidR="00DC192B" w:rsidRPr="003F2615" w:rsidRDefault="001A5F64" w:rsidP="00DC192B">
      <w:pPr>
        <w:pStyle w:val="ListParagraph"/>
        <w:numPr>
          <w:ilvl w:val="0"/>
          <w:numId w:val="7"/>
        </w:numPr>
        <w:rPr>
          <w:rFonts w:ascii="Calibri" w:hAnsi="Calibri"/>
          <w:i/>
          <w:color w:val="000000" w:themeColor="text1"/>
        </w:rPr>
      </w:pPr>
      <w:hyperlink r:id="rId23" w:history="1">
        <w:r w:rsidR="00DC192B" w:rsidRPr="003F2615">
          <w:rPr>
            <w:rStyle w:val="Hyperlink"/>
            <w:rFonts w:ascii="Calibri" w:hAnsi="Calibri"/>
            <w:color w:val="000000" w:themeColor="text1"/>
            <w:u w:val="single"/>
          </w:rPr>
          <w:t>Bank Capital Gets Stress Test</w:t>
        </w:r>
      </w:hyperlink>
      <w:r w:rsidR="003F2615">
        <w:rPr>
          <w:rFonts w:ascii="Calibri" w:hAnsi="Calibri"/>
          <w:color w:val="000000" w:themeColor="text1"/>
        </w:rPr>
        <w:t>,</w:t>
      </w:r>
      <w:r w:rsidR="00DC192B" w:rsidRPr="003F2615">
        <w:rPr>
          <w:rFonts w:ascii="Calibri" w:hAnsi="Calibri"/>
          <w:color w:val="000000" w:themeColor="text1"/>
        </w:rPr>
        <w:t xml:space="preserve"> Wall Street Journal</w:t>
      </w:r>
      <w:r w:rsidR="003F2615">
        <w:rPr>
          <w:rFonts w:ascii="Calibri" w:hAnsi="Calibri"/>
          <w:color w:val="000000" w:themeColor="text1"/>
        </w:rPr>
        <w:t>,</w:t>
      </w:r>
      <w:r w:rsidR="00DC192B" w:rsidRPr="003F2615">
        <w:rPr>
          <w:rFonts w:ascii="Calibri" w:hAnsi="Calibri"/>
          <w:color w:val="000000" w:themeColor="text1"/>
        </w:rPr>
        <w:t xml:space="preserve"> February 26, 2009. </w:t>
      </w:r>
      <w:r w:rsidR="00E33B31">
        <w:rPr>
          <w:rFonts w:ascii="Calibri" w:hAnsi="Calibri"/>
          <w:i/>
          <w:color w:val="000000" w:themeColor="text1"/>
        </w:rPr>
        <w:t xml:space="preserve">Article discussing </w:t>
      </w:r>
      <w:r w:rsidR="007E0A70">
        <w:rPr>
          <w:rFonts w:ascii="Calibri" w:hAnsi="Calibri"/>
          <w:i/>
          <w:color w:val="000000" w:themeColor="text1"/>
        </w:rPr>
        <w:t>initial media and market reaction</w:t>
      </w:r>
      <w:r w:rsidR="00DE18FC">
        <w:rPr>
          <w:rFonts w:ascii="Calibri" w:hAnsi="Calibri"/>
          <w:i/>
          <w:color w:val="000000" w:themeColor="text1"/>
        </w:rPr>
        <w:t xml:space="preserve"> to the test plans</w:t>
      </w:r>
      <w:r w:rsidR="007E0A70">
        <w:rPr>
          <w:rFonts w:ascii="Calibri" w:hAnsi="Calibri"/>
          <w:i/>
          <w:color w:val="000000" w:themeColor="text1"/>
        </w:rPr>
        <w:t xml:space="preserve"> including criticisms and </w:t>
      </w:r>
      <w:r w:rsidR="00DE18FC">
        <w:rPr>
          <w:rFonts w:ascii="Calibri" w:hAnsi="Calibri"/>
          <w:i/>
          <w:color w:val="000000" w:themeColor="text1"/>
        </w:rPr>
        <w:t>discussing the possibility of nationalizing the banks should the test results give poor indications of the banks’ health</w:t>
      </w:r>
    </w:p>
    <w:p w14:paraId="3DACE612" w14:textId="3A373A33" w:rsidR="00DC192B" w:rsidRPr="003F2615" w:rsidRDefault="001A5F64" w:rsidP="00DC192B">
      <w:pPr>
        <w:pStyle w:val="ListParagraph"/>
        <w:numPr>
          <w:ilvl w:val="0"/>
          <w:numId w:val="7"/>
        </w:numPr>
        <w:rPr>
          <w:rFonts w:ascii="Calibri" w:hAnsi="Calibri"/>
          <w:i/>
          <w:color w:val="000000" w:themeColor="text1"/>
        </w:rPr>
      </w:pPr>
      <w:hyperlink r:id="rId24" w:history="1">
        <w:r w:rsidR="00DC192B" w:rsidRPr="00C4228F">
          <w:rPr>
            <w:rStyle w:val="Hyperlink"/>
            <w:rFonts w:ascii="Calibri" w:hAnsi="Calibri"/>
            <w:color w:val="000000" w:themeColor="text1"/>
            <w:u w:val="single"/>
          </w:rPr>
          <w:t>Banks Need at Least $65 billion in Capital</w:t>
        </w:r>
      </w:hyperlink>
      <w:r w:rsidR="006C6ADB">
        <w:rPr>
          <w:rFonts w:ascii="Calibri" w:hAnsi="Calibri"/>
          <w:color w:val="000000" w:themeColor="text1"/>
        </w:rPr>
        <w:t>,</w:t>
      </w:r>
      <w:r w:rsidR="00DC192B" w:rsidRPr="003F2615">
        <w:rPr>
          <w:rFonts w:ascii="Calibri" w:hAnsi="Calibri"/>
          <w:color w:val="000000" w:themeColor="text1"/>
        </w:rPr>
        <w:t xml:space="preserve"> Wall Street Journal</w:t>
      </w:r>
      <w:r w:rsidR="006C6ADB">
        <w:rPr>
          <w:rFonts w:ascii="Calibri" w:hAnsi="Calibri"/>
          <w:color w:val="000000" w:themeColor="text1"/>
        </w:rPr>
        <w:t>,</w:t>
      </w:r>
      <w:r w:rsidR="00DC192B" w:rsidRPr="003F2615">
        <w:rPr>
          <w:rFonts w:ascii="Calibri" w:hAnsi="Calibri"/>
          <w:color w:val="000000" w:themeColor="text1"/>
        </w:rPr>
        <w:t xml:space="preserve"> May 7, 2009. </w:t>
      </w:r>
      <w:r w:rsidR="00DE18FC">
        <w:rPr>
          <w:rFonts w:ascii="Calibri" w:hAnsi="Calibri"/>
          <w:i/>
          <w:color w:val="000000" w:themeColor="text1"/>
        </w:rPr>
        <w:t>Article discussing the initial reaction of the test results</w:t>
      </w:r>
    </w:p>
    <w:p w14:paraId="0E27D4CC" w14:textId="0C6A2842" w:rsidR="00EF5BD4" w:rsidRPr="003F2615" w:rsidRDefault="001A5F64" w:rsidP="00EF5BD4">
      <w:pPr>
        <w:pStyle w:val="ListParagraph"/>
        <w:numPr>
          <w:ilvl w:val="0"/>
          <w:numId w:val="7"/>
        </w:numPr>
        <w:rPr>
          <w:rFonts w:ascii="Calibri" w:hAnsi="Calibri"/>
          <w:i/>
          <w:color w:val="000000" w:themeColor="text1"/>
        </w:rPr>
      </w:pPr>
      <w:hyperlink r:id="rId25" w:history="1">
        <w:r w:rsidR="00EF5BD4" w:rsidRPr="003F2615">
          <w:rPr>
            <w:rStyle w:val="Hyperlink"/>
            <w:rFonts w:ascii="Calibri" w:hAnsi="Calibri" w:cs="Arial"/>
            <w:color w:val="000000" w:themeColor="text1"/>
            <w:u w:val="single"/>
          </w:rPr>
          <w:t>Banks Won Concessions on Tests</w:t>
        </w:r>
      </w:hyperlink>
      <w:r w:rsidR="00EF5BD4" w:rsidRPr="003F2615">
        <w:rPr>
          <w:rFonts w:ascii="Calibri" w:hAnsi="Calibri"/>
          <w:color w:val="000000" w:themeColor="text1"/>
        </w:rPr>
        <w:t xml:space="preserve">, Wall Street Journal, May 9, 2009. </w:t>
      </w:r>
      <w:r w:rsidR="00EF5BD4" w:rsidRPr="003F2615">
        <w:rPr>
          <w:rFonts w:ascii="Calibri" w:hAnsi="Calibri"/>
          <w:i/>
          <w:color w:val="000000" w:themeColor="text1"/>
        </w:rPr>
        <w:t>Article discussing the implications for targeting tangible common equity c</w:t>
      </w:r>
      <w:r w:rsidR="00A12833" w:rsidRPr="003F2615">
        <w:rPr>
          <w:rFonts w:ascii="Calibri" w:hAnsi="Calibri"/>
          <w:i/>
          <w:color w:val="000000" w:themeColor="text1"/>
        </w:rPr>
        <w:t>ompared to common equity Tier 1</w:t>
      </w:r>
    </w:p>
    <w:p w14:paraId="5E6939B7" w14:textId="4221DEA1" w:rsidR="00DC192B" w:rsidRPr="00BA087A" w:rsidRDefault="00DC192B" w:rsidP="002E106F">
      <w:pPr>
        <w:pStyle w:val="Heading3"/>
        <w:rPr>
          <w:rFonts w:ascii="Calibri" w:hAnsi="Calibri"/>
          <w:color w:val="000000" w:themeColor="text1"/>
          <w:sz w:val="24"/>
          <w:szCs w:val="24"/>
        </w:rPr>
      </w:pPr>
      <w:r w:rsidRPr="00BA087A">
        <w:rPr>
          <w:rFonts w:ascii="Calibri" w:hAnsi="Calibri"/>
          <w:color w:val="000000" w:themeColor="text1"/>
          <w:sz w:val="24"/>
          <w:szCs w:val="24"/>
        </w:rPr>
        <w:t>Press Releases</w:t>
      </w:r>
    </w:p>
    <w:p w14:paraId="2D4279C2" w14:textId="798CDE68" w:rsidR="00DC192B" w:rsidRPr="00973C14" w:rsidRDefault="001A5F64" w:rsidP="00DC192B">
      <w:pPr>
        <w:pStyle w:val="ListParagraph"/>
        <w:numPr>
          <w:ilvl w:val="0"/>
          <w:numId w:val="7"/>
        </w:numPr>
        <w:rPr>
          <w:rFonts w:ascii="Calibri" w:eastAsiaTheme="majorEastAsia" w:hAnsi="Calibri" w:cstheme="majorBidi"/>
          <w:bCs/>
        </w:rPr>
      </w:pPr>
      <w:hyperlink r:id="rId26" w:history="1">
        <w:r w:rsidR="00DC192B" w:rsidRPr="00345245">
          <w:rPr>
            <w:rStyle w:val="Hyperlink"/>
            <w:rFonts w:ascii="Calibri" w:eastAsiaTheme="majorEastAsia" w:hAnsi="Calibri" w:cstheme="majorBidi"/>
            <w:bCs/>
            <w:color w:val="000000" w:themeColor="text1"/>
            <w:u w:val="single"/>
          </w:rPr>
          <w:t>Agencies to Begin Forward-Looking Economic Assessment</w:t>
        </w:r>
      </w:hyperlink>
      <w:r w:rsidR="00345245">
        <w:rPr>
          <w:rFonts w:ascii="Calibri" w:eastAsiaTheme="majorEastAsia" w:hAnsi="Calibri" w:cstheme="majorBidi"/>
          <w:bCs/>
        </w:rPr>
        <w:t>,</w:t>
      </w:r>
      <w:r w:rsidR="00DC192B" w:rsidRPr="00973C14">
        <w:rPr>
          <w:rFonts w:ascii="Calibri" w:eastAsiaTheme="majorEastAsia" w:hAnsi="Calibri" w:cstheme="majorBidi"/>
          <w:bCs/>
        </w:rPr>
        <w:t xml:space="preserve"> Federal Reserve, FDIC, OCC, OTS Press Release</w:t>
      </w:r>
      <w:r w:rsidR="009C45B4">
        <w:rPr>
          <w:rFonts w:ascii="Calibri" w:eastAsiaTheme="majorEastAsia" w:hAnsi="Calibri" w:cstheme="majorBidi"/>
          <w:bCs/>
        </w:rPr>
        <w:t>,</w:t>
      </w:r>
      <w:r w:rsidR="00DC192B" w:rsidRPr="00973C14">
        <w:rPr>
          <w:rFonts w:ascii="Calibri" w:eastAsiaTheme="majorEastAsia" w:hAnsi="Calibri" w:cstheme="majorBidi"/>
          <w:bCs/>
        </w:rPr>
        <w:t xml:space="preserve"> February 25, 2009. </w:t>
      </w:r>
      <w:r w:rsidR="00DB2D2E">
        <w:rPr>
          <w:rFonts w:ascii="Calibri" w:eastAsiaTheme="majorEastAsia" w:hAnsi="Calibri" w:cstheme="majorBidi"/>
          <w:bCs/>
          <w:i/>
        </w:rPr>
        <w:t>Press release announcing the SCAP</w:t>
      </w:r>
    </w:p>
    <w:p w14:paraId="6A45D5B3" w14:textId="2F2C3107" w:rsidR="00DC192B" w:rsidRPr="00953D68" w:rsidRDefault="001A5F64" w:rsidP="00DC192B">
      <w:pPr>
        <w:pStyle w:val="ListParagraph"/>
        <w:numPr>
          <w:ilvl w:val="0"/>
          <w:numId w:val="7"/>
        </w:numPr>
        <w:rPr>
          <w:rFonts w:ascii="Calibri" w:eastAsiaTheme="majorEastAsia" w:hAnsi="Calibri" w:cstheme="majorBidi"/>
          <w:bCs/>
          <w:color w:val="000000" w:themeColor="text1"/>
        </w:rPr>
      </w:pPr>
      <w:hyperlink r:id="rId27" w:history="1">
        <w:r w:rsidR="00DC192B" w:rsidRPr="00953D68">
          <w:rPr>
            <w:rStyle w:val="Hyperlink"/>
            <w:rFonts w:ascii="Calibri" w:eastAsiaTheme="majorEastAsia" w:hAnsi="Calibri" w:cstheme="majorBidi"/>
            <w:bCs/>
            <w:color w:val="000000" w:themeColor="text1"/>
            <w:u w:val="single"/>
          </w:rPr>
          <w:t>Joint Statement by Secretary of the Treasury Timothy F. Geithner, Chairman of the Board of Governors of the Federal Reserve System Ben S. Bernanke, Chairman of the Federal Deposit Insurance Corporation Sheila Bair, and Comptroller of the Currency John C. Dugan on The Treasury Capital Assistance Program and the Supervisory Capital Assessment Program</w:t>
        </w:r>
      </w:hyperlink>
      <w:r w:rsidR="00953D68">
        <w:rPr>
          <w:rFonts w:ascii="Calibri" w:eastAsiaTheme="majorEastAsia" w:hAnsi="Calibri" w:cstheme="majorBidi"/>
          <w:bCs/>
          <w:color w:val="000000" w:themeColor="text1"/>
        </w:rPr>
        <w:t>,</w:t>
      </w:r>
      <w:r w:rsidR="00DC192B" w:rsidRPr="00953D68">
        <w:rPr>
          <w:rFonts w:ascii="Calibri" w:eastAsiaTheme="majorEastAsia" w:hAnsi="Calibri" w:cstheme="majorBidi"/>
          <w:bCs/>
          <w:color w:val="000000" w:themeColor="text1"/>
        </w:rPr>
        <w:t xml:space="preserve"> May 6, 2009. </w:t>
      </w:r>
      <w:r w:rsidR="005D1CD8">
        <w:rPr>
          <w:rFonts w:ascii="Calibri" w:eastAsiaTheme="majorEastAsia" w:hAnsi="Calibri" w:cstheme="majorBidi"/>
          <w:bCs/>
          <w:i/>
          <w:color w:val="000000" w:themeColor="text1"/>
        </w:rPr>
        <w:t>Press release the day before the SCAP’s results were to be announced, describing how to understand the SCAP results and the nature of the mandatory convertible preferred capital to be used in the CAP</w:t>
      </w:r>
    </w:p>
    <w:p w14:paraId="25619FF6" w14:textId="2F58F29D" w:rsidR="00DC192B" w:rsidRPr="00D56800" w:rsidRDefault="001A5F64" w:rsidP="00DC192B">
      <w:pPr>
        <w:pStyle w:val="ListParagraph"/>
        <w:numPr>
          <w:ilvl w:val="0"/>
          <w:numId w:val="7"/>
        </w:numPr>
        <w:rPr>
          <w:rFonts w:ascii="Calibri" w:eastAsiaTheme="majorEastAsia" w:hAnsi="Calibri" w:cstheme="majorBidi"/>
          <w:bCs/>
          <w:color w:val="000000" w:themeColor="text1"/>
        </w:rPr>
      </w:pPr>
      <w:hyperlink r:id="rId28" w:history="1">
        <w:r w:rsidR="00DC192B" w:rsidRPr="00D56800">
          <w:rPr>
            <w:rStyle w:val="Hyperlink"/>
            <w:rFonts w:ascii="Calibri" w:eastAsiaTheme="majorEastAsia" w:hAnsi="Calibri" w:cstheme="majorBidi"/>
            <w:bCs/>
            <w:color w:val="000000" w:themeColor="text1"/>
            <w:u w:val="single"/>
          </w:rPr>
          <w:t>SCAP Results</w:t>
        </w:r>
      </w:hyperlink>
      <w:r w:rsidR="00D56800">
        <w:rPr>
          <w:rFonts w:ascii="Calibri" w:eastAsiaTheme="majorEastAsia" w:hAnsi="Calibri" w:cstheme="majorBidi"/>
          <w:bCs/>
          <w:color w:val="000000" w:themeColor="text1"/>
        </w:rPr>
        <w:t>,</w:t>
      </w:r>
      <w:r w:rsidR="00DC192B" w:rsidRPr="00D56800">
        <w:rPr>
          <w:rFonts w:ascii="Calibri" w:eastAsiaTheme="majorEastAsia" w:hAnsi="Calibri" w:cstheme="majorBidi"/>
          <w:bCs/>
          <w:color w:val="000000" w:themeColor="text1"/>
        </w:rPr>
        <w:t xml:space="preserve"> Federal Reserve</w:t>
      </w:r>
      <w:r w:rsidR="00D56800">
        <w:rPr>
          <w:rFonts w:ascii="Calibri" w:eastAsiaTheme="majorEastAsia" w:hAnsi="Calibri" w:cstheme="majorBidi"/>
          <w:bCs/>
          <w:color w:val="000000" w:themeColor="text1"/>
        </w:rPr>
        <w:t>,</w:t>
      </w:r>
      <w:r w:rsidR="00DC192B" w:rsidRPr="00D56800">
        <w:rPr>
          <w:rFonts w:ascii="Calibri" w:eastAsiaTheme="majorEastAsia" w:hAnsi="Calibri" w:cstheme="majorBidi"/>
          <w:bCs/>
          <w:color w:val="000000" w:themeColor="text1"/>
        </w:rPr>
        <w:t xml:space="preserve"> May 7, 2009. </w:t>
      </w:r>
      <w:r w:rsidR="000E1E3C">
        <w:rPr>
          <w:rFonts w:ascii="Calibri" w:eastAsiaTheme="majorEastAsia" w:hAnsi="Calibri" w:cstheme="majorBidi"/>
          <w:bCs/>
          <w:i/>
          <w:color w:val="000000" w:themeColor="text1"/>
        </w:rPr>
        <w:t>Press release which announces the results of the SCAP</w:t>
      </w:r>
    </w:p>
    <w:p w14:paraId="200A4718" w14:textId="266CFFCA" w:rsidR="00B930EB" w:rsidRPr="00973C14" w:rsidRDefault="001A5F64" w:rsidP="00B930EB">
      <w:pPr>
        <w:pStyle w:val="ListParagraph"/>
        <w:numPr>
          <w:ilvl w:val="0"/>
          <w:numId w:val="7"/>
        </w:numPr>
        <w:rPr>
          <w:rFonts w:ascii="Calibri" w:hAnsi="Calibri"/>
          <w:szCs w:val="22"/>
        </w:rPr>
      </w:pPr>
      <w:hyperlink r:id="rId29" w:history="1">
        <w:r w:rsidR="00B930EB" w:rsidRPr="00727EB2">
          <w:rPr>
            <w:rStyle w:val="Hyperlink"/>
            <w:rFonts w:ascii="Calibri" w:hAnsi="Calibri" w:cs="Arial"/>
            <w:color w:val="000000" w:themeColor="text1"/>
            <w:szCs w:val="22"/>
            <w:u w:val="single"/>
          </w:rPr>
          <w:t>Statement by Timothy F. Geithner U. S. Secretary of the Treasury before the Senate Banking Committee</w:t>
        </w:r>
      </w:hyperlink>
      <w:r w:rsidR="00B930EB" w:rsidRPr="00B930EB">
        <w:rPr>
          <w:rStyle w:val="Link"/>
          <w:rFonts w:ascii="Calibri" w:hAnsi="Calibri" w:cs="Arial"/>
          <w:color w:val="000000" w:themeColor="text1"/>
          <w:szCs w:val="22"/>
        </w:rPr>
        <w:t xml:space="preserve">, </w:t>
      </w:r>
      <w:r w:rsidR="00B930EB" w:rsidRPr="00973C14">
        <w:rPr>
          <w:rFonts w:ascii="Calibri" w:hAnsi="Calibri"/>
        </w:rPr>
        <w:t>May 20, 2009</w:t>
      </w:r>
      <w:r w:rsidR="00B930EB" w:rsidRPr="00973C14">
        <w:rPr>
          <w:rFonts w:ascii="Calibri" w:hAnsi="Calibri"/>
          <w:szCs w:val="22"/>
        </w:rPr>
        <w:t>.</w:t>
      </w:r>
      <w:r w:rsidR="00B930EB">
        <w:rPr>
          <w:rFonts w:ascii="Calibri" w:hAnsi="Calibri"/>
          <w:szCs w:val="22"/>
        </w:rPr>
        <w:t xml:space="preserve"> </w:t>
      </w:r>
      <w:r w:rsidR="00B930EB">
        <w:rPr>
          <w:rFonts w:ascii="Calibri" w:hAnsi="Calibri"/>
          <w:i/>
          <w:szCs w:val="22"/>
        </w:rPr>
        <w:t>Secretary Geithner discusses the initial impact and market response of the SCAP’s results</w:t>
      </w:r>
    </w:p>
    <w:p w14:paraId="2866AC18" w14:textId="0BC31436" w:rsidR="00DC192B" w:rsidRPr="00BA087A" w:rsidRDefault="00DC192B" w:rsidP="002E106F">
      <w:pPr>
        <w:pStyle w:val="Heading3"/>
        <w:rPr>
          <w:rFonts w:ascii="Calibri" w:hAnsi="Calibri"/>
          <w:color w:val="000000" w:themeColor="text1"/>
          <w:sz w:val="24"/>
          <w:szCs w:val="24"/>
        </w:rPr>
      </w:pPr>
      <w:r w:rsidRPr="00BA087A">
        <w:rPr>
          <w:rFonts w:ascii="Calibri" w:hAnsi="Calibri"/>
          <w:color w:val="000000" w:themeColor="text1"/>
          <w:sz w:val="24"/>
          <w:szCs w:val="24"/>
        </w:rPr>
        <w:lastRenderedPageBreak/>
        <w:t>Key Academic Papers</w:t>
      </w:r>
    </w:p>
    <w:p w14:paraId="0D47625D" w14:textId="23E1C630" w:rsidR="00C86FFA" w:rsidRPr="00BE2974" w:rsidRDefault="001A5F64" w:rsidP="00DC192B">
      <w:pPr>
        <w:pStyle w:val="BodyText"/>
        <w:numPr>
          <w:ilvl w:val="0"/>
          <w:numId w:val="8"/>
        </w:numPr>
        <w:rPr>
          <w:rFonts w:ascii="Calibri" w:hAnsi="Calibri"/>
        </w:rPr>
      </w:pPr>
      <w:hyperlink r:id="rId30" w:history="1">
        <w:r w:rsidR="00C86FFA" w:rsidRPr="009B64F9">
          <w:rPr>
            <w:rStyle w:val="Hyperlink"/>
            <w:rFonts w:ascii="Calibri" w:hAnsi="Calibri"/>
            <w:color w:val="000000" w:themeColor="text1"/>
            <w:u w:val="single"/>
          </w:rPr>
          <w:t xml:space="preserve">Macroprudential </w:t>
        </w:r>
        <w:r w:rsidR="00134C78" w:rsidRPr="009B64F9">
          <w:rPr>
            <w:rStyle w:val="Hyperlink"/>
            <w:rFonts w:ascii="Calibri" w:hAnsi="Calibri"/>
            <w:color w:val="000000" w:themeColor="text1"/>
            <w:u w:val="single"/>
          </w:rPr>
          <w:t>Supervision</w:t>
        </w:r>
        <w:r w:rsidR="00C86FFA" w:rsidRPr="009B64F9">
          <w:rPr>
            <w:rStyle w:val="Hyperlink"/>
            <w:rFonts w:ascii="Calibri" w:hAnsi="Calibri"/>
            <w:color w:val="000000" w:themeColor="text1"/>
            <w:u w:val="single"/>
          </w:rPr>
          <w:t xml:space="preserve"> of Financial Insti</w:t>
        </w:r>
        <w:r w:rsidR="00BA735A">
          <w:rPr>
            <w:rStyle w:val="Hyperlink"/>
            <w:rFonts w:ascii="Calibri" w:hAnsi="Calibri"/>
            <w:color w:val="000000" w:themeColor="text1"/>
            <w:u w:val="single"/>
          </w:rPr>
          <w:t>tutions: Lessons f</w:t>
        </w:r>
        <w:r w:rsidR="00134C78" w:rsidRPr="009B64F9">
          <w:rPr>
            <w:rStyle w:val="Hyperlink"/>
            <w:rFonts w:ascii="Calibri" w:hAnsi="Calibri"/>
            <w:color w:val="000000" w:themeColor="text1"/>
            <w:u w:val="single"/>
          </w:rPr>
          <w:t>r</w:t>
        </w:r>
        <w:r w:rsidR="00BA735A">
          <w:rPr>
            <w:rStyle w:val="Hyperlink"/>
            <w:rFonts w:ascii="Calibri" w:hAnsi="Calibri"/>
            <w:color w:val="000000" w:themeColor="text1"/>
            <w:u w:val="single"/>
          </w:rPr>
          <w:t>o</w:t>
        </w:r>
        <w:r w:rsidR="00134C78" w:rsidRPr="009B64F9">
          <w:rPr>
            <w:rStyle w:val="Hyperlink"/>
            <w:rFonts w:ascii="Calibri" w:hAnsi="Calibri"/>
            <w:color w:val="000000" w:themeColor="text1"/>
            <w:u w:val="single"/>
          </w:rPr>
          <w:t>m the SCAP</w:t>
        </w:r>
      </w:hyperlink>
      <w:r w:rsidR="00134C78">
        <w:rPr>
          <w:rFonts w:ascii="Calibri" w:hAnsi="Calibri"/>
        </w:rPr>
        <w:t xml:space="preserve">, </w:t>
      </w:r>
      <w:r w:rsidR="00134C78" w:rsidRPr="00973C14">
        <w:rPr>
          <w:rFonts w:ascii="Calibri" w:hAnsi="Calibri"/>
        </w:rPr>
        <w:t>Hirt</w:t>
      </w:r>
      <w:r w:rsidR="00134C78">
        <w:rPr>
          <w:rFonts w:ascii="Calibri" w:hAnsi="Calibri"/>
        </w:rPr>
        <w:t>le, Schuermann, Stiroh, 2009,</w:t>
      </w:r>
      <w:r w:rsidR="00C86FFA" w:rsidRPr="00973C14">
        <w:rPr>
          <w:rFonts w:ascii="Calibri" w:hAnsi="Calibri"/>
        </w:rPr>
        <w:t xml:space="preserve"> NYFRB Staff Report. </w:t>
      </w:r>
      <w:r w:rsidR="00134C78">
        <w:rPr>
          <w:rFonts w:ascii="Calibri" w:hAnsi="Calibri"/>
          <w:i/>
        </w:rPr>
        <w:t>Paper discussing the SCAP’s combination of micro and macro prudential perspectives, describing key features of the SCAP in detail as well as how these features could be incorporated into bank supervision in the future</w:t>
      </w:r>
    </w:p>
    <w:p w14:paraId="6F8F4F03" w14:textId="67D710A3" w:rsidR="00DC192B" w:rsidRPr="007C662C" w:rsidRDefault="00DC192B" w:rsidP="007C662C">
      <w:pPr>
        <w:pStyle w:val="Heading3"/>
        <w:spacing w:before="100" w:beforeAutospacing="1" w:after="100" w:afterAutospacing="1"/>
        <w:rPr>
          <w:rFonts w:ascii="Calibri" w:hAnsi="Calibri"/>
          <w:color w:val="000000" w:themeColor="text1"/>
          <w:sz w:val="24"/>
          <w:szCs w:val="24"/>
        </w:rPr>
      </w:pPr>
      <w:r w:rsidRPr="007C662C">
        <w:rPr>
          <w:rFonts w:ascii="Calibri" w:hAnsi="Calibri"/>
          <w:color w:val="000000" w:themeColor="text1"/>
          <w:sz w:val="24"/>
          <w:szCs w:val="24"/>
        </w:rPr>
        <w:t>Government Reports/Assessments</w:t>
      </w:r>
    </w:p>
    <w:p w14:paraId="1D003DF2" w14:textId="13DA5FC7" w:rsidR="00FF1353" w:rsidRPr="007C662C" w:rsidRDefault="001A5F64" w:rsidP="007C662C">
      <w:pPr>
        <w:pStyle w:val="ListParagraph"/>
        <w:numPr>
          <w:ilvl w:val="0"/>
          <w:numId w:val="7"/>
        </w:numPr>
        <w:spacing w:before="100" w:beforeAutospacing="1" w:after="100" w:afterAutospacing="1"/>
        <w:rPr>
          <w:rFonts w:ascii="Calibri" w:hAnsi="Calibri"/>
          <w:color w:val="000000" w:themeColor="text1"/>
          <w:szCs w:val="22"/>
        </w:rPr>
      </w:pPr>
      <w:hyperlink r:id="rId31" w:history="1">
        <w:r w:rsidR="00DC192B" w:rsidRPr="007C662C">
          <w:rPr>
            <w:rStyle w:val="Hyperlink"/>
            <w:rFonts w:ascii="Calibri" w:hAnsi="Calibri" w:cs="Arial"/>
            <w:color w:val="000000" w:themeColor="text1"/>
            <w:u w:val="single"/>
          </w:rPr>
          <w:t>Consolidated Financial Statements for Bank Holding Companies: Reporting Form FR Y-9C</w:t>
        </w:r>
      </w:hyperlink>
      <w:r w:rsidR="00DC192B" w:rsidRPr="007C662C">
        <w:rPr>
          <w:rFonts w:ascii="Calibri" w:hAnsi="Calibri"/>
          <w:color w:val="000000" w:themeColor="text1"/>
          <w:szCs w:val="22"/>
        </w:rPr>
        <w:t xml:space="preserve">, Board of Governors of the Federal Reserve System, December 2008. </w:t>
      </w:r>
      <w:r w:rsidR="00D659D7" w:rsidRPr="007C662C">
        <w:rPr>
          <w:rFonts w:ascii="Calibri" w:hAnsi="Calibri"/>
          <w:i/>
          <w:color w:val="000000" w:themeColor="text1"/>
          <w:szCs w:val="22"/>
        </w:rPr>
        <w:t xml:space="preserve">Document which </w:t>
      </w:r>
      <w:r w:rsidR="00285F80" w:rsidRPr="007C662C">
        <w:rPr>
          <w:rFonts w:ascii="Calibri" w:hAnsi="Calibri"/>
          <w:i/>
          <w:color w:val="000000" w:themeColor="text1"/>
          <w:szCs w:val="22"/>
        </w:rPr>
        <w:t>determined whether a BHC held sufficient assets on a consolidated basis to be include in the SCAP</w:t>
      </w:r>
    </w:p>
    <w:p w14:paraId="455EE2A3" w14:textId="75987909" w:rsidR="00A12833" w:rsidRPr="007C662C" w:rsidRDefault="001A5F64" w:rsidP="007C662C">
      <w:pPr>
        <w:pStyle w:val="ListParagraph"/>
        <w:numPr>
          <w:ilvl w:val="0"/>
          <w:numId w:val="7"/>
        </w:numPr>
        <w:spacing w:before="100" w:beforeAutospacing="1" w:after="100" w:afterAutospacing="1"/>
        <w:rPr>
          <w:rFonts w:ascii="Calibri" w:eastAsiaTheme="majorEastAsia" w:hAnsi="Calibri" w:cstheme="majorBidi"/>
          <w:b/>
          <w:bCs/>
          <w:color w:val="000000" w:themeColor="text1"/>
        </w:rPr>
      </w:pPr>
      <w:hyperlink r:id="rId32">
        <w:r w:rsidR="00A12833" w:rsidRPr="007C662C">
          <w:rPr>
            <w:rStyle w:val="Link"/>
            <w:rFonts w:ascii="Calibri" w:hAnsi="Calibri" w:cs="Arial"/>
            <w:color w:val="000000" w:themeColor="text1"/>
            <w:u w:val="single"/>
          </w:rPr>
          <w:t>Troubled Asset Relief Program: Two Year Retrospective</w:t>
        </w:r>
      </w:hyperlink>
      <w:r w:rsidR="00A12833" w:rsidRPr="007C662C">
        <w:rPr>
          <w:rFonts w:ascii="Calibri" w:hAnsi="Calibri"/>
          <w:color w:val="000000" w:themeColor="text1"/>
        </w:rPr>
        <w:t>, Office of Financial Stability</w:t>
      </w:r>
      <w:r w:rsidR="00771887" w:rsidRPr="007C662C">
        <w:rPr>
          <w:rFonts w:ascii="Calibri" w:hAnsi="Calibri"/>
          <w:color w:val="000000" w:themeColor="text1"/>
        </w:rPr>
        <w:t>, October 2010</w:t>
      </w:r>
      <w:r w:rsidR="00A12833" w:rsidRPr="007C662C">
        <w:rPr>
          <w:rFonts w:ascii="Calibri" w:hAnsi="Calibri"/>
          <w:color w:val="000000" w:themeColor="text1"/>
        </w:rPr>
        <w:t xml:space="preserve">. </w:t>
      </w:r>
      <w:r w:rsidR="00A12833" w:rsidRPr="007C662C">
        <w:rPr>
          <w:rFonts w:ascii="Calibri" w:hAnsi="Calibri"/>
          <w:i/>
          <w:color w:val="000000" w:themeColor="text1"/>
        </w:rPr>
        <w:t>Office of Financial Stability report discussing the program and its outcomes in the context of the wider swath of TARP</w:t>
      </w:r>
    </w:p>
    <w:p w14:paraId="1053C3C4" w14:textId="77777777" w:rsidR="00AB0D33" w:rsidRPr="00AB0D33" w:rsidRDefault="00AB0D33" w:rsidP="00BE2974">
      <w:pPr>
        <w:pStyle w:val="ListParagraph"/>
        <w:rPr>
          <w:rFonts w:ascii="Calibri" w:hAnsi="Calibri"/>
          <w:szCs w:val="22"/>
        </w:rPr>
      </w:pPr>
    </w:p>
    <w:p w14:paraId="5AA58B21" w14:textId="77777777" w:rsidR="00EF0A0B" w:rsidRPr="00973C14" w:rsidRDefault="008C1901" w:rsidP="008B65AC">
      <w:pPr>
        <w:pStyle w:val="Heading2"/>
        <w:spacing w:after="200"/>
        <w:rPr>
          <w:rFonts w:ascii="Calibri" w:hAnsi="Calibri"/>
          <w:color w:val="auto"/>
          <w:sz w:val="24"/>
          <w:szCs w:val="24"/>
        </w:rPr>
      </w:pPr>
      <w:r w:rsidRPr="00973C14">
        <w:rPr>
          <w:rFonts w:ascii="Calibri" w:hAnsi="Calibri"/>
          <w:color w:val="auto"/>
          <w:sz w:val="24"/>
          <w:szCs w:val="24"/>
        </w:rPr>
        <w:t>Interview Questions</w:t>
      </w:r>
    </w:p>
    <w:p w14:paraId="1BD753E5" w14:textId="77777777" w:rsidR="00EF0A0B" w:rsidRPr="00973C14" w:rsidRDefault="008C1901" w:rsidP="008B65AC">
      <w:pPr>
        <w:pStyle w:val="Compact"/>
        <w:numPr>
          <w:ilvl w:val="0"/>
          <w:numId w:val="5"/>
        </w:numPr>
        <w:spacing w:after="200"/>
        <w:rPr>
          <w:rFonts w:ascii="Calibri" w:hAnsi="Calibri"/>
        </w:rPr>
      </w:pPr>
      <w:r w:rsidRPr="00973C14">
        <w:rPr>
          <w:rFonts w:ascii="Calibri" w:hAnsi="Calibri"/>
        </w:rPr>
        <w:t>What was the justification for using the Tier 1 Common capital ratio in lieu of the tangible common equity ratio?</w:t>
      </w:r>
    </w:p>
    <w:p w14:paraId="57D9203D" w14:textId="66EEA02C" w:rsidR="007C411E" w:rsidRPr="00973C14" w:rsidRDefault="007C411E" w:rsidP="008B65AC">
      <w:pPr>
        <w:pStyle w:val="Compact"/>
        <w:numPr>
          <w:ilvl w:val="0"/>
          <w:numId w:val="5"/>
        </w:numPr>
        <w:spacing w:after="200"/>
        <w:rPr>
          <w:rFonts w:ascii="Calibri" w:hAnsi="Calibri"/>
        </w:rPr>
      </w:pPr>
      <w:r w:rsidRPr="00973C14">
        <w:rPr>
          <w:rFonts w:ascii="Calibri" w:hAnsi="Calibri"/>
        </w:rPr>
        <w:t xml:space="preserve">Why was the Federal Reserve chosen as the main regulator to run the stress tests, and to what extend was Treasury involved between the time of the stress tests’ announcement </w:t>
      </w:r>
      <w:r w:rsidR="001E637D" w:rsidRPr="00973C14">
        <w:rPr>
          <w:rFonts w:ascii="Calibri" w:hAnsi="Calibri"/>
        </w:rPr>
        <w:t xml:space="preserve">in February 2009 </w:t>
      </w:r>
      <w:r w:rsidRPr="00973C14">
        <w:rPr>
          <w:rFonts w:ascii="Calibri" w:hAnsi="Calibri"/>
        </w:rPr>
        <w:t>and the results’ announcement</w:t>
      </w:r>
      <w:r w:rsidR="001E637D" w:rsidRPr="00973C14">
        <w:rPr>
          <w:rFonts w:ascii="Calibri" w:hAnsi="Calibri"/>
        </w:rPr>
        <w:t xml:space="preserve"> in May 2009</w:t>
      </w:r>
      <w:r w:rsidRPr="00973C14">
        <w:rPr>
          <w:rFonts w:ascii="Calibri" w:hAnsi="Calibri"/>
        </w:rPr>
        <w:t>?</w:t>
      </w:r>
    </w:p>
    <w:p w14:paraId="2EBA490A" w14:textId="77777777" w:rsidR="00EF0A0B" w:rsidRPr="00973C14" w:rsidRDefault="008C1901" w:rsidP="008B65AC">
      <w:pPr>
        <w:pStyle w:val="Compact"/>
        <w:numPr>
          <w:ilvl w:val="0"/>
          <w:numId w:val="5"/>
        </w:numPr>
        <w:spacing w:after="200"/>
        <w:rPr>
          <w:rFonts w:ascii="Calibri" w:hAnsi="Calibri"/>
        </w:rPr>
      </w:pPr>
      <w:r w:rsidRPr="00973C14">
        <w:rPr>
          <w:rFonts w:ascii="Calibri" w:hAnsi="Calibri"/>
        </w:rPr>
        <w:t>What was the rationale of having the mandatory participation in the SCAP set at an asset size of $100 billion or over? What effect did the policymakers and regulators predict this set threshold would have on the on-going and future risk management of financial institutions?</w:t>
      </w:r>
    </w:p>
    <w:p w14:paraId="3B90DE19" w14:textId="77777777" w:rsidR="00EF0A0B" w:rsidRPr="00973C14" w:rsidRDefault="008C1901" w:rsidP="008B65AC">
      <w:pPr>
        <w:pStyle w:val="Compact"/>
        <w:numPr>
          <w:ilvl w:val="0"/>
          <w:numId w:val="5"/>
        </w:numPr>
        <w:spacing w:after="200"/>
        <w:rPr>
          <w:rFonts w:ascii="Calibri" w:hAnsi="Calibri"/>
        </w:rPr>
      </w:pPr>
      <w:r w:rsidRPr="00973C14">
        <w:rPr>
          <w:rFonts w:ascii="Calibri" w:hAnsi="Calibri"/>
        </w:rPr>
        <w:t>How effective was the SCAP in restoring confidence in the supported institutions, the other non-supported institutions and the overall financial market? Would the SCAP be effective in preventing and managing future crises in not only selected large and complex financial institutions, but also the financial markets more broadly?</w:t>
      </w:r>
    </w:p>
    <w:p w14:paraId="3FA53A47" w14:textId="77777777" w:rsidR="00EF0A0B" w:rsidRPr="00973C14" w:rsidRDefault="00F57798" w:rsidP="008B65AC">
      <w:pPr>
        <w:pStyle w:val="Compact"/>
        <w:numPr>
          <w:ilvl w:val="0"/>
          <w:numId w:val="5"/>
        </w:numPr>
        <w:spacing w:after="200"/>
        <w:rPr>
          <w:rFonts w:ascii="Calibri" w:hAnsi="Calibri"/>
        </w:rPr>
      </w:pPr>
      <w:r w:rsidRPr="00973C14">
        <w:rPr>
          <w:rFonts w:ascii="Calibri" w:hAnsi="Calibri"/>
        </w:rPr>
        <w:t>Is the fact that CAP went un</w:t>
      </w:r>
      <w:r w:rsidR="008C1901" w:rsidRPr="00973C14">
        <w:rPr>
          <w:rFonts w:ascii="Calibri" w:hAnsi="Calibri"/>
        </w:rPr>
        <w:t>utilized a sign of an effective government effort to restore confidence in the market or a reluctance on the part of the banks to take on the government intervention in fear of high costs or stigma?</w:t>
      </w:r>
    </w:p>
    <w:p w14:paraId="40B97D6D" w14:textId="77777777" w:rsidR="00EF0A0B" w:rsidRPr="00973C14" w:rsidRDefault="008C1901" w:rsidP="008B65AC">
      <w:pPr>
        <w:pStyle w:val="Compact"/>
        <w:numPr>
          <w:ilvl w:val="0"/>
          <w:numId w:val="5"/>
        </w:numPr>
        <w:spacing w:after="200"/>
        <w:rPr>
          <w:rFonts w:ascii="Calibri" w:hAnsi="Calibri"/>
        </w:rPr>
      </w:pPr>
      <w:r w:rsidRPr="00973C14">
        <w:rPr>
          <w:rFonts w:ascii="Calibri" w:hAnsi="Calibri"/>
        </w:rPr>
        <w:t>How did supervisors decide upon capital adequacy ratios of a Tier 1 capital ratio of six percent and a Tier 1 Common capital ratio of four percent?</w:t>
      </w:r>
    </w:p>
    <w:p w14:paraId="10541B90" w14:textId="3AEEFC2F" w:rsidR="007C5708" w:rsidRPr="00973C14" w:rsidRDefault="007C5708" w:rsidP="008B65AC">
      <w:pPr>
        <w:pStyle w:val="Compact"/>
        <w:numPr>
          <w:ilvl w:val="0"/>
          <w:numId w:val="5"/>
        </w:numPr>
        <w:spacing w:after="200"/>
        <w:rPr>
          <w:rFonts w:ascii="Calibri" w:hAnsi="Calibri"/>
        </w:rPr>
      </w:pPr>
      <w:r w:rsidRPr="00973C14">
        <w:rPr>
          <w:rFonts w:ascii="Calibri" w:hAnsi="Calibri"/>
        </w:rPr>
        <w:t xml:space="preserve">Compared to later European stress tests, </w:t>
      </w:r>
      <w:r w:rsidR="00255169" w:rsidRPr="00973C14">
        <w:rPr>
          <w:rFonts w:ascii="Calibri" w:hAnsi="Calibri"/>
        </w:rPr>
        <w:t xml:space="preserve">to what extend </w:t>
      </w:r>
      <w:r w:rsidRPr="00973C14">
        <w:rPr>
          <w:rFonts w:ascii="Calibri" w:hAnsi="Calibri"/>
        </w:rPr>
        <w:t xml:space="preserve">was the SCAP accepted as credible because of the tough loss estimates </w:t>
      </w:r>
      <w:r w:rsidR="00255169" w:rsidRPr="00973C14">
        <w:rPr>
          <w:rFonts w:ascii="Calibri" w:hAnsi="Calibri"/>
        </w:rPr>
        <w:t xml:space="preserve">and </w:t>
      </w:r>
      <w:r w:rsidRPr="00973C14">
        <w:rPr>
          <w:rFonts w:ascii="Calibri" w:hAnsi="Calibri"/>
        </w:rPr>
        <w:t>because of the credibility of the testing regulators</w:t>
      </w:r>
      <w:r w:rsidR="00847D85" w:rsidRPr="00973C14">
        <w:rPr>
          <w:rFonts w:ascii="Calibri" w:hAnsi="Calibri"/>
        </w:rPr>
        <w:t xml:space="preserve"> (the Federal Reserve)</w:t>
      </w:r>
      <w:r w:rsidRPr="00973C14">
        <w:rPr>
          <w:rFonts w:ascii="Calibri" w:hAnsi="Calibri"/>
        </w:rPr>
        <w:t xml:space="preserve">? </w:t>
      </w:r>
    </w:p>
    <w:p w14:paraId="270D8AF4" w14:textId="77777777" w:rsidR="00EF0A0B" w:rsidRPr="00973C14" w:rsidRDefault="008C1901" w:rsidP="008B65AC">
      <w:pPr>
        <w:pStyle w:val="Compact"/>
        <w:numPr>
          <w:ilvl w:val="0"/>
          <w:numId w:val="5"/>
        </w:numPr>
        <w:spacing w:after="200"/>
        <w:rPr>
          <w:rFonts w:ascii="Calibri" w:hAnsi="Calibri"/>
        </w:rPr>
      </w:pPr>
      <w:r w:rsidRPr="00973C14">
        <w:rPr>
          <w:rFonts w:ascii="Calibri" w:hAnsi="Calibri"/>
        </w:rPr>
        <w:lastRenderedPageBreak/>
        <w:t>What was the advantage to measuring the stress rather than in-the-moment capital in the Supervisory Capital Assessment Program?</w:t>
      </w:r>
    </w:p>
    <w:p w14:paraId="4D9869A3" w14:textId="77777777" w:rsidR="00EF0A0B" w:rsidRPr="00973C14" w:rsidRDefault="008C1901" w:rsidP="008B65AC">
      <w:pPr>
        <w:pStyle w:val="Compact"/>
        <w:numPr>
          <w:ilvl w:val="0"/>
          <w:numId w:val="5"/>
        </w:numPr>
        <w:spacing w:after="200"/>
        <w:rPr>
          <w:rFonts w:ascii="Calibri" w:hAnsi="Calibri"/>
        </w:rPr>
      </w:pPr>
      <w:r w:rsidRPr="00973C14">
        <w:rPr>
          <w:rFonts w:ascii="Calibri" w:hAnsi="Calibri"/>
        </w:rPr>
        <w:t>Why was the window for firms to raise private capital or else turn to the CAP six months?</w:t>
      </w:r>
    </w:p>
    <w:p w14:paraId="6B19787D" w14:textId="77777777" w:rsidR="00EF0A0B" w:rsidRPr="00973C14" w:rsidRDefault="008C1901" w:rsidP="008B65AC">
      <w:pPr>
        <w:pStyle w:val="Compact"/>
        <w:numPr>
          <w:ilvl w:val="0"/>
          <w:numId w:val="5"/>
        </w:numPr>
        <w:spacing w:after="200"/>
        <w:rPr>
          <w:rFonts w:ascii="Calibri" w:hAnsi="Calibri"/>
        </w:rPr>
      </w:pPr>
      <w:r w:rsidRPr="00973C14">
        <w:rPr>
          <w:rFonts w:ascii="Calibri" w:hAnsi="Calibri"/>
        </w:rPr>
        <w:t>Discuss alternative ways the regulators could have provided transparency in their tests.</w:t>
      </w:r>
    </w:p>
    <w:p w14:paraId="4B30514A" w14:textId="77777777" w:rsidR="00EF0A0B" w:rsidRPr="00973C14" w:rsidRDefault="008C1901" w:rsidP="008B65AC">
      <w:pPr>
        <w:pStyle w:val="Compact"/>
        <w:numPr>
          <w:ilvl w:val="0"/>
          <w:numId w:val="5"/>
        </w:numPr>
        <w:spacing w:after="200"/>
        <w:rPr>
          <w:rFonts w:ascii="Calibri" w:hAnsi="Calibri"/>
        </w:rPr>
      </w:pPr>
      <w:r w:rsidRPr="00973C14">
        <w:rPr>
          <w:rFonts w:ascii="Calibri" w:hAnsi="Calibri"/>
        </w:rPr>
        <w:t>How did regulators decide to allow firms with</w:t>
      </w:r>
      <w:r w:rsidR="00452F00" w:rsidRPr="00973C14">
        <w:rPr>
          <w:rFonts w:ascii="Calibri" w:hAnsi="Calibri"/>
        </w:rPr>
        <w:t xml:space="preserve"> which would receive</w:t>
      </w:r>
      <w:r w:rsidRPr="00973C14">
        <w:rPr>
          <w:rFonts w:ascii="Calibri" w:hAnsi="Calibri"/>
        </w:rPr>
        <w:t xml:space="preserve"> Treasury capital from the CAP to convert the Treasury’s preferred </w:t>
      </w:r>
      <w:r w:rsidR="00F41EA6" w:rsidRPr="00973C14">
        <w:rPr>
          <w:rFonts w:ascii="Calibri" w:hAnsi="Calibri"/>
        </w:rPr>
        <w:t xml:space="preserve">shares to common equity at a </w:t>
      </w:r>
      <w:r w:rsidR="00A16DB2" w:rsidRPr="00973C14">
        <w:rPr>
          <w:rFonts w:ascii="Calibri" w:hAnsi="Calibri"/>
        </w:rPr>
        <w:t>ten percent</w:t>
      </w:r>
      <w:r w:rsidRPr="00973C14">
        <w:rPr>
          <w:rFonts w:ascii="Calibri" w:hAnsi="Calibri"/>
        </w:rPr>
        <w:t xml:space="preserve"> discount to the firm’s stock price?</w:t>
      </w:r>
    </w:p>
    <w:p w14:paraId="17AB63B8" w14:textId="77777777" w:rsidR="00EF0A0B" w:rsidRPr="00973C14" w:rsidRDefault="008C1901" w:rsidP="008B65AC">
      <w:pPr>
        <w:pStyle w:val="Compact"/>
        <w:numPr>
          <w:ilvl w:val="0"/>
          <w:numId w:val="5"/>
        </w:numPr>
        <w:spacing w:after="200"/>
        <w:rPr>
          <w:rFonts w:ascii="Calibri" w:hAnsi="Calibri"/>
        </w:rPr>
      </w:pPr>
      <w:r w:rsidRPr="00973C14">
        <w:rPr>
          <w:rFonts w:ascii="Calibri" w:hAnsi="Calibri"/>
        </w:rPr>
        <w:t>To what extent did the firms challenge the SCAP’s initial findings and did this have any impact on the finalized, published stress test results?</w:t>
      </w:r>
    </w:p>
    <w:p w14:paraId="251D4989" w14:textId="77777777" w:rsidR="00EF0A0B" w:rsidRPr="00973C14" w:rsidRDefault="008C1901" w:rsidP="008B65AC">
      <w:pPr>
        <w:pStyle w:val="Compact"/>
        <w:numPr>
          <w:ilvl w:val="0"/>
          <w:numId w:val="5"/>
        </w:numPr>
        <w:spacing w:after="200"/>
        <w:rPr>
          <w:rFonts w:ascii="Calibri" w:hAnsi="Calibri"/>
        </w:rPr>
      </w:pPr>
      <w:r w:rsidRPr="00973C14">
        <w:rPr>
          <w:rFonts w:ascii="Calibri" w:hAnsi="Calibri"/>
        </w:rPr>
        <w:t>What designs of a capital injection program help strike the right balance between sufficiently protecting the taxpayer’s interests and effectively restoring lending activity in the market?</w:t>
      </w:r>
    </w:p>
    <w:p w14:paraId="64A469B8" w14:textId="7F6D8A40" w:rsidR="00C571B4" w:rsidRDefault="00C571B4"/>
    <w:p w14:paraId="0BE64FB5" w14:textId="77777777" w:rsidR="00C571B4" w:rsidRPr="00C571B4" w:rsidRDefault="00C571B4" w:rsidP="00C571B4"/>
    <w:p w14:paraId="31A7A6E2" w14:textId="77777777" w:rsidR="00C571B4" w:rsidRPr="00C571B4" w:rsidRDefault="00C571B4" w:rsidP="00C571B4"/>
    <w:p w14:paraId="285DC272" w14:textId="07BA098A" w:rsidR="00C571B4" w:rsidRPr="00C571B4" w:rsidRDefault="00C571B4" w:rsidP="00C571B4">
      <w:pPr>
        <w:tabs>
          <w:tab w:val="left" w:pos="3808"/>
        </w:tabs>
      </w:pPr>
      <w:r>
        <w:tab/>
      </w:r>
    </w:p>
    <w:sectPr w:rsidR="00C571B4" w:rsidRPr="00C571B4">
      <w:footerReference w:type="even" r:id="rId33"/>
      <w:footerReference w:type="default" r:id="rId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44F96" w14:textId="77777777" w:rsidR="001A5F64" w:rsidRDefault="001A5F64">
      <w:pPr>
        <w:spacing w:after="0"/>
      </w:pPr>
      <w:r>
        <w:separator/>
      </w:r>
    </w:p>
  </w:endnote>
  <w:endnote w:type="continuationSeparator" w:id="0">
    <w:p w14:paraId="018E57B0" w14:textId="77777777" w:rsidR="001A5F64" w:rsidRDefault="001A5F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693AA" w14:textId="77777777" w:rsidR="00E33B31" w:rsidRDefault="00E33B31" w:rsidP="00393B3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47633A" w14:textId="77777777" w:rsidR="00E33B31" w:rsidRDefault="00E33B3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D0D36" w14:textId="77777777" w:rsidR="00E33B31" w:rsidRPr="00C571B4" w:rsidRDefault="00E33B31" w:rsidP="00393B39">
    <w:pPr>
      <w:pStyle w:val="Footer"/>
      <w:framePr w:wrap="none" w:vAnchor="text" w:hAnchor="margin" w:xAlign="center" w:y="1"/>
      <w:rPr>
        <w:rStyle w:val="PageNumber"/>
        <w:rFonts w:ascii="Calibri" w:hAnsi="Calibri"/>
        <w:sz w:val="20"/>
        <w:szCs w:val="20"/>
      </w:rPr>
    </w:pPr>
    <w:r w:rsidRPr="00C571B4">
      <w:rPr>
        <w:rStyle w:val="PageNumber"/>
        <w:rFonts w:ascii="Calibri" w:hAnsi="Calibri"/>
        <w:sz w:val="20"/>
        <w:szCs w:val="20"/>
      </w:rPr>
      <w:fldChar w:fldCharType="begin"/>
    </w:r>
    <w:r w:rsidRPr="00C571B4">
      <w:rPr>
        <w:rStyle w:val="PageNumber"/>
        <w:rFonts w:ascii="Calibri" w:hAnsi="Calibri"/>
        <w:sz w:val="20"/>
        <w:szCs w:val="20"/>
      </w:rPr>
      <w:instrText xml:space="preserve">PAGE  </w:instrText>
    </w:r>
    <w:r w:rsidRPr="00C571B4">
      <w:rPr>
        <w:rStyle w:val="PageNumber"/>
        <w:rFonts w:ascii="Calibri" w:hAnsi="Calibri"/>
        <w:sz w:val="20"/>
        <w:szCs w:val="20"/>
      </w:rPr>
      <w:fldChar w:fldCharType="separate"/>
    </w:r>
    <w:r w:rsidR="000E78EB">
      <w:rPr>
        <w:rStyle w:val="PageNumber"/>
        <w:rFonts w:ascii="Calibri" w:hAnsi="Calibri"/>
        <w:noProof/>
        <w:sz w:val="20"/>
        <w:szCs w:val="20"/>
      </w:rPr>
      <w:t>6</w:t>
    </w:r>
    <w:r w:rsidRPr="00C571B4">
      <w:rPr>
        <w:rStyle w:val="PageNumber"/>
        <w:rFonts w:ascii="Calibri" w:hAnsi="Calibri"/>
        <w:sz w:val="20"/>
        <w:szCs w:val="20"/>
      </w:rPr>
      <w:fldChar w:fldCharType="end"/>
    </w:r>
  </w:p>
  <w:p w14:paraId="5C1099E7" w14:textId="77777777" w:rsidR="00E33B31" w:rsidRDefault="00E33B3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18AED6" w14:textId="77777777" w:rsidR="001A5F64" w:rsidRDefault="001A5F64">
      <w:r>
        <w:separator/>
      </w:r>
    </w:p>
  </w:footnote>
  <w:footnote w:type="continuationSeparator" w:id="0">
    <w:p w14:paraId="4949B5FF" w14:textId="77777777" w:rsidR="001A5F64" w:rsidRDefault="001A5F64">
      <w:r>
        <w:continuationSeparator/>
      </w:r>
    </w:p>
  </w:footnote>
  <w:footnote w:id="1">
    <w:p w14:paraId="4494BD9E" w14:textId="77777777" w:rsidR="00E33B31" w:rsidRPr="00377720" w:rsidRDefault="00E33B31" w:rsidP="006C756D">
      <w:pPr>
        <w:pStyle w:val="FootnoteText"/>
        <w:rPr>
          <w:rFonts w:ascii="Calibri" w:hAnsi="Calibri"/>
        </w:rPr>
      </w:pPr>
      <w:r w:rsidRPr="00377720">
        <w:rPr>
          <w:rStyle w:val="FootnoteReference"/>
          <w:rFonts w:ascii="Calibri" w:hAnsi="Calibri"/>
        </w:rPr>
        <w:footnoteRef/>
      </w:r>
      <w:r w:rsidRPr="00377720">
        <w:rPr>
          <w:rFonts w:ascii="Calibri" w:hAnsi="Calibri"/>
        </w:rPr>
        <w:t xml:space="preserve"> As measured according to the firms’ assets report for 2008Q4 in the Federal Reserve’s Consolidated Financial Statements for Bank Holding Companies (FR Y-9C).</w:t>
      </w:r>
    </w:p>
  </w:footnote>
  <w:footnote w:id="2">
    <w:p w14:paraId="4D83D6FD" w14:textId="77777777" w:rsidR="00E33B31" w:rsidRPr="00377720" w:rsidRDefault="00E33B31" w:rsidP="006279F4">
      <w:pPr>
        <w:pStyle w:val="FootnoteText"/>
        <w:rPr>
          <w:rFonts w:ascii="Calibri" w:hAnsi="Calibri"/>
        </w:rPr>
      </w:pPr>
      <w:r w:rsidRPr="00377720">
        <w:rPr>
          <w:rStyle w:val="FootnoteReference"/>
          <w:rFonts w:ascii="Calibri" w:hAnsi="Calibri"/>
        </w:rPr>
        <w:footnoteRef/>
      </w:r>
      <w:r w:rsidRPr="00377720">
        <w:rPr>
          <w:rFonts w:ascii="Calibri" w:hAnsi="Calibri"/>
        </w:rPr>
        <w:t xml:space="preserve"> Tier 1 capital is "the sum of core capital elements less any amount of goodwill, other intangible assets, interest-only strips receivables, deferred tax assets, nonfinancial equity investments, and other items." (12 CFR part 225, Appendix A).</w:t>
      </w:r>
    </w:p>
  </w:footnote>
  <w:footnote w:id="3">
    <w:p w14:paraId="7D54EC3B" w14:textId="53DF12E7" w:rsidR="00E33B31" w:rsidRPr="00377720" w:rsidRDefault="00E33B31" w:rsidP="00214049">
      <w:pPr>
        <w:pStyle w:val="FootnoteText"/>
        <w:rPr>
          <w:rFonts w:ascii="Calibri" w:hAnsi="Calibri"/>
        </w:rPr>
      </w:pPr>
      <w:r w:rsidRPr="00377720">
        <w:rPr>
          <w:rStyle w:val="FootnoteReference"/>
          <w:rFonts w:ascii="Calibri" w:hAnsi="Calibri"/>
        </w:rPr>
        <w:footnoteRef/>
      </w:r>
      <w:r w:rsidRPr="00377720">
        <w:rPr>
          <w:rFonts w:ascii="Calibri" w:hAnsi="Calibri"/>
        </w:rPr>
        <w:t xml:space="preserve"> Tier 1 Common capital is “tier 1 capital less the non-common elements of tier 1 capital, including perpetual preferred stock and related surplus, minority interest in subsidiaries, trust preferred securities and mandatory convertible preferred securities.” (12 CFR §225.8).</w:t>
      </w:r>
      <w:r w:rsidR="00A61356">
        <w:rPr>
          <w:rFonts w:ascii="Calibri" w:hAnsi="Calibri"/>
        </w:rPr>
        <w:t xml:space="preserve"> </w:t>
      </w:r>
      <w:r w:rsidRPr="00377720">
        <w:rPr>
          <w:rFonts w:ascii="Calibri" w:hAnsi="Calibri"/>
        </w:rPr>
        <w:t>It reflects the fact that common equity is the first element of the capital structure to absorb losses, offering protection to more senior parts of the capital structure and lowering the risk of insolvency.  All else equal, more Tier 1 Common capital gives a BHC greater permanent loss absorption capacity and a greater ability to conserve resources under stress by changing the amount and timing of dividends and other distributions.</w:t>
      </w:r>
      <w:r w:rsidR="00954E63">
        <w:rPr>
          <w:rFonts w:ascii="Calibri" w:hAnsi="Calibri"/>
        </w:rPr>
        <w:t xml:space="preserve"> </w:t>
      </w:r>
      <w:r w:rsidR="00A61356">
        <w:rPr>
          <w:rFonts w:ascii="Calibri" w:hAnsi="Calibri"/>
        </w:rPr>
        <w:t>(</w:t>
      </w:r>
      <w:r w:rsidRPr="00377720">
        <w:rPr>
          <w:rFonts w:ascii="Calibri" w:hAnsi="Calibri"/>
        </w:rPr>
        <w:t>FRS May 2009).</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E63AEA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BF61C00"/>
    <w:multiLevelType w:val="hybridMultilevel"/>
    <w:tmpl w:val="E272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525BC"/>
    <w:multiLevelType w:val="hybridMultilevel"/>
    <w:tmpl w:val="0540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1B8EB9"/>
    <w:multiLevelType w:val="multilevel"/>
    <w:tmpl w:val="7DFA588C"/>
    <w:lvl w:ilvl="0">
      <w:start w:val="1"/>
      <w:numFmt w:val="decimal"/>
      <w:lvlText w:val="%1."/>
      <w:lvlJc w:val="left"/>
      <w:pPr>
        <w:tabs>
          <w:tab w:val="num" w:pos="0"/>
        </w:tabs>
        <w:ind w:left="480" w:hanging="480"/>
      </w:pPr>
    </w:lvl>
    <w:lvl w:ilvl="1">
      <w:start w:val="1"/>
      <w:numFmt w:val="lowerLetter"/>
      <w:lvlText w:val="%2)"/>
      <w:lvlJc w:val="left"/>
      <w:pPr>
        <w:ind w:left="1080" w:hanging="36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48A17EF6"/>
    <w:multiLevelType w:val="hybridMultilevel"/>
    <w:tmpl w:val="6EDC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C324C9"/>
    <w:multiLevelType w:val="multilevel"/>
    <w:tmpl w:val="B00C57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FE95B4A"/>
    <w:multiLevelType w:val="hybridMultilevel"/>
    <w:tmpl w:val="03BC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12F9"/>
    <w:rsid w:val="00003C0B"/>
    <w:rsid w:val="00004C5B"/>
    <w:rsid w:val="00010B66"/>
    <w:rsid w:val="00011C8B"/>
    <w:rsid w:val="00025FC8"/>
    <w:rsid w:val="00036780"/>
    <w:rsid w:val="00037E61"/>
    <w:rsid w:val="00040B2D"/>
    <w:rsid w:val="00046342"/>
    <w:rsid w:val="000647D5"/>
    <w:rsid w:val="00072A95"/>
    <w:rsid w:val="00097153"/>
    <w:rsid w:val="000B2EDA"/>
    <w:rsid w:val="000B3B43"/>
    <w:rsid w:val="000E1E3C"/>
    <w:rsid w:val="000E4D25"/>
    <w:rsid w:val="000E78EB"/>
    <w:rsid w:val="00102DB3"/>
    <w:rsid w:val="00115250"/>
    <w:rsid w:val="0012251A"/>
    <w:rsid w:val="00132788"/>
    <w:rsid w:val="00134C78"/>
    <w:rsid w:val="00144FA8"/>
    <w:rsid w:val="00147B71"/>
    <w:rsid w:val="00150716"/>
    <w:rsid w:val="001515D7"/>
    <w:rsid w:val="0015456E"/>
    <w:rsid w:val="00172993"/>
    <w:rsid w:val="00180E0E"/>
    <w:rsid w:val="00192DC1"/>
    <w:rsid w:val="001951AB"/>
    <w:rsid w:val="001A2393"/>
    <w:rsid w:val="001A5F64"/>
    <w:rsid w:val="001A7C7B"/>
    <w:rsid w:val="001B30BA"/>
    <w:rsid w:val="001C3365"/>
    <w:rsid w:val="001D3015"/>
    <w:rsid w:val="001E637D"/>
    <w:rsid w:val="00214049"/>
    <w:rsid w:val="002143ED"/>
    <w:rsid w:val="00237197"/>
    <w:rsid w:val="00255169"/>
    <w:rsid w:val="00283F04"/>
    <w:rsid w:val="00285F80"/>
    <w:rsid w:val="002B03E9"/>
    <w:rsid w:val="002B4BDE"/>
    <w:rsid w:val="002E106F"/>
    <w:rsid w:val="002E6A16"/>
    <w:rsid w:val="002F202B"/>
    <w:rsid w:val="002F6A5F"/>
    <w:rsid w:val="003101BE"/>
    <w:rsid w:val="003317E3"/>
    <w:rsid w:val="00344AAD"/>
    <w:rsid w:val="00345245"/>
    <w:rsid w:val="0035534F"/>
    <w:rsid w:val="0035793F"/>
    <w:rsid w:val="00366779"/>
    <w:rsid w:val="0037188E"/>
    <w:rsid w:val="00372D7A"/>
    <w:rsid w:val="00374499"/>
    <w:rsid w:val="00377720"/>
    <w:rsid w:val="003838E3"/>
    <w:rsid w:val="00387617"/>
    <w:rsid w:val="00393B39"/>
    <w:rsid w:val="003965AC"/>
    <w:rsid w:val="003A288D"/>
    <w:rsid w:val="003A5253"/>
    <w:rsid w:val="003B672E"/>
    <w:rsid w:val="003B71C3"/>
    <w:rsid w:val="003C1BD5"/>
    <w:rsid w:val="003C6134"/>
    <w:rsid w:val="003D3934"/>
    <w:rsid w:val="003D46D0"/>
    <w:rsid w:val="003F2615"/>
    <w:rsid w:val="00426963"/>
    <w:rsid w:val="004304F7"/>
    <w:rsid w:val="004354CA"/>
    <w:rsid w:val="00450497"/>
    <w:rsid w:val="00452F00"/>
    <w:rsid w:val="004955FE"/>
    <w:rsid w:val="00495A36"/>
    <w:rsid w:val="004A7757"/>
    <w:rsid w:val="004C5C5B"/>
    <w:rsid w:val="004C6BA7"/>
    <w:rsid w:val="004D12C4"/>
    <w:rsid w:val="004D602F"/>
    <w:rsid w:val="004E29B3"/>
    <w:rsid w:val="004F6FDF"/>
    <w:rsid w:val="004F7A39"/>
    <w:rsid w:val="00501630"/>
    <w:rsid w:val="00502DB5"/>
    <w:rsid w:val="00515174"/>
    <w:rsid w:val="00515721"/>
    <w:rsid w:val="00526C91"/>
    <w:rsid w:val="00530FFE"/>
    <w:rsid w:val="00535644"/>
    <w:rsid w:val="00545F2F"/>
    <w:rsid w:val="0056086D"/>
    <w:rsid w:val="00581BAD"/>
    <w:rsid w:val="005827F1"/>
    <w:rsid w:val="00590D07"/>
    <w:rsid w:val="00595DB4"/>
    <w:rsid w:val="00597E81"/>
    <w:rsid w:val="005A152E"/>
    <w:rsid w:val="005B537F"/>
    <w:rsid w:val="005D1CD8"/>
    <w:rsid w:val="005D58F5"/>
    <w:rsid w:val="005E73B8"/>
    <w:rsid w:val="00605C6E"/>
    <w:rsid w:val="0060787E"/>
    <w:rsid w:val="006165E0"/>
    <w:rsid w:val="00617975"/>
    <w:rsid w:val="00622FB2"/>
    <w:rsid w:val="006279F4"/>
    <w:rsid w:val="00627B35"/>
    <w:rsid w:val="006327DA"/>
    <w:rsid w:val="00633564"/>
    <w:rsid w:val="006502AB"/>
    <w:rsid w:val="00651279"/>
    <w:rsid w:val="00655EE5"/>
    <w:rsid w:val="00660505"/>
    <w:rsid w:val="00660991"/>
    <w:rsid w:val="0066538C"/>
    <w:rsid w:val="006711B8"/>
    <w:rsid w:val="00677771"/>
    <w:rsid w:val="00677E9C"/>
    <w:rsid w:val="006A3F4E"/>
    <w:rsid w:val="006B2E35"/>
    <w:rsid w:val="006C6ADB"/>
    <w:rsid w:val="006C756D"/>
    <w:rsid w:val="006D1350"/>
    <w:rsid w:val="006E2A57"/>
    <w:rsid w:val="0070481C"/>
    <w:rsid w:val="007055F2"/>
    <w:rsid w:val="00715715"/>
    <w:rsid w:val="007203AE"/>
    <w:rsid w:val="007211A9"/>
    <w:rsid w:val="00727EB2"/>
    <w:rsid w:val="0073129A"/>
    <w:rsid w:val="00740DF0"/>
    <w:rsid w:val="00745A83"/>
    <w:rsid w:val="0075510D"/>
    <w:rsid w:val="0075656B"/>
    <w:rsid w:val="0076082E"/>
    <w:rsid w:val="007646AD"/>
    <w:rsid w:val="007661EA"/>
    <w:rsid w:val="00766AFD"/>
    <w:rsid w:val="007709C6"/>
    <w:rsid w:val="00770E5F"/>
    <w:rsid w:val="00771887"/>
    <w:rsid w:val="00784D58"/>
    <w:rsid w:val="007869C9"/>
    <w:rsid w:val="007A067E"/>
    <w:rsid w:val="007A6F69"/>
    <w:rsid w:val="007C15B3"/>
    <w:rsid w:val="007C411E"/>
    <w:rsid w:val="007C5708"/>
    <w:rsid w:val="007C662C"/>
    <w:rsid w:val="007D2CF5"/>
    <w:rsid w:val="007E0A70"/>
    <w:rsid w:val="007F2E91"/>
    <w:rsid w:val="007F3E17"/>
    <w:rsid w:val="00810644"/>
    <w:rsid w:val="00812284"/>
    <w:rsid w:val="0081657F"/>
    <w:rsid w:val="00826F24"/>
    <w:rsid w:val="00840B77"/>
    <w:rsid w:val="00847D85"/>
    <w:rsid w:val="00855107"/>
    <w:rsid w:val="00856384"/>
    <w:rsid w:val="008568E4"/>
    <w:rsid w:val="00864793"/>
    <w:rsid w:val="008662B1"/>
    <w:rsid w:val="00873275"/>
    <w:rsid w:val="008835D3"/>
    <w:rsid w:val="0089628E"/>
    <w:rsid w:val="008A4002"/>
    <w:rsid w:val="008B14BE"/>
    <w:rsid w:val="008B65AC"/>
    <w:rsid w:val="008C1901"/>
    <w:rsid w:val="008C78DB"/>
    <w:rsid w:val="008D3662"/>
    <w:rsid w:val="008D6863"/>
    <w:rsid w:val="008E48CE"/>
    <w:rsid w:val="008E55EA"/>
    <w:rsid w:val="008E5754"/>
    <w:rsid w:val="008E6F15"/>
    <w:rsid w:val="00930BED"/>
    <w:rsid w:val="00953D68"/>
    <w:rsid w:val="00954E63"/>
    <w:rsid w:val="00962C5A"/>
    <w:rsid w:val="00967842"/>
    <w:rsid w:val="009679EC"/>
    <w:rsid w:val="00973C14"/>
    <w:rsid w:val="009B64F9"/>
    <w:rsid w:val="009C0C91"/>
    <w:rsid w:val="009C45B4"/>
    <w:rsid w:val="009D5278"/>
    <w:rsid w:val="009D709A"/>
    <w:rsid w:val="009F6A4C"/>
    <w:rsid w:val="00A0043A"/>
    <w:rsid w:val="00A12833"/>
    <w:rsid w:val="00A12FAA"/>
    <w:rsid w:val="00A14E59"/>
    <w:rsid w:val="00A16DB2"/>
    <w:rsid w:val="00A41401"/>
    <w:rsid w:val="00A549C5"/>
    <w:rsid w:val="00A55536"/>
    <w:rsid w:val="00A5613B"/>
    <w:rsid w:val="00A61356"/>
    <w:rsid w:val="00A70D41"/>
    <w:rsid w:val="00A81A57"/>
    <w:rsid w:val="00A953BD"/>
    <w:rsid w:val="00AA44EA"/>
    <w:rsid w:val="00AA5905"/>
    <w:rsid w:val="00AB0D33"/>
    <w:rsid w:val="00AB1317"/>
    <w:rsid w:val="00AB5C70"/>
    <w:rsid w:val="00B02D15"/>
    <w:rsid w:val="00B03CF0"/>
    <w:rsid w:val="00B06933"/>
    <w:rsid w:val="00B144B5"/>
    <w:rsid w:val="00B161B1"/>
    <w:rsid w:val="00B21495"/>
    <w:rsid w:val="00B226B9"/>
    <w:rsid w:val="00B24C55"/>
    <w:rsid w:val="00B267B1"/>
    <w:rsid w:val="00B43672"/>
    <w:rsid w:val="00B439A5"/>
    <w:rsid w:val="00B44031"/>
    <w:rsid w:val="00B45165"/>
    <w:rsid w:val="00B5236B"/>
    <w:rsid w:val="00B52B77"/>
    <w:rsid w:val="00B552EC"/>
    <w:rsid w:val="00B6423B"/>
    <w:rsid w:val="00B64E23"/>
    <w:rsid w:val="00B8692E"/>
    <w:rsid w:val="00B86B75"/>
    <w:rsid w:val="00B90669"/>
    <w:rsid w:val="00B92973"/>
    <w:rsid w:val="00B930EB"/>
    <w:rsid w:val="00BA087A"/>
    <w:rsid w:val="00BA3673"/>
    <w:rsid w:val="00BA586D"/>
    <w:rsid w:val="00BA735A"/>
    <w:rsid w:val="00BB42F8"/>
    <w:rsid w:val="00BB5972"/>
    <w:rsid w:val="00BC00E3"/>
    <w:rsid w:val="00BC2608"/>
    <w:rsid w:val="00BC48D5"/>
    <w:rsid w:val="00BC6C6B"/>
    <w:rsid w:val="00BE2472"/>
    <w:rsid w:val="00BE2974"/>
    <w:rsid w:val="00BE5925"/>
    <w:rsid w:val="00BE5F3D"/>
    <w:rsid w:val="00BF11B9"/>
    <w:rsid w:val="00BF339A"/>
    <w:rsid w:val="00C12AB0"/>
    <w:rsid w:val="00C36279"/>
    <w:rsid w:val="00C37C47"/>
    <w:rsid w:val="00C4228F"/>
    <w:rsid w:val="00C435CE"/>
    <w:rsid w:val="00C53475"/>
    <w:rsid w:val="00C552D0"/>
    <w:rsid w:val="00C571B4"/>
    <w:rsid w:val="00C65025"/>
    <w:rsid w:val="00C73914"/>
    <w:rsid w:val="00C85140"/>
    <w:rsid w:val="00C86FFA"/>
    <w:rsid w:val="00C93DB8"/>
    <w:rsid w:val="00C96453"/>
    <w:rsid w:val="00C96DEF"/>
    <w:rsid w:val="00CA12CB"/>
    <w:rsid w:val="00CA53DB"/>
    <w:rsid w:val="00CB040B"/>
    <w:rsid w:val="00CB19F6"/>
    <w:rsid w:val="00CB5C2C"/>
    <w:rsid w:val="00CC1947"/>
    <w:rsid w:val="00CC2CFD"/>
    <w:rsid w:val="00CC381B"/>
    <w:rsid w:val="00CC4335"/>
    <w:rsid w:val="00CC7C1A"/>
    <w:rsid w:val="00CD37A1"/>
    <w:rsid w:val="00CE4452"/>
    <w:rsid w:val="00CF0196"/>
    <w:rsid w:val="00CF427F"/>
    <w:rsid w:val="00D006B7"/>
    <w:rsid w:val="00D31DA1"/>
    <w:rsid w:val="00D31E20"/>
    <w:rsid w:val="00D56800"/>
    <w:rsid w:val="00D60C04"/>
    <w:rsid w:val="00D659D7"/>
    <w:rsid w:val="00D7241F"/>
    <w:rsid w:val="00D87C51"/>
    <w:rsid w:val="00D91A4F"/>
    <w:rsid w:val="00D93063"/>
    <w:rsid w:val="00DB2D2E"/>
    <w:rsid w:val="00DC192B"/>
    <w:rsid w:val="00DD7FD9"/>
    <w:rsid w:val="00DE169C"/>
    <w:rsid w:val="00DE18FC"/>
    <w:rsid w:val="00DE1B3F"/>
    <w:rsid w:val="00E1132C"/>
    <w:rsid w:val="00E2003A"/>
    <w:rsid w:val="00E315A3"/>
    <w:rsid w:val="00E320E0"/>
    <w:rsid w:val="00E33B31"/>
    <w:rsid w:val="00E370D9"/>
    <w:rsid w:val="00E37D8F"/>
    <w:rsid w:val="00E43CFD"/>
    <w:rsid w:val="00E47C7B"/>
    <w:rsid w:val="00E810CD"/>
    <w:rsid w:val="00E8225B"/>
    <w:rsid w:val="00E854D7"/>
    <w:rsid w:val="00E91A64"/>
    <w:rsid w:val="00EA3A0D"/>
    <w:rsid w:val="00EA4F86"/>
    <w:rsid w:val="00EB63BF"/>
    <w:rsid w:val="00EC3D14"/>
    <w:rsid w:val="00ED0120"/>
    <w:rsid w:val="00ED0216"/>
    <w:rsid w:val="00ED6FF5"/>
    <w:rsid w:val="00EF0A0B"/>
    <w:rsid w:val="00EF5ABC"/>
    <w:rsid w:val="00EF5BD4"/>
    <w:rsid w:val="00F302E3"/>
    <w:rsid w:val="00F41EA6"/>
    <w:rsid w:val="00F52190"/>
    <w:rsid w:val="00F52FA2"/>
    <w:rsid w:val="00F54412"/>
    <w:rsid w:val="00F552E9"/>
    <w:rsid w:val="00F57798"/>
    <w:rsid w:val="00F6424E"/>
    <w:rsid w:val="00F74B9F"/>
    <w:rsid w:val="00F96ABF"/>
    <w:rsid w:val="00F977D8"/>
    <w:rsid w:val="00FA03EC"/>
    <w:rsid w:val="00FA46F4"/>
    <w:rsid w:val="00FA497C"/>
    <w:rsid w:val="00FB36A2"/>
    <w:rsid w:val="00FB7106"/>
    <w:rsid w:val="00FC697F"/>
    <w:rsid w:val="00FC7E11"/>
    <w:rsid w:val="00FD19C1"/>
    <w:rsid w:val="00FF1353"/>
    <w:rsid w:val="00FF2FAC"/>
    <w:rsid w:val="00FF7B6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AC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FC697F"/>
    <w:pPr>
      <w:tabs>
        <w:tab w:val="center" w:pos="4680"/>
        <w:tab w:val="right" w:pos="9360"/>
      </w:tabs>
      <w:spacing w:after="0"/>
    </w:pPr>
  </w:style>
  <w:style w:type="character" w:customStyle="1" w:styleId="HeaderChar">
    <w:name w:val="Header Char"/>
    <w:basedOn w:val="DefaultParagraphFont"/>
    <w:link w:val="Header"/>
    <w:rsid w:val="00FC697F"/>
  </w:style>
  <w:style w:type="paragraph" w:styleId="Footer">
    <w:name w:val="footer"/>
    <w:basedOn w:val="Normal"/>
    <w:link w:val="FooterChar"/>
    <w:rsid w:val="00FC697F"/>
    <w:pPr>
      <w:tabs>
        <w:tab w:val="center" w:pos="4680"/>
        <w:tab w:val="right" w:pos="9360"/>
      </w:tabs>
      <w:spacing w:after="0"/>
    </w:pPr>
  </w:style>
  <w:style w:type="character" w:customStyle="1" w:styleId="FooterChar">
    <w:name w:val="Footer Char"/>
    <w:basedOn w:val="DefaultParagraphFont"/>
    <w:link w:val="Footer"/>
    <w:rsid w:val="00FC697F"/>
  </w:style>
  <w:style w:type="character" w:customStyle="1" w:styleId="Link">
    <w:name w:val="Link"/>
    <w:basedOn w:val="DefaultParagraphFont"/>
    <w:rsid w:val="00FC697F"/>
    <w:rPr>
      <w:color w:val="4F81BD" w:themeColor="accent1"/>
    </w:rPr>
  </w:style>
  <w:style w:type="paragraph" w:styleId="ListParagraph">
    <w:name w:val="List Paragraph"/>
    <w:basedOn w:val="Normal"/>
    <w:rsid w:val="008E5754"/>
    <w:pPr>
      <w:ind w:left="720"/>
      <w:contextualSpacing/>
    </w:pPr>
  </w:style>
  <w:style w:type="character" w:styleId="FollowedHyperlink">
    <w:name w:val="FollowedHyperlink"/>
    <w:basedOn w:val="DefaultParagraphFont"/>
    <w:rsid w:val="00595DB4"/>
    <w:rPr>
      <w:color w:val="800080" w:themeColor="followedHyperlink"/>
      <w:u w:val="single"/>
    </w:rPr>
  </w:style>
  <w:style w:type="character" w:styleId="CommentReference">
    <w:name w:val="annotation reference"/>
    <w:basedOn w:val="DefaultParagraphFont"/>
    <w:semiHidden/>
    <w:unhideWhenUsed/>
    <w:rsid w:val="00BE5F3D"/>
    <w:rPr>
      <w:sz w:val="18"/>
      <w:szCs w:val="18"/>
    </w:rPr>
  </w:style>
  <w:style w:type="paragraph" w:styleId="CommentText">
    <w:name w:val="annotation text"/>
    <w:basedOn w:val="Normal"/>
    <w:link w:val="CommentTextChar"/>
    <w:semiHidden/>
    <w:unhideWhenUsed/>
    <w:rsid w:val="00BE5F3D"/>
  </w:style>
  <w:style w:type="character" w:customStyle="1" w:styleId="CommentTextChar">
    <w:name w:val="Comment Text Char"/>
    <w:basedOn w:val="DefaultParagraphFont"/>
    <w:link w:val="CommentText"/>
    <w:semiHidden/>
    <w:rsid w:val="00BE5F3D"/>
  </w:style>
  <w:style w:type="paragraph" w:styleId="CommentSubject">
    <w:name w:val="annotation subject"/>
    <w:basedOn w:val="CommentText"/>
    <w:next w:val="CommentText"/>
    <w:link w:val="CommentSubjectChar"/>
    <w:semiHidden/>
    <w:unhideWhenUsed/>
    <w:rsid w:val="00BE5F3D"/>
    <w:rPr>
      <w:b/>
      <w:bCs/>
      <w:sz w:val="20"/>
      <w:szCs w:val="20"/>
    </w:rPr>
  </w:style>
  <w:style w:type="character" w:customStyle="1" w:styleId="CommentSubjectChar">
    <w:name w:val="Comment Subject Char"/>
    <w:basedOn w:val="CommentTextChar"/>
    <w:link w:val="CommentSubject"/>
    <w:semiHidden/>
    <w:rsid w:val="00BE5F3D"/>
    <w:rPr>
      <w:b/>
      <w:bCs/>
      <w:sz w:val="20"/>
      <w:szCs w:val="20"/>
    </w:rPr>
  </w:style>
  <w:style w:type="paragraph" w:styleId="BalloonText">
    <w:name w:val="Balloon Text"/>
    <w:basedOn w:val="Normal"/>
    <w:link w:val="BalloonTextChar"/>
    <w:semiHidden/>
    <w:unhideWhenUsed/>
    <w:rsid w:val="00BE5F3D"/>
    <w:pPr>
      <w:spacing w:after="0"/>
    </w:pPr>
    <w:rPr>
      <w:rFonts w:ascii="Helvetica" w:hAnsi="Helvetica"/>
      <w:sz w:val="18"/>
      <w:szCs w:val="18"/>
    </w:rPr>
  </w:style>
  <w:style w:type="character" w:customStyle="1" w:styleId="BalloonTextChar">
    <w:name w:val="Balloon Text Char"/>
    <w:basedOn w:val="DefaultParagraphFont"/>
    <w:link w:val="BalloonText"/>
    <w:semiHidden/>
    <w:rsid w:val="00BE5F3D"/>
    <w:rPr>
      <w:rFonts w:ascii="Helvetica" w:hAnsi="Helvetica"/>
      <w:sz w:val="18"/>
      <w:szCs w:val="18"/>
    </w:rPr>
  </w:style>
  <w:style w:type="paragraph" w:styleId="DocumentMap">
    <w:name w:val="Document Map"/>
    <w:basedOn w:val="Normal"/>
    <w:link w:val="DocumentMapChar"/>
    <w:semiHidden/>
    <w:unhideWhenUsed/>
    <w:rsid w:val="00046342"/>
    <w:pPr>
      <w:spacing w:after="0"/>
    </w:pPr>
    <w:rPr>
      <w:rFonts w:ascii="Helvetica" w:hAnsi="Helvetica"/>
    </w:rPr>
  </w:style>
  <w:style w:type="character" w:customStyle="1" w:styleId="DocumentMapChar">
    <w:name w:val="Document Map Char"/>
    <w:basedOn w:val="DefaultParagraphFont"/>
    <w:link w:val="DocumentMap"/>
    <w:semiHidden/>
    <w:rsid w:val="00046342"/>
    <w:rPr>
      <w:rFonts w:ascii="Helvetica" w:hAnsi="Helvetica"/>
    </w:rPr>
  </w:style>
  <w:style w:type="character" w:styleId="PageNumber">
    <w:name w:val="page number"/>
    <w:basedOn w:val="DefaultParagraphFont"/>
    <w:semiHidden/>
    <w:unhideWhenUsed/>
    <w:rsid w:val="00C57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2559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law.cornell.edu/cfr/text/12/part-225/appendix-A" TargetMode="External"/><Relationship Id="rId21" Type="http://schemas.openxmlformats.org/officeDocument/2006/relationships/hyperlink" Target="http://www.gasb.org/jsp/FASB/Document_C/DocumentPage%3Fcid=1176154545419%26acceptedDisclaimer=true" TargetMode="External"/><Relationship Id="rId22" Type="http://schemas.openxmlformats.org/officeDocument/2006/relationships/hyperlink" Target="http://www.nytimes.com/2009/02/26/business/economy/26banks.html" TargetMode="External"/><Relationship Id="rId23" Type="http://schemas.openxmlformats.org/officeDocument/2006/relationships/hyperlink" Target="http://www.wsj.com/articles/SB123557705225772665" TargetMode="External"/><Relationship Id="rId24" Type="http://schemas.openxmlformats.org/officeDocument/2006/relationships/hyperlink" Target="http://www.wsj.com/articles/SB124163049445592523" TargetMode="External"/><Relationship Id="rId25" Type="http://schemas.openxmlformats.org/officeDocument/2006/relationships/hyperlink" Target="http://www.wsj.com/articles/SB124182311010302297" TargetMode="External"/><Relationship Id="rId26" Type="http://schemas.openxmlformats.org/officeDocument/2006/relationships/hyperlink" Target="http://www.federalreserve.gov/newsevents/press/bcreg/20090225a.htm" TargetMode="External"/><Relationship Id="rId27" Type="http://schemas.openxmlformats.org/officeDocument/2006/relationships/hyperlink" Target="http://www.federalreserve.gov/newsevents/press/bcreg/20090506a.htm" TargetMode="External"/><Relationship Id="rId28" Type="http://schemas.openxmlformats.org/officeDocument/2006/relationships/hyperlink" Target="http://www.federalreserve.gov/newsevents/press/bcreg/20090507a.htm" TargetMode="External"/><Relationship Id="rId29" Type="http://schemas.openxmlformats.org/officeDocument/2006/relationships/hyperlink" Target="https://www.treasury.gov/press-center/press-releases/Pages/tg139.asp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www.newyorkfed.org/medialibrary/media/research/staff_reports/sr409.pdf" TargetMode="External"/><Relationship Id="rId31" Type="http://schemas.openxmlformats.org/officeDocument/2006/relationships/hyperlink" Target="http://www.federalreserve.gov/reportforms/forms/FR_Y-9C20081231_f.pdf" TargetMode="External"/><Relationship Id="rId32" Type="http://schemas.openxmlformats.org/officeDocument/2006/relationships/hyperlink" Target="http://www.treasury.gov/press-center/news/Documents/TARP%20Two%20Year%20Retrospective_10%2005%2010_transmittal%20letter.pdf" TargetMode="External"/><Relationship Id="rId9" Type="http://schemas.openxmlformats.org/officeDocument/2006/relationships/hyperlink" Target="http://www.federalreserve.gov/newsevents/press/bcreg/bcreg20090507a1.pdfhttp:/www.federalreserve.gov/newsevents/press/bcreg/bcreg20090507a1.pdf?bcsi_scan_D92198957E035F0B=0&amp;bcsi_scan_filename=bcreg20090507a1.pdf" TargetMode="External"/><Relationship Id="rId6" Type="http://schemas.openxmlformats.org/officeDocument/2006/relationships/endnotes" Target="endnotes.xml"/><Relationship Id="rId7" Type="http://schemas.openxmlformats.org/officeDocument/2006/relationships/hyperlink" Target="http://www.federalreserve.gov/newsevents/press/bcreg/bcreg20090225a1.pdf" TargetMode="External"/><Relationship Id="rId8" Type="http://schemas.openxmlformats.org/officeDocument/2006/relationships/hyperlink" Target="http://www.federalreserve.gov/bankinforeg/bcreg20090424a1.pdf" TargetMode="External"/><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ww.treasury.gov/press-center/press-releases/Documents/tg40_captermsheet.pdf" TargetMode="External"/><Relationship Id="rId11" Type="http://schemas.openxmlformats.org/officeDocument/2006/relationships/hyperlink" Target="http://www.nytimes.com/2009/02/26/business/economy/26banks.html" TargetMode="External"/><Relationship Id="rId12" Type="http://schemas.openxmlformats.org/officeDocument/2006/relationships/hyperlink" Target="http://www.wsj.com/articles/SB124182311010302297" TargetMode="External"/><Relationship Id="rId13" Type="http://schemas.openxmlformats.org/officeDocument/2006/relationships/hyperlink" Target="http://www.treasury.gov/press-center/news/Documents/TARP%20Two%20Year%20Retrospective_10%2005%2010_transmittal%20letter.pdf" TargetMode="External"/><Relationship Id="rId14" Type="http://schemas.openxmlformats.org/officeDocument/2006/relationships/hyperlink" Target="https://www.treasury.gov/press-center/press-releases/Pages/tg139.aspx." TargetMode="External"/><Relationship Id="rId15" Type="http://schemas.openxmlformats.org/officeDocument/2006/relationships/hyperlink" Target="http://www.federalreserve.gov/newsevents/press/bcreg/bcreg20090225a1.pdf" TargetMode="External"/><Relationship Id="rId16" Type="http://schemas.openxmlformats.org/officeDocument/2006/relationships/hyperlink" Target="http://www.federalreserve.gov/bankinforeg/bcreg20090424a1.pdf" TargetMode="External"/><Relationship Id="rId17" Type="http://schemas.openxmlformats.org/officeDocument/2006/relationships/hyperlink" Target="http://www.federalreserve.gov/newsevents/press/bcreg/bcreg20090507a1.pdfhttp:/www.federalreserve.gov/newsevents/press/bcreg/bcreg20090507a1.pdf?bcsi_scan_D92198957E035F0B=0&amp;bcsi_scan_filename=bcreg20090507a1.pdf" TargetMode="External"/><Relationship Id="rId18" Type="http://schemas.openxmlformats.org/officeDocument/2006/relationships/hyperlink" Target="http://www.treasury.gov/initiatives/financial-stability/TARP-Programs/bank-investment-programs/scap-and-cap/Documents/FAQ_CPP-CAP.pdf" TargetMode="External"/><Relationship Id="rId19" Type="http://schemas.openxmlformats.org/officeDocument/2006/relationships/hyperlink" Target="http://www.treasury.gov/press-center/press-releases/Documents/tg40_capterm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5051</Words>
  <Characters>28797</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33781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Chase Ross</dc:creator>
  <cp:lastModifiedBy>Chase Ross</cp:lastModifiedBy>
  <cp:revision>5</cp:revision>
  <dcterms:created xsi:type="dcterms:W3CDTF">2015-11-30T01:54:00Z</dcterms:created>
  <dcterms:modified xsi:type="dcterms:W3CDTF">2015-11-30T01:55:00Z</dcterms:modified>
</cp:coreProperties>
</file>