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2A4A"/>
          <w:sz w:val="56"/>
          <w:szCs w:val="56"/>
        </w:rPr>
        <w:t xml:space="preserve">MOVIE MASTER</w:t>
      </w:r>
    </w:p>
    <w:p>
      <w:pPr>
        <w:spacing w:after="80"/>
        <w:jc w:val="center"/>
      </w:pPr>
      <w:r>
        <w:rPr>
          <w:rFonts w:ascii="Arial" w:cs="Arial" w:eastAsia="Arial" w:hAnsi="Arial"/>
          <w:color w:val="E8A838"/>
          <w:sz w:val="28"/>
          <w:szCs w:val="28"/>
        </w:rPr>
        <w:t xml:space="preserve">AI-Powered Film Intelligence Platform</w:t>
      </w:r>
    </w:p>
    <w:p>
      <w:pPr>
        <w:pBdr>
          <w:top w:val="single" w:color="E8A838" w:sz="6" w:space="12"/>
        </w:pBdr>
        <w:spacing w:after="60" w:before="600"/>
        <w:jc w:val="center"/>
      </w:pPr>
      <w:r>
        <w:rPr>
          <w:rFonts w:ascii="Arial" w:cs="Arial" w:eastAsia="Arial" w:hAnsi="Arial"/>
          <w:b/>
          <w:bCs/>
          <w:color w:val="1B2A4A"/>
          <w:sz w:val="36"/>
          <w:szCs w:val="36"/>
        </w:rPr>
        <w:t xml:space="preserve">Design Document</w:t>
      </w:r>
    </w:p>
    <w:p>
      <w:pPr>
        <w:spacing w:after="60"/>
        <w:jc w:val="center"/>
      </w:pPr>
      <w:r>
        <w:rPr>
          <w:rFonts w:ascii="Arial" w:cs="Arial" w:eastAsia="Arial" w:hAnsi="Arial"/>
          <w:color w:val="666666"/>
          <w:sz w:val="24"/>
          <w:szCs w:val="24"/>
        </w:rPr>
        <w:t xml:space="preserve">SWEN 566 — Group 3</w:t>
      </w:r>
    </w:p>
    <w:p>
      <w:pPr>
        <w:spacing w:after="60"/>
        <w:jc w:val="center"/>
      </w:pPr>
      <w:r>
        <w:rPr>
          <w:rFonts w:ascii="Arial" w:cs="Arial" w:eastAsia="Arial" w:hAnsi="Arial"/>
          <w:color w:val="666666"/>
          <w:sz w:val="24"/>
          <w:szCs w:val="24"/>
        </w:rPr>
        <w:t xml:space="preserve">Spring 2025</w:t>
      </w:r>
    </w:p>
    <w:p>
      <w:pPr>
        <w:spacing w:after="60" w:before="400"/>
        <w:jc w:val="center"/>
      </w:pPr>
      <w:r>
        <w:rPr>
          <w:rFonts w:ascii="Arial" w:cs="Arial" w:eastAsia="Arial" w:hAnsi="Arial"/>
          <w:b/>
          <w:bCs/>
          <w:color w:val="1B2A4A"/>
          <w:sz w:val="22"/>
          <w:szCs w:val="22"/>
        </w:rPr>
        <w:t xml:space="preserve">Team Members</w:t>
      </w:r>
    </w:p>
    <w:p>
      <w:pPr>
        <w:spacing w:after="30" w:before="30"/>
        <w:jc w:val="center"/>
      </w:pPr>
      <w:r>
        <w:rPr>
          <w:rFonts w:ascii="Arial" w:cs="Arial" w:eastAsia="Arial" w:hAnsi="Arial"/>
          <w:color w:val="666666"/>
          <w:sz w:val="20"/>
          <w:szCs w:val="20"/>
        </w:rPr>
        <w:t xml:space="preserve">Howard Kong — SW Developer / Engineer</w:t>
      </w:r>
    </w:p>
    <w:p>
      <w:pPr>
        <w:spacing w:after="30" w:before="30"/>
        <w:jc w:val="center"/>
      </w:pPr>
      <w:r>
        <w:rPr>
          <w:rFonts w:ascii="Arial" w:cs="Arial" w:eastAsia="Arial" w:hAnsi="Arial"/>
          <w:color w:val="666666"/>
          <w:sz w:val="20"/>
          <w:szCs w:val="20"/>
        </w:rPr>
        <w:t xml:space="preserve">Chase Balmer — Project Planner</w:t>
      </w:r>
    </w:p>
    <w:p>
      <w:pPr>
        <w:spacing w:after="30" w:before="30"/>
        <w:jc w:val="center"/>
      </w:pPr>
      <w:r>
        <w:rPr>
          <w:rFonts w:ascii="Arial" w:cs="Arial" w:eastAsia="Arial" w:hAnsi="Arial"/>
          <w:color w:val="666666"/>
          <w:sz w:val="20"/>
          <w:szCs w:val="20"/>
        </w:rPr>
        <w:t xml:space="preserve">Blake Rossi — AI Engineer</w:t>
      </w:r>
    </w:p>
    <w:p>
      <w:pPr>
        <w:spacing w:after="30" w:before="30"/>
        <w:jc w:val="center"/>
      </w:pPr>
      <w:r>
        <w:rPr>
          <w:rFonts w:ascii="Arial" w:cs="Arial" w:eastAsia="Arial" w:hAnsi="Arial"/>
          <w:color w:val="666666"/>
          <w:sz w:val="20"/>
          <w:szCs w:val="20"/>
        </w:rPr>
        <w:t xml:space="preserve">Oscar Chen — Code Reviewer</w:t>
      </w:r>
    </w:p>
    <w:p>
      <w:pPr>
        <w:spacing w:after="30" w:before="30"/>
        <w:jc w:val="center"/>
      </w:pPr>
      <w:r>
        <w:rPr>
          <w:rFonts w:ascii="Arial" w:cs="Arial" w:eastAsia="Arial" w:hAnsi="Arial"/>
          <w:color w:val="666666"/>
          <w:sz w:val="20"/>
          <w:szCs w:val="20"/>
        </w:rPr>
        <w:t xml:space="preserve">AI Agent (GitHub Copilot / Azure AI) — SW Developer</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120" w:before="120"/>
      </w:pPr>
      <w:r>
        <w:rPr>
          <w:rFonts w:ascii="Arial" w:cs="Arial" w:eastAsia="Arial" w:hAnsi="Arial"/>
          <w:color w:val="333333"/>
          <w:sz w:val="22"/>
          <w:szCs w:val="22"/>
        </w:rPr>
        <w:t xml:space="preserve">This design document describes the system architecture for Movie Master, an AI-powered film intelligence platform developed for SWEN 566. It identifies all major system components, their connections, and their deployment zones (internal, commercial cloud, and external/third-party). It also provides a detailed description of each service the team is responsible for building and maintaining.</w:t>
      </w:r>
    </w:p>
    <w:p>
      <w:pPr>
        <w:spacing w:after="120" w:before="120"/>
      </w:pPr>
      <w:r>
        <w:rPr>
          <w:rFonts w:ascii="Arial" w:cs="Arial" w:eastAsia="Arial" w:hAnsi="Arial"/>
          <w:color w:val="333333"/>
          <w:sz w:val="22"/>
          <w:szCs w:val="22"/>
        </w:rPr>
        <w:t xml:space="preserve">The architecture follows a three-tier pattern: a React-based frontend communicates with a Python/FastAPI backend, which in turn orchestrates calls to Azure AI services and external movie data APIs. All processed outputs are cached in a relational database to minimize redundant computation and external API usage.</w:t>
      </w:r>
    </w:p>
    <w:p>
      <w:pPr>
        <w:pStyle w:val="Heading1"/>
      </w:pPr>
      <w:r>
        <w:t xml:space="preserve">2. System Architecture Diagram</w:t>
      </w:r>
    </w:p>
    <w:p>
      <w:pPr>
        <w:spacing w:after="120" w:before="120"/>
      </w:pPr>
      <w:r>
        <w:rPr>
          <w:rFonts w:ascii="Arial" w:cs="Arial" w:eastAsia="Arial" w:hAnsi="Arial"/>
          <w:color w:val="333333"/>
          <w:sz w:val="22"/>
          <w:szCs w:val="22"/>
        </w:rPr>
        <w:t xml:space="preserve">The system diagram below shows how the major components interact. Components are color-coded by deployment zone: blue for internal team-managed components, coral/orange for commercial Azure cloud services, amber for external third-party APIs and data sources, purple for the data store, and gray for DevOps infrastructure.</w:t>
      </w:r>
    </w:p>
    <w:p>
      <w:pPr>
        <w:spacing w:after="200" w:before="200"/>
      </w:pPr>
      <w:r>
        <w:rPr>
          <w:rFonts w:ascii="Arial" w:cs="Arial" w:eastAsia="Arial" w:hAnsi="Arial"/>
          <w:color w:val="333333"/>
          <w:sz w:val="22"/>
          <w:szCs w:val="22"/>
        </w:rPr>
        <w:t xml:space="preserve">[See the accompanying system architecture diagram rendered alongside this document.]</w:t>
      </w:r>
    </w:p>
    <w:p>
      <w:pPr>
        <w:pStyle w:val="Heading2"/>
        <w:spacing w:after="180" w:before="360"/>
      </w:pPr>
      <w:r>
        <w:rPr>
          <w:rFonts w:ascii="Arial" w:cs="Arial" w:eastAsia="Arial" w:hAnsi="Arial"/>
          <w:b/>
          <w:bCs/>
          <w:color w:val="1B2A4A"/>
          <w:sz w:val="28"/>
          <w:szCs w:val="28"/>
        </w:rPr>
        <w:t xml:space="preserve">2.1 Component Inventory</w:t>
      </w:r>
    </w:p>
    <w:p>
      <w:pPr>
        <w:spacing w:after="120" w:before="120"/>
      </w:pPr>
      <w:r>
        <w:rPr>
          <w:rFonts w:ascii="Arial" w:cs="Arial" w:eastAsia="Arial" w:hAnsi="Arial"/>
          <w:color w:val="333333"/>
          <w:sz w:val="22"/>
          <w:szCs w:val="22"/>
        </w:rPr>
        <w:t xml:space="preserve">The following table catalogs every component in the system, its deployment zone, and the connections it maintains with other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Zone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Connections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Frontend (React/TypeScript + assistant-ui)</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spacing w:after="0" w:before="0"/>
              <w:jc w:val="center"/>
            </w:pPr>
            <w:r>
              <w:rPr>
                <w:rFonts w:ascii="Arial" w:cs="Arial" w:eastAsia="Arial" w:hAnsi="Arial"/>
                <w:b/>
                <w:bCs/>
                <w:color w:val="185FA5"/>
                <w:sz w:val="18"/>
                <w:szCs w:val="18"/>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(REST/HTTP)</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Backend API (Python/FastAPI)</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spacing w:after="0" w:before="0"/>
              <w:jc w:val="center"/>
            </w:pPr>
            <w:r>
              <w:rPr>
                <w:rFonts w:ascii="Arial" w:cs="Arial" w:eastAsia="Arial" w:hAnsi="Arial"/>
                <w:b/>
                <w:bCs/>
                <w:color w:val="185FA5"/>
                <w:sz w:val="18"/>
                <w:szCs w:val="18"/>
              </w:rPr>
              <w:t xml:space="preserve">Internal</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Frontend, Database, all Azure AI services, all external data sources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Database (SQLite/PostgreSQL)</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after="0" w:before="0"/>
              <w:jc w:val="center"/>
            </w:pPr>
            <w:r>
              <w:rPr>
                <w:rFonts w:ascii="Arial" w:cs="Arial" w:eastAsia="Arial" w:hAnsi="Arial"/>
                <w:b/>
                <w:bCs/>
                <w:color w:val="534AB7"/>
                <w:sz w:val="18"/>
                <w:szCs w:val="18"/>
              </w:rPr>
              <w:t xml:space="preserve">Internal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(read/write)</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CI/CD Pipeline (GitLab + AI Agents)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after="0" w:before="0"/>
              <w:jc w:val="center"/>
            </w:pPr>
            <w:r>
              <w:rPr>
                <w:rFonts w:ascii="Arial" w:cs="Arial" w:eastAsia="Arial" w:hAnsi="Arial"/>
                <w:b/>
                <w:bCs/>
                <w:color w:val="5F5E5A"/>
                <w:sz w:val="18"/>
                <w:szCs w:val="18"/>
              </w:rPr>
              <w:t xml:space="preserve">Internal</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Repository, Backend API (automated testing)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Azure OpenAI</w:t>
            </w:r>
          </w:p>
        </w:tc>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jc w:val="center"/>
            </w:pPr>
            <w:r>
              <w:rPr>
                <w:rFonts w:ascii="Arial" w:cs="Arial" w:eastAsia="Arial" w:hAnsi="Arial"/>
                <w:b/>
                <w:bCs/>
                <w:color w:val="993C1D"/>
                <w:sz w:val="18"/>
                <w:szCs w:val="18"/>
              </w:rPr>
              <w:t xml:space="preserve">Commercial Cloud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(chat completions, summarization)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Azure AI Translator</w:t>
            </w:r>
          </w:p>
        </w:tc>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jc w:val="center"/>
            </w:pPr>
            <w:r>
              <w:rPr>
                <w:rFonts w:ascii="Arial" w:cs="Arial" w:eastAsia="Arial" w:hAnsi="Arial"/>
                <w:b/>
                <w:bCs/>
                <w:color w:val="993C1D"/>
                <w:sz w:val="18"/>
                <w:szCs w:val="18"/>
              </w:rPr>
              <w:t xml:space="preserve">Commercial Cloud</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(translation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Azure AI Search (Optional)</w:t>
            </w:r>
          </w:p>
        </w:tc>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after="0" w:before="0"/>
              <w:jc w:val="center"/>
            </w:pPr>
            <w:r>
              <w:rPr>
                <w:rFonts w:ascii="Arial" w:cs="Arial" w:eastAsia="Arial" w:hAnsi="Arial"/>
                <w:b/>
                <w:bCs/>
                <w:color w:val="993C1D"/>
                <w:sz w:val="18"/>
                <w:szCs w:val="18"/>
              </w:rPr>
              <w:t xml:space="preserve">Commercial Cloud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(vector similarity queries)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TMDB API</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spacing w:after="0" w:before="0"/>
              <w:jc w:val="center"/>
            </w:pPr>
            <w:r>
              <w:rPr>
                <w:rFonts w:ascii="Arial" w:cs="Arial" w:eastAsia="Arial" w:hAnsi="Arial"/>
                <w:b/>
                <w:bCs/>
                <w:color w:val="854F0B"/>
                <w:sz w:val="18"/>
                <w:szCs w:val="18"/>
              </w:rPr>
              <w:t xml:space="preserve">External / COTS</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(metadata retrieval)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OMDb API</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spacing w:after="0" w:before="0"/>
              <w:jc w:val="center"/>
            </w:pPr>
            <w:r>
              <w:rPr>
                <w:rFonts w:ascii="Arial" w:cs="Arial" w:eastAsia="Arial" w:hAnsi="Arial"/>
                <w:b/>
                <w:bCs/>
                <w:color w:val="854F0B"/>
                <w:sz w:val="18"/>
                <w:szCs w:val="18"/>
              </w:rPr>
              <w:t xml:space="preserve">External / COTS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(fallback ratings)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IMSDb</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spacing w:after="0" w:before="0"/>
              <w:jc w:val="center"/>
            </w:pPr>
            <w:r>
              <w:rPr>
                <w:rFonts w:ascii="Arial" w:cs="Arial" w:eastAsia="Arial" w:hAnsi="Arial"/>
                <w:b/>
                <w:bCs/>
                <w:color w:val="854F0B"/>
                <w:sz w:val="18"/>
                <w:szCs w:val="18"/>
              </w:rPr>
              <w:t xml:space="preserve">External / COTS</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(script scraping via BeautifulSoup)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Kaggle Datasets</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spacing w:after="0" w:before="0"/>
              <w:jc w:val="center"/>
            </w:pPr>
            <w:r>
              <w:rPr>
                <w:rFonts w:ascii="Arial" w:cs="Arial" w:eastAsia="Arial" w:hAnsi="Arial"/>
                <w:b/>
                <w:bCs/>
                <w:color w:val="854F0B"/>
                <w:sz w:val="18"/>
                <w:szCs w:val="18"/>
              </w:rPr>
              <w:t xml:space="preserve">External / COTS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(offline dataset import)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333333"/>
                <w:sz w:val="20"/>
                <w:szCs w:val="20"/>
              </w:rPr>
              <w:t xml:space="preserve">Movie Script Database (GitHub)</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spacing w:after="0" w:before="0"/>
              <w:jc w:val="center"/>
            </w:pPr>
            <w:r>
              <w:rPr>
                <w:rFonts w:ascii="Arial" w:cs="Arial" w:eastAsia="Arial" w:hAnsi="Arial"/>
                <w:b/>
                <w:bCs/>
                <w:color w:val="854F0B"/>
                <w:sz w:val="18"/>
                <w:szCs w:val="18"/>
              </w:rPr>
              <w:t xml:space="preserve">External / COTS</w:t>
            </w:r>
          </w:p>
        </w:tc>
        <w:tc>
          <w:tcPr>
            <w:tcW w:type="dxa" w:w="4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Backend API (bulk script pipeline)</w:t>
            </w:r>
          </w:p>
        </w:tc>
      </w:tr>
    </w:tbl>
    <w:p>
      <w:pPr>
        <w:pStyle w:val="Heading2"/>
        <w:spacing w:after="180" w:before="360"/>
      </w:pPr>
      <w:r>
        <w:rPr>
          <w:rFonts w:ascii="Arial" w:cs="Arial" w:eastAsia="Arial" w:hAnsi="Arial"/>
          <w:b/>
          <w:bCs/>
          <w:color w:val="1B2A4A"/>
          <w:sz w:val="28"/>
          <w:szCs w:val="28"/>
        </w:rPr>
        <w:t xml:space="preserve">2.2 Zone Definitions</w:t>
      </w:r>
    </w:p>
    <w:p>
      <w:pPr>
        <w:pStyle w:val="Heading3"/>
      </w:pPr>
      <w:r>
        <w:t xml:space="preserve">Internal (Team-Managed)</w:t>
      </w:r>
    </w:p>
    <w:p>
      <w:pPr>
        <w:spacing w:after="120" w:before="120"/>
      </w:pPr>
      <w:r>
        <w:rPr>
          <w:rFonts w:ascii="Arial" w:cs="Arial" w:eastAsia="Arial" w:hAnsi="Arial"/>
          <w:color w:val="333333"/>
          <w:sz w:val="22"/>
          <w:szCs w:val="22"/>
        </w:rPr>
        <w:t xml:space="preserve">Components developed, deployed, and maintained by the project team. This includes the React frontend, the FastAPI backend, the SQLite/PostgreSQL database, and the CI/CD pipeline with integrated AI coding and review agents. The team has full control over the source code, configuration, and deployment of these components.</w:t>
      </w:r>
    </w:p>
    <w:p>
      <w:pPr>
        <w:pStyle w:val="Heading3"/>
      </w:pPr>
      <w:r>
        <w:t xml:space="preserve">Commercial Cloud Services</w:t>
      </w:r>
    </w:p>
    <w:p>
      <w:pPr>
        <w:spacing w:after="120" w:before="120"/>
      </w:pPr>
      <w:r>
        <w:rPr>
          <w:rFonts w:ascii="Arial" w:cs="Arial" w:eastAsia="Arial" w:hAnsi="Arial"/>
          <w:color w:val="333333"/>
          <w:sz w:val="22"/>
          <w:szCs w:val="22"/>
        </w:rPr>
        <w:t xml:space="preserve">Managed Azure AI services consumed via API. These include Azure OpenAI (for chat and summarization), Azure AI Translator (for multilingual content), and Azure AI Search (for optional vector-based semantic recommendations). The team controls prompt design, model selection, and integration patterns but does not manage the underlying infrastructure.</w:t>
      </w:r>
    </w:p>
    <w:p>
      <w:pPr>
        <w:pStyle w:val="Heading3"/>
      </w:pPr>
      <w:r>
        <w:t xml:space="preserve">External / COTS (Third-Party)</w:t>
      </w:r>
    </w:p>
    <w:p>
      <w:pPr>
        <w:spacing w:after="120" w:before="120"/>
      </w:pPr>
      <w:r>
        <w:rPr>
          <w:rFonts w:ascii="Arial" w:cs="Arial" w:eastAsia="Arial" w:hAnsi="Arial"/>
          <w:color w:val="333333"/>
          <w:sz w:val="22"/>
          <w:szCs w:val="22"/>
        </w:rPr>
        <w:t xml:space="preserve">APIs and data sources outside the team’s control. TMDB and OMDb provide movie metadata and ratings. IMSDb, the Movie Script Database (GitHub), and Kaggle datasets supply movie scripts and transcripts. These services may change their APIs, rate limits, or availability without notice, so the backend includes fallback logic and caching to mitigate dependency risk.</w:t>
      </w:r>
    </w:p>
    <w:p>
      <w:r>
        <w:br w:type="page"/>
      </w:r>
    </w:p>
    <w:p>
      <w:pPr>
        <w:pStyle w:val="Heading1"/>
      </w:pPr>
      <w:r>
        <w:t xml:space="preserve">3. Main Services</w:t>
      </w:r>
    </w:p>
    <w:p>
      <w:pPr>
        <w:spacing w:after="120" w:before="120"/>
      </w:pPr>
      <w:r>
        <w:rPr>
          <w:rFonts w:ascii="Arial" w:cs="Arial" w:eastAsia="Arial" w:hAnsi="Arial"/>
          <w:color w:val="333333"/>
          <w:sz w:val="22"/>
          <w:szCs w:val="22"/>
        </w:rPr>
        <w:t xml:space="preserve">The following table describes each service the team is responsible for designing, implementing, and maintaining. Each service represents a distinct unit of functionality within the backend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Movie Search &amp; Metadata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Handles user search queries by title, querying TMDB as the primary metadata source and OMDb as a fallback. Returns unified movie information including title, year, genre, cast, crew, posters, trailers, and aggregated ratings from multiple sources.</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Transcript Ingestion Pipeline</w:t>
            </w:r>
          </w:p>
        </w:tc>
        <w:tc>
          <w:tcPr>
            <w:tcW w:type="dxa" w:w="6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Fetches, normalizes, and stores movie scripts and transcripts from multiple sources (IMSDb scraping, Movie Script Database bulk imports, Kaggle datasets). Prepares cleaned text for downstream AI processing and caches results to prevent redundant fetches.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AI Summarization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Processes full movie transcripts (or aggregated online summaries as fallback) through Azure OpenAI to produce configurable outputs: short summaries of user-selectable length, optional scene-by-scene breakdowns, and top character profiles with key facts extracted.</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AI Chat — Movie Expert Agent</w:t>
            </w:r>
          </w:p>
        </w:tc>
        <w:tc>
          <w:tcPr>
            <w:tcW w:type="dxa" w:w="6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Provides a per-movie conversational interface powered by Azure OpenAI. The agent’s context includes the movie summary, extracted facts, and character profiles, enabling plot Q&amp;A, theme explanation, and scene discussion through the assistant-ui React chat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Translation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Translates AI-generated summaries and, optionally, real-time chat messages into other languages via Azure AI Translator. Ensures the platform’s AI-produced content is accessible to a global, multilingual audience.</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Ratings &amp; Recommendation Engine</w:t>
            </w:r>
          </w:p>
        </w:tc>
        <w:tc>
          <w:tcPr>
            <w:tcW w:type="dxa" w:w="6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Stores user ratings on a 1–5 star scale and generates personalized movie recommendations based on genre similarity. An optional enhancement uses Azure AI Search for embedding-based semantic matching and collaborative filtering, with AI-generated natural-language explanations.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User &amp; Authentication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Manages user accounts, session state, and access controls. Stores user preferences and ratings securely, ensuring that personal data is used only to improve the individual user’s experience and is never shared with unauthorized third parties.</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b/>
                <w:bCs/>
                <w:color w:val="1B2A4A"/>
                <w:sz w:val="20"/>
                <w:szCs w:val="20"/>
              </w:rPr>
              <w:t xml:space="preserve">Caching &amp; Performance Layer</w:t>
            </w:r>
          </w:p>
        </w:tc>
        <w:tc>
          <w:tcPr>
            <w:tcW w:type="dxa" w:w="656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Caches processed AI outputs (summaries, embeddings, translated content) to avoid redundant computation and reduce Azure OpenAI token usage. Implements retry logic and request throttling for external API rate limits on TMDB and OMDb.</w:t>
            </w:r>
          </w:p>
        </w:tc>
      </w:tr>
    </w:tbl>
    <w:p>
      <w:r>
        <w:br w:type="page"/>
      </w:r>
    </w:p>
    <w:p>
      <w:pPr>
        <w:pStyle w:val="Heading1"/>
      </w:pPr>
      <w:r>
        <w:t xml:space="preserve">4. Key Design Decisions</w:t>
      </w:r>
    </w:p>
    <w:p>
      <w:pPr>
        <w:pStyle w:val="Heading3"/>
      </w:pPr>
      <w:r>
        <w:t xml:space="preserve">Stateless Backend</w:t>
      </w:r>
    </w:p>
    <w:p>
      <w:pPr>
        <w:spacing w:after="120" w:before="120"/>
      </w:pPr>
      <w:r>
        <w:rPr>
          <w:rFonts w:ascii="Arial" w:cs="Arial" w:eastAsia="Arial" w:hAnsi="Arial"/>
          <w:color w:val="333333"/>
          <w:sz w:val="22"/>
          <w:szCs w:val="22"/>
        </w:rPr>
        <w:t xml:space="preserve">The FastAPI backend is designed to be stateless, with all persistent data stored in the database. This supports horizontal scaling and simplifies deployment. Session and user state are managed through the database and authentication tokens, not in-memory server state.</w:t>
      </w:r>
    </w:p>
    <w:p>
      <w:pPr>
        <w:pStyle w:val="Heading3"/>
      </w:pPr>
      <w:r>
        <w:t xml:space="preserve">Aggressive Caching</w:t>
      </w:r>
    </w:p>
    <w:p>
      <w:pPr>
        <w:spacing w:after="120" w:before="120"/>
      </w:pPr>
      <w:r>
        <w:rPr>
          <w:rFonts w:ascii="Arial" w:cs="Arial" w:eastAsia="Arial" w:hAnsi="Arial"/>
          <w:color w:val="333333"/>
          <w:sz w:val="22"/>
          <w:szCs w:val="22"/>
        </w:rPr>
        <w:t xml:space="preserve">AI-generated outputs (summaries, embeddings, translations) are cached in the database after first computation. This reduces Azure OpenAI token consumption, lowers cost, and improves response times for repeat queries. Cache invalidation is handled through content versioning.</w:t>
      </w:r>
    </w:p>
    <w:p>
      <w:pPr>
        <w:pStyle w:val="Heading3"/>
      </w:pPr>
      <w:r>
        <w:t xml:space="preserve">Graceful Degradation</w:t>
      </w:r>
    </w:p>
    <w:p>
      <w:pPr>
        <w:spacing w:after="120" w:before="120"/>
      </w:pPr>
      <w:r>
        <w:rPr>
          <w:rFonts w:ascii="Arial" w:cs="Arial" w:eastAsia="Arial" w:hAnsi="Arial"/>
          <w:color w:val="333333"/>
          <w:sz w:val="22"/>
          <w:szCs w:val="22"/>
        </w:rPr>
        <w:t xml:space="preserve">When Azure AI services are unavailable, the system falls back to cached summaries or displays user-friendly error messages rather than failing silently. TMDB failures trigger a fallback to OMDb for metadata. This layered resilience ensures the application remains useful even during partial outages.</w:t>
      </w:r>
    </w:p>
    <w:p>
      <w:pPr>
        <w:pStyle w:val="Heading3"/>
      </w:pPr>
      <w:r>
        <w:t xml:space="preserve">Provider-Agnostic AI Agents</w:t>
      </w:r>
    </w:p>
    <w:p>
      <w:pPr>
        <w:spacing w:after="120" w:before="120"/>
      </w:pPr>
      <w:r>
        <w:rPr>
          <w:rFonts w:ascii="Arial" w:cs="Arial" w:eastAsia="Arial" w:hAnsi="Arial"/>
          <w:color w:val="333333"/>
          <w:sz w:val="22"/>
          <w:szCs w:val="22"/>
        </w:rPr>
        <w:t xml:space="preserve">The team’s AI agent architecture uses tool-agnostic, repository-native prompts that work with GitHub Copilot, Claude Code, or other providers. Specialized agents (Prompting Agent, Coding Agent, Code Reviewer) operate through a shared memory log stored as a markdown file in the repository, enabling persistent context across sessions.</w:t>
      </w:r>
    </w:p>
    <w:p>
      <w:pPr>
        <w:pStyle w:val="Heading3"/>
      </w:pPr>
      <w:r>
        <w:t xml:space="preserve">Dual-Source Metadata Strategy</w:t>
      </w:r>
    </w:p>
    <w:p>
      <w:pPr>
        <w:spacing w:after="120" w:before="120"/>
      </w:pPr>
      <w:r>
        <w:rPr>
          <w:rFonts w:ascii="Arial" w:cs="Arial" w:eastAsia="Arial" w:hAnsi="Arial"/>
          <w:color w:val="333333"/>
          <w:sz w:val="22"/>
          <w:szCs w:val="22"/>
        </w:rPr>
        <w:t xml:space="preserve">TMDB serves as the primary metadata API due to its comprehensive coverage of images, credits, and discovery features. OMDb acts as a secondary source, providing aggregated third-party ratings (IMDb, Rotten Tomatoes, Metascore) that TMDB does not natively include. This dual-source approach ensures data completeness without single-point dependency.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tabs>
        <w:tab w:val="right" w:pos="9026"/>
      </w:tabs>
    </w:pPr>
    <w:r>
      <w:rPr>
        <w:rFonts w:ascii="Arial" w:cs="Arial" w:eastAsia="Arial" w:hAnsi="Arial"/>
        <w:color w:val="666666"/>
        <w:sz w:val="18"/>
        <w:szCs w:val="18"/>
      </w:rPr>
      <w:t xml:space="preserve">Movie Master — Design Document</w:t>
    </w:r>
    <w:r>
      <w:t xml:space="preserve">	</w:t>
    </w:r>
    <w:r>
      <w:rPr>
        <w:rFonts w:ascii="Arial" w:cs="Arial" w:eastAsia="Arial" w:hAnsi="Arial"/>
        <w:color w:val="666666"/>
        <w:sz w:val="18"/>
        <w:szCs w:val="18"/>
      </w:rPr>
      <w:t xml:space="preserve">SWEN 566 — Group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2026-04-13T03:48:53.938Z</dcterms:created>
  <dcterms:modified xsi:type="dcterms:W3CDTF">2026-04-13T03:48:53.939Z</dcterms:modified>
</cp:coreProperties>
</file>

<file path=docProps/custom.xml><?xml version="1.0" encoding="utf-8"?>
<Properties xmlns="http://schemas.openxmlformats.org/officeDocument/2006/custom-properties" xmlns:vt="http://schemas.openxmlformats.org/officeDocument/2006/docPropsVTypes"/>
</file>