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C0E32" w14:textId="1F115325" w:rsidR="00A73838" w:rsidRPr="0067030C" w:rsidRDefault="00A73838" w:rsidP="00AA7325">
      <w:pPr>
        <w:pStyle w:val="Title"/>
        <w:jc w:val="center"/>
        <w:rPr>
          <w:rFonts w:ascii="Times New Roman" w:hAnsi="Times New Roman" w:cs="Times New Roman"/>
          <w:b/>
          <w:bCs/>
        </w:rPr>
      </w:pPr>
      <w:r w:rsidRPr="0067030C">
        <w:rPr>
          <w:rFonts w:ascii="Times New Roman" w:hAnsi="Times New Roman" w:cs="Times New Roman"/>
          <w:b/>
          <w:bCs/>
        </w:rPr>
        <w:t xml:space="preserve">Wines of the Word Project </w:t>
      </w:r>
      <w:r w:rsidR="00E65993" w:rsidRPr="0067030C">
        <w:rPr>
          <w:rFonts w:ascii="Times New Roman" w:hAnsi="Times New Roman" w:cs="Times New Roman"/>
          <w:b/>
          <w:bCs/>
        </w:rPr>
        <w:t>Writeup</w:t>
      </w:r>
    </w:p>
    <w:p w14:paraId="5AA5ABBE" w14:textId="25F66050" w:rsidR="00A73838" w:rsidRPr="00E65993" w:rsidRDefault="00A73838" w:rsidP="00AA7325">
      <w:pPr>
        <w:pStyle w:val="Subtitle"/>
        <w:jc w:val="center"/>
        <w:rPr>
          <w:rFonts w:ascii="Times New Roman" w:hAnsi="Times New Roman" w:cs="Times New Roman"/>
        </w:rPr>
      </w:pPr>
      <w:r w:rsidRPr="00E65993">
        <w:rPr>
          <w:rFonts w:ascii="Times New Roman" w:hAnsi="Times New Roman" w:cs="Times New Roman"/>
        </w:rPr>
        <w:t>HSPT.161.02 | WOW I Project</w:t>
      </w:r>
    </w:p>
    <w:p w14:paraId="155B15C4" w14:textId="6FC2326D" w:rsidR="0067030C" w:rsidRPr="0067030C" w:rsidRDefault="00A73838" w:rsidP="0067030C">
      <w:pPr>
        <w:pStyle w:val="Subtitle"/>
        <w:jc w:val="center"/>
        <w:rPr>
          <w:rFonts w:ascii="Times New Roman" w:hAnsi="Times New Roman" w:cs="Times New Roman"/>
        </w:rPr>
      </w:pPr>
      <w:r w:rsidRPr="00E65993">
        <w:rPr>
          <w:rFonts w:ascii="Times New Roman" w:hAnsi="Times New Roman" w:cs="Times New Roman"/>
        </w:rPr>
        <w:t>Chase Balmer, Sarah Payne</w:t>
      </w:r>
    </w:p>
    <w:p w14:paraId="18BDF88F" w14:textId="7A1A85F3" w:rsidR="00A73838" w:rsidRPr="00E65993" w:rsidRDefault="00A73838" w:rsidP="00E65993">
      <w:pPr>
        <w:spacing w:line="480" w:lineRule="auto"/>
        <w:ind w:firstLine="720"/>
        <w:rPr>
          <w:rFonts w:ascii="Times New Roman" w:hAnsi="Times New Roman" w:cs="Times New Roman"/>
        </w:rPr>
      </w:pPr>
      <w:r w:rsidRPr="00E65993">
        <w:rPr>
          <w:rFonts w:ascii="Times New Roman" w:hAnsi="Times New Roman" w:cs="Times New Roman"/>
        </w:rPr>
        <w:t xml:space="preserve">This writeup serves as the written component of the HSPT.161 Wines of the World project. This paper explains the process, research foundation, and what was learned during the creation of the wines of the world project. This project submission contains this written component, as well as our visual product, </w:t>
      </w:r>
      <w:r w:rsidRPr="00E65993">
        <w:rPr>
          <w:rFonts w:ascii="Times New Roman" w:hAnsi="Times New Roman" w:cs="Times New Roman"/>
          <w:i/>
          <w:iCs/>
        </w:rPr>
        <w:t>Journey of the Grape</w:t>
      </w:r>
      <w:r w:rsidRPr="00E65993">
        <w:rPr>
          <w:rFonts w:ascii="Times New Roman" w:hAnsi="Times New Roman" w:cs="Times New Roman"/>
        </w:rPr>
        <w:t xml:space="preserve">. </w:t>
      </w:r>
    </w:p>
    <w:p w14:paraId="7C03BB32" w14:textId="27697B33" w:rsidR="00A73838" w:rsidRPr="00E65993" w:rsidRDefault="00A73838" w:rsidP="00E65993">
      <w:pPr>
        <w:spacing w:line="480" w:lineRule="auto"/>
        <w:ind w:firstLine="720"/>
        <w:rPr>
          <w:rFonts w:ascii="Times New Roman" w:hAnsi="Times New Roman" w:cs="Times New Roman"/>
        </w:rPr>
      </w:pPr>
      <w:r w:rsidRPr="00E65993">
        <w:rPr>
          <w:rFonts w:ascii="Times New Roman" w:hAnsi="Times New Roman" w:cs="Times New Roman"/>
          <w:i/>
          <w:iCs/>
        </w:rPr>
        <w:t>Journey of a Grape</w:t>
      </w:r>
      <w:r w:rsidRPr="00E65993">
        <w:rPr>
          <w:rFonts w:ascii="Times New Roman" w:hAnsi="Times New Roman" w:cs="Times New Roman"/>
        </w:rPr>
        <w:t xml:space="preserve"> is an interactive, web-based educational experience where the user selects a grape type and navigates it through a vineyard-themed maze, discovering and learning about 10 different wine packaging methods. These packing methods span from natural cork and screw caps to bag-in-box and tetra paks. The experience explores how each closure and container affects wine quality, flavor, sustainability, and cost. </w:t>
      </w:r>
    </w:p>
    <w:p w14:paraId="71E06643" w14:textId="1C4696A3" w:rsidR="00411E2A" w:rsidRDefault="008A7F75" w:rsidP="004266BB">
      <w:pPr>
        <w:spacing w:line="480" w:lineRule="auto"/>
        <w:ind w:firstLine="720"/>
        <w:rPr>
          <w:rFonts w:ascii="Times New Roman" w:hAnsi="Times New Roman" w:cs="Times New Roman"/>
        </w:rPr>
      </w:pPr>
      <w:r w:rsidRPr="00E65993">
        <w:rPr>
          <w:rFonts w:ascii="Times New Roman" w:hAnsi="Times New Roman" w:cs="Times New Roman"/>
        </w:rPr>
        <w:t xml:space="preserve">The implementation of this project consisted of a multi-step process. The first step, ideation. </w:t>
      </w:r>
      <w:r w:rsidR="004266BB">
        <w:rPr>
          <w:rFonts w:ascii="Times New Roman" w:hAnsi="Times New Roman" w:cs="Times New Roman"/>
        </w:rPr>
        <w:t>We</w:t>
      </w:r>
      <w:r w:rsidRPr="00E65993">
        <w:rPr>
          <w:rFonts w:ascii="Times New Roman" w:hAnsi="Times New Roman" w:cs="Times New Roman"/>
        </w:rPr>
        <w:t xml:space="preserve"> agreed on producing an interactive game like experience, with the goal of creating both an engaging but informational experience. Considering </w:t>
      </w:r>
      <w:r w:rsidR="004266BB">
        <w:rPr>
          <w:rFonts w:ascii="Times New Roman" w:hAnsi="Times New Roman" w:cs="Times New Roman"/>
        </w:rPr>
        <w:t xml:space="preserve">our </w:t>
      </w:r>
      <w:r w:rsidRPr="00E65993">
        <w:rPr>
          <w:rFonts w:ascii="Times New Roman" w:hAnsi="Times New Roman" w:cs="Times New Roman"/>
        </w:rPr>
        <w:t xml:space="preserve">background as computer science majors, we decided to create a web based game. Throughout the course, we have been interested in the pros and cons of different wine packaging methods, especially regarding perception. </w:t>
      </w:r>
      <w:r w:rsidR="004266BB">
        <w:rPr>
          <w:rFonts w:ascii="Times New Roman" w:hAnsi="Times New Roman" w:cs="Times New Roman"/>
        </w:rPr>
        <w:t xml:space="preserve">Alternative wine packaging methods continue to become increasingly popular. We wanted to gather an understanding of this evolving landscape, develop accurate understandings of each method, and dissolve false claims </w:t>
      </w:r>
      <w:r w:rsidR="00532818">
        <w:rPr>
          <w:rFonts w:ascii="Times New Roman" w:hAnsi="Times New Roman" w:cs="Times New Roman"/>
        </w:rPr>
        <w:t xml:space="preserve">impacting </w:t>
      </w:r>
      <w:r w:rsidR="004266BB">
        <w:rPr>
          <w:rFonts w:ascii="Times New Roman" w:hAnsi="Times New Roman" w:cs="Times New Roman"/>
        </w:rPr>
        <w:t>perception. We</w:t>
      </w:r>
      <w:r w:rsidRPr="00E65993">
        <w:rPr>
          <w:rFonts w:ascii="Times New Roman" w:hAnsi="Times New Roman" w:cs="Times New Roman"/>
        </w:rPr>
        <w:t xml:space="preserve"> selected a list of packaging methods </w:t>
      </w:r>
      <w:r w:rsidR="00411E2A">
        <w:rPr>
          <w:rFonts w:ascii="Times New Roman" w:hAnsi="Times New Roman" w:cs="Times New Roman"/>
        </w:rPr>
        <w:t>to</w:t>
      </w:r>
      <w:r w:rsidRPr="00E65993">
        <w:rPr>
          <w:rFonts w:ascii="Times New Roman" w:hAnsi="Times New Roman" w:cs="Times New Roman"/>
        </w:rPr>
        <w:t xml:space="preserve"> cover and began research. </w:t>
      </w:r>
    </w:p>
    <w:p w14:paraId="1FB19868" w14:textId="0824410E" w:rsidR="00411E2A" w:rsidRDefault="008A7F75" w:rsidP="00411E2A">
      <w:pPr>
        <w:spacing w:line="480" w:lineRule="auto"/>
        <w:ind w:firstLine="720"/>
        <w:rPr>
          <w:rFonts w:ascii="Times New Roman" w:hAnsi="Times New Roman" w:cs="Times New Roman"/>
        </w:rPr>
      </w:pPr>
      <w:r w:rsidRPr="00E65993">
        <w:rPr>
          <w:rFonts w:ascii="Times New Roman" w:hAnsi="Times New Roman" w:cs="Times New Roman"/>
        </w:rPr>
        <w:lastRenderedPageBreak/>
        <w:t>The team worked together to perform research, synthesizing data from peer-reviewed research, industry data, and lifecycle assessments</w:t>
      </w:r>
      <w:r w:rsidR="00C3693C">
        <w:rPr>
          <w:rFonts w:ascii="Times New Roman" w:hAnsi="Times New Roman" w:cs="Times New Roman"/>
        </w:rPr>
        <w:t>. This research was executed in parallel with the development of the interactive web game</w:t>
      </w:r>
      <w:r w:rsidR="00AA7325">
        <w:rPr>
          <w:rFonts w:ascii="Times New Roman" w:hAnsi="Times New Roman" w:cs="Times New Roman"/>
        </w:rPr>
        <w:t xml:space="preserve"> to maximize efficiency. Upon completion of research, the information was injected into the game to replace placeholder information. Chase handled the polishing of the educational components, while Sarah handled the creation of the different packing method</w:t>
      </w:r>
      <w:r w:rsidR="0067030C">
        <w:rPr>
          <w:rFonts w:ascii="Times New Roman" w:hAnsi="Times New Roman" w:cs="Times New Roman"/>
        </w:rPr>
        <w:t>s</w:t>
      </w:r>
      <w:r w:rsidR="00AA7325">
        <w:rPr>
          <w:rFonts w:ascii="Times New Roman" w:hAnsi="Times New Roman" w:cs="Times New Roman"/>
        </w:rPr>
        <w:t xml:space="preserve"> graphics/assets. </w:t>
      </w:r>
    </w:p>
    <w:p w14:paraId="105CC152" w14:textId="05AA48FE" w:rsidR="00411E2A" w:rsidRDefault="00411E2A" w:rsidP="002455D5">
      <w:pPr>
        <w:spacing w:line="480" w:lineRule="auto"/>
        <w:ind w:firstLine="720"/>
        <w:rPr>
          <w:rFonts w:ascii="Times New Roman" w:hAnsi="Times New Roman" w:cs="Times New Roman"/>
        </w:rPr>
      </w:pPr>
      <w:r>
        <w:rPr>
          <w:rFonts w:ascii="Times New Roman" w:hAnsi="Times New Roman" w:cs="Times New Roman"/>
        </w:rPr>
        <w:t xml:space="preserve">During the creation of this wines of the world project, we learned about the landscape of wine packaging methods. At a high level, the central finding of our research was that there is no single, dominant packaging solution that optimally serves all situations. Packing methods balance tradeoffs among preservability, cost, sustainability, sensory impact, and aging potential. There were present research gaps – particularly regarding long term aging, microplastic release, and consumer perception. </w:t>
      </w:r>
      <w:r w:rsidR="00860CDD">
        <w:rPr>
          <w:rFonts w:ascii="Times New Roman" w:hAnsi="Times New Roman" w:cs="Times New Roman"/>
        </w:rPr>
        <w:t xml:space="preserve">Our key findings follow. </w:t>
      </w:r>
    </w:p>
    <w:p w14:paraId="135F97B0" w14:textId="77777777" w:rsidR="00860CDD" w:rsidRPr="00860CDD" w:rsidRDefault="00860CDD" w:rsidP="00860CDD">
      <w:pPr>
        <w:spacing w:line="480" w:lineRule="auto"/>
        <w:ind w:firstLine="720"/>
        <w:rPr>
          <w:rFonts w:ascii="Times New Roman" w:hAnsi="Times New Roman" w:cs="Times New Roman"/>
        </w:rPr>
      </w:pPr>
      <w:r w:rsidRPr="00860CDD">
        <w:rPr>
          <w:rFonts w:ascii="Times New Roman" w:hAnsi="Times New Roman" w:cs="Times New Roman"/>
        </w:rPr>
        <w:t>Natural cork remains the preferred closure for wines intended for aging, supported by its established track record across decades of cellaring. However, cork presents ongoing challenges. Its oxygen transmission rate variability is wide, ranging from 0.5 to 10 μg O₂/day, and TCA contamination rates persist at approximately 1–3%.</w:t>
      </w:r>
    </w:p>
    <w:p w14:paraId="554AFD66" w14:textId="77777777" w:rsidR="00860CDD" w:rsidRPr="00860CDD" w:rsidRDefault="00860CDD" w:rsidP="00860CDD">
      <w:pPr>
        <w:spacing w:line="480" w:lineRule="auto"/>
        <w:ind w:firstLine="720"/>
        <w:rPr>
          <w:rFonts w:ascii="Times New Roman" w:hAnsi="Times New Roman" w:cs="Times New Roman"/>
        </w:rPr>
      </w:pPr>
      <w:r w:rsidRPr="00860CDD">
        <w:rPr>
          <w:rFonts w:ascii="Times New Roman" w:hAnsi="Times New Roman" w:cs="Times New Roman"/>
        </w:rPr>
        <w:t>Screw caps equipped with Saran-tin or Saranex liners offer the most consistent oxygen transmission rates, between 0.05 and 0.3 μg O₂/day, with batch-to-batch variation rarely exceeding ±10%. This consistency has made screw caps increasingly favored for aromatic white wines and early-drinking styles. Technical closures such as Diam have seen rapid expansion by providing TCA-free performance with controlled oxygen ingress.</w:t>
      </w:r>
    </w:p>
    <w:p w14:paraId="38E81051" w14:textId="77777777" w:rsidR="00860CDD" w:rsidRPr="00860CDD" w:rsidRDefault="00860CDD" w:rsidP="00860CDD">
      <w:pPr>
        <w:spacing w:line="480" w:lineRule="auto"/>
        <w:ind w:firstLine="720"/>
        <w:rPr>
          <w:rFonts w:ascii="Times New Roman" w:hAnsi="Times New Roman" w:cs="Times New Roman"/>
        </w:rPr>
      </w:pPr>
      <w:r w:rsidRPr="00860CDD">
        <w:rPr>
          <w:rFonts w:ascii="Times New Roman" w:hAnsi="Times New Roman" w:cs="Times New Roman"/>
        </w:rPr>
        <w:lastRenderedPageBreak/>
        <w:t>Bag-in-box and canned wine formats deliver substantial environmental benefits, with carbon footprints 35–84% lower than traditional glass bottles. Despite these advantages, both formats face limitations in shelf life and consumer perception.</w:t>
      </w:r>
    </w:p>
    <w:p w14:paraId="39C6BA3C" w14:textId="77777777" w:rsidR="00860CDD" w:rsidRDefault="00860CDD" w:rsidP="00860CDD">
      <w:pPr>
        <w:spacing w:line="480" w:lineRule="auto"/>
        <w:ind w:firstLine="720"/>
        <w:rPr>
          <w:rFonts w:ascii="Times New Roman" w:hAnsi="Times New Roman" w:cs="Times New Roman"/>
        </w:rPr>
      </w:pPr>
      <w:r w:rsidRPr="00860CDD">
        <w:rPr>
          <w:rFonts w:ascii="Times New Roman" w:hAnsi="Times New Roman" w:cs="Times New Roman"/>
        </w:rPr>
        <w:t>Emerging innovations signal a forward-looking trajectory for the packaging landscape. NFC/RFID-enabled smart closures, biodegradable plant-based stoppers, and flat-bottle PET formats point toward packaging that integrates digital traceability, sustainability, and precision oxygen management. However, significant research gaps persist. Long-term aging studies under alternative closures exceeding fifteen years remain limited. Questions surrounding microplastic leaching from synthetic materials and the full lifecycle impacts of novel packaging formats have yet to be thoroughly addressed.</w:t>
      </w:r>
    </w:p>
    <w:p w14:paraId="252960EF" w14:textId="577C7735" w:rsidR="00826645" w:rsidRPr="00860CDD" w:rsidRDefault="00826645" w:rsidP="00860CDD">
      <w:pPr>
        <w:spacing w:line="480" w:lineRule="auto"/>
        <w:ind w:firstLine="720"/>
        <w:rPr>
          <w:rFonts w:ascii="Times New Roman" w:hAnsi="Times New Roman" w:cs="Times New Roman"/>
        </w:rPr>
      </w:pPr>
      <w:r>
        <w:rPr>
          <w:rFonts w:ascii="Times New Roman" w:hAnsi="Times New Roman" w:cs="Times New Roman"/>
        </w:rPr>
        <w:t xml:space="preserve">Overall, this was an enjoyable and educational project we were happy to work on. We enjoyed the opportunity to explore a component of the wine industry in more depth. This research will inform our own future wine purchases. We may favor the natural cork for more expensive, vintaged wines. But we will not discount the advantages of the other methods, especially when that wine is planned to be purchased and consumed in a relatively short window. We may elect to support the more environmentally friendly methods in these situations, to encourage their growth and future improvements to their technology.  </w:t>
      </w:r>
    </w:p>
    <w:p w14:paraId="57F98119" w14:textId="32C386E7" w:rsidR="0067030C" w:rsidRPr="002455D5" w:rsidRDefault="002455D5" w:rsidP="002455D5">
      <w:pPr>
        <w:spacing w:line="480" w:lineRule="auto"/>
        <w:ind w:firstLine="720"/>
        <w:rPr>
          <w:rFonts w:ascii="Times New Roman" w:hAnsi="Times New Roman" w:cs="Times New Roman"/>
        </w:rPr>
      </w:pPr>
      <w:r>
        <w:rPr>
          <w:rFonts w:ascii="Times New Roman" w:hAnsi="Times New Roman" w:cs="Times New Roman"/>
        </w:rPr>
        <w:tab/>
      </w:r>
      <w:r w:rsidR="0067030C">
        <w:rPr>
          <w:i/>
          <w:iCs/>
          <w:sz w:val="22"/>
          <w:szCs w:val="22"/>
        </w:rPr>
        <w:br w:type="page"/>
      </w:r>
    </w:p>
    <w:p w14:paraId="1C811E29" w14:textId="6AEBCEB0" w:rsidR="0067030C" w:rsidRPr="0067030C" w:rsidRDefault="0067030C" w:rsidP="0067030C">
      <w:pPr>
        <w:pStyle w:val="Title"/>
        <w:jc w:val="center"/>
        <w:rPr>
          <w:b/>
          <w:bCs/>
          <w:sz w:val="36"/>
          <w:szCs w:val="36"/>
        </w:rPr>
      </w:pPr>
      <w:r w:rsidRPr="0067030C">
        <w:rPr>
          <w:b/>
          <w:bCs/>
          <w:sz w:val="36"/>
          <w:szCs w:val="36"/>
        </w:rPr>
        <w:lastRenderedPageBreak/>
        <w:t>Works Cited</w:t>
      </w:r>
    </w:p>
    <w:p w14:paraId="1E9ED85E" w14:textId="77777777" w:rsidR="0067030C" w:rsidRPr="0067030C" w:rsidRDefault="0067030C" w:rsidP="0067030C">
      <w:pPr>
        <w:spacing w:after="80" w:line="480" w:lineRule="auto"/>
        <w:ind w:left="480" w:hanging="480"/>
        <w:rPr>
          <w:rFonts w:ascii="Times New Roman" w:hAnsi="Times New Roman" w:cs="Times New Roman"/>
          <w:sz w:val="32"/>
          <w:szCs w:val="32"/>
        </w:rPr>
      </w:pPr>
      <w:r w:rsidRPr="0067030C">
        <w:rPr>
          <w:rFonts w:ascii="Times New Roman" w:hAnsi="Times New Roman" w:cs="Times New Roman"/>
        </w:rPr>
        <w:t>Bekkerman, Anton, and Gary W. Brester. “Don’t Judge a Wine by Its Closure: Price Premiums for Corks in the U.S. Wine Market.” Journal of Wine Economics, vol. 14, no. 1, 2019, pp. 1–20.</w:t>
      </w:r>
    </w:p>
    <w:p w14:paraId="4EDF4299" w14:textId="77777777" w:rsidR="0067030C" w:rsidRPr="0067030C" w:rsidRDefault="0067030C" w:rsidP="0067030C">
      <w:pPr>
        <w:spacing w:after="80" w:line="480" w:lineRule="auto"/>
        <w:ind w:left="480" w:hanging="480"/>
        <w:rPr>
          <w:rFonts w:ascii="Times New Roman" w:hAnsi="Times New Roman" w:cs="Times New Roman"/>
          <w:sz w:val="32"/>
          <w:szCs w:val="32"/>
        </w:rPr>
      </w:pPr>
      <w:r w:rsidRPr="0067030C">
        <w:rPr>
          <w:rFonts w:ascii="Times New Roman" w:hAnsi="Times New Roman" w:cs="Times New Roman"/>
        </w:rPr>
        <w:t>Godden, Peter, et al. “Wine Bottle Closures: Physical Characteristics and Effect on Composition and Sensory Properties of a Semillon Wine. 1. Performance up to 20 Months Post-Bottling.” Australian Journal of Grape and Wine Research, vol. 7, no. 2, 2001, pp. 64–105.</w:t>
      </w:r>
    </w:p>
    <w:p w14:paraId="660AC71D" w14:textId="77777777" w:rsidR="0067030C" w:rsidRPr="0067030C" w:rsidRDefault="0067030C" w:rsidP="0067030C">
      <w:pPr>
        <w:spacing w:after="80" w:line="480" w:lineRule="auto"/>
        <w:ind w:left="480" w:hanging="480"/>
        <w:rPr>
          <w:rFonts w:ascii="Times New Roman" w:hAnsi="Times New Roman" w:cs="Times New Roman"/>
          <w:sz w:val="32"/>
          <w:szCs w:val="32"/>
        </w:rPr>
      </w:pPr>
      <w:r w:rsidRPr="0067030C">
        <w:rPr>
          <w:rFonts w:ascii="Times New Roman" w:hAnsi="Times New Roman" w:cs="Times New Roman"/>
        </w:rPr>
        <w:t>Lopes, Paulo, et al. “Oxygen Transmission through Different Closures into Wine Bottles.” Journal of Agricultural and Food Chemistry, vol. 53, no. 18, 2005, pp. 6967–6973.</w:t>
      </w:r>
    </w:p>
    <w:p w14:paraId="46859414" w14:textId="77777777" w:rsidR="0067030C" w:rsidRPr="0067030C" w:rsidRDefault="0067030C" w:rsidP="0067030C">
      <w:pPr>
        <w:spacing w:after="80" w:line="480" w:lineRule="auto"/>
        <w:ind w:left="480" w:hanging="480"/>
        <w:rPr>
          <w:rFonts w:ascii="Times New Roman" w:hAnsi="Times New Roman" w:cs="Times New Roman"/>
          <w:sz w:val="32"/>
          <w:szCs w:val="32"/>
        </w:rPr>
      </w:pPr>
      <w:r w:rsidRPr="0067030C">
        <w:rPr>
          <w:rFonts w:ascii="Times New Roman" w:hAnsi="Times New Roman" w:cs="Times New Roman"/>
        </w:rPr>
        <w:t>Skouroumounis, George, et al. “A Wine Bottle Closure Trial: The Effect of Closure Type on Wine Composition after 5 Years.” Australian Wine Research Institute, Technical Report, 2005.</w:t>
      </w:r>
    </w:p>
    <w:p w14:paraId="0D8E965D" w14:textId="77777777" w:rsidR="0067030C" w:rsidRPr="0067030C" w:rsidRDefault="0067030C" w:rsidP="0067030C">
      <w:pPr>
        <w:spacing w:after="80" w:line="480" w:lineRule="auto"/>
        <w:ind w:left="480" w:hanging="480"/>
        <w:rPr>
          <w:rFonts w:ascii="Times New Roman" w:hAnsi="Times New Roman" w:cs="Times New Roman"/>
          <w:sz w:val="32"/>
          <w:szCs w:val="32"/>
        </w:rPr>
      </w:pPr>
      <w:r w:rsidRPr="0067030C">
        <w:rPr>
          <w:rFonts w:ascii="Times New Roman" w:hAnsi="Times New Roman" w:cs="Times New Roman"/>
        </w:rPr>
        <w:t>Sullivan, Sean P. “Use of DIAM and Related Closures Surge; Cork Taint Remains Stubborn.” Northwest Wine Report, 22 May 2024.</w:t>
      </w:r>
    </w:p>
    <w:p w14:paraId="322B321F" w14:textId="77777777" w:rsidR="0067030C" w:rsidRPr="0067030C" w:rsidRDefault="0067030C" w:rsidP="0067030C">
      <w:pPr>
        <w:spacing w:after="80" w:line="480" w:lineRule="auto"/>
        <w:ind w:left="480" w:hanging="480"/>
        <w:rPr>
          <w:rFonts w:ascii="Times New Roman" w:hAnsi="Times New Roman" w:cs="Times New Roman"/>
          <w:sz w:val="32"/>
          <w:szCs w:val="32"/>
        </w:rPr>
      </w:pPr>
      <w:r w:rsidRPr="0067030C">
        <w:rPr>
          <w:rFonts w:ascii="Times New Roman" w:hAnsi="Times New Roman" w:cs="Times New Roman"/>
        </w:rPr>
        <w:t>Sullivan, Sean P. “How Big of an Issue Is Cork Taint, Really?” Northwest Wine Report, 25 Feb. 2023.</w:t>
      </w:r>
    </w:p>
    <w:p w14:paraId="3E2E9BEA" w14:textId="77777777" w:rsidR="0067030C" w:rsidRPr="0067030C" w:rsidRDefault="0067030C" w:rsidP="0067030C">
      <w:pPr>
        <w:spacing w:after="80" w:line="480" w:lineRule="auto"/>
        <w:ind w:left="480" w:hanging="480"/>
        <w:rPr>
          <w:rFonts w:ascii="Times New Roman" w:hAnsi="Times New Roman" w:cs="Times New Roman"/>
          <w:sz w:val="32"/>
          <w:szCs w:val="32"/>
        </w:rPr>
      </w:pPr>
      <w:r w:rsidRPr="0067030C">
        <w:rPr>
          <w:rFonts w:ascii="Times New Roman" w:hAnsi="Times New Roman" w:cs="Times New Roman"/>
        </w:rPr>
        <w:t>Zhou, H., et al. “Cork Taint of Wines: The Formation, Analysis, and Control of 2,4,6-Trichloroanisole.” Food Innovation and Advances, vol. 3, no. 2, 2024, pp. 111–125. doi:10.48130/fia-0024-0011.</w:t>
      </w:r>
    </w:p>
    <w:p w14:paraId="1D2032E2" w14:textId="77777777" w:rsidR="0067030C" w:rsidRPr="0067030C" w:rsidRDefault="0067030C" w:rsidP="0067030C">
      <w:pPr>
        <w:spacing w:after="80" w:line="480" w:lineRule="auto"/>
        <w:ind w:left="480" w:hanging="480"/>
        <w:rPr>
          <w:rFonts w:ascii="Times New Roman" w:hAnsi="Times New Roman" w:cs="Times New Roman"/>
          <w:sz w:val="32"/>
          <w:szCs w:val="32"/>
        </w:rPr>
      </w:pPr>
      <w:r w:rsidRPr="0067030C">
        <w:rPr>
          <w:rFonts w:ascii="Times New Roman" w:hAnsi="Times New Roman" w:cs="Times New Roman"/>
        </w:rPr>
        <w:t>Sundell, Hans A., et al. “Bag-in-Box Packaging for Wine: Analysis of Transport Stress in Barrier Films.” Packaging Technology and Science, vol. 5, no. 6, 1992, pp. 307–313.</w:t>
      </w:r>
    </w:p>
    <w:p w14:paraId="774CB787" w14:textId="77777777" w:rsidR="0067030C" w:rsidRPr="0067030C" w:rsidRDefault="0067030C" w:rsidP="0067030C">
      <w:pPr>
        <w:spacing w:after="80" w:line="480" w:lineRule="auto"/>
        <w:ind w:left="480" w:hanging="480"/>
        <w:rPr>
          <w:rFonts w:ascii="Times New Roman" w:hAnsi="Times New Roman" w:cs="Times New Roman"/>
          <w:sz w:val="32"/>
          <w:szCs w:val="32"/>
        </w:rPr>
      </w:pPr>
      <w:r w:rsidRPr="0067030C">
        <w:rPr>
          <w:rFonts w:ascii="Times New Roman" w:hAnsi="Times New Roman" w:cs="Times New Roman"/>
        </w:rPr>
        <w:lastRenderedPageBreak/>
        <w:t>Ghidossi, Rémy, et al. “The Influence of Packaging on Wine Conservation.” Journal International des Sciences de la Vigne et du Vin, 2012.</w:t>
      </w:r>
    </w:p>
    <w:p w14:paraId="5529B56C" w14:textId="77777777" w:rsidR="0067030C" w:rsidRPr="0067030C" w:rsidRDefault="0067030C" w:rsidP="0067030C">
      <w:pPr>
        <w:spacing w:after="80" w:line="480" w:lineRule="auto"/>
        <w:ind w:left="480" w:hanging="480"/>
        <w:rPr>
          <w:rFonts w:ascii="Times New Roman" w:hAnsi="Times New Roman" w:cs="Times New Roman"/>
          <w:sz w:val="32"/>
          <w:szCs w:val="32"/>
        </w:rPr>
      </w:pPr>
      <w:r w:rsidRPr="0067030C">
        <w:rPr>
          <w:rFonts w:ascii="Times New Roman" w:hAnsi="Times New Roman" w:cs="Times New Roman"/>
        </w:rPr>
        <w:t>Australian Wine Research Institute (AWRI). “Oxygen Transmission Rate.” Technical Note, 2019. awri.com.au.</w:t>
      </w:r>
    </w:p>
    <w:p w14:paraId="3C21C1FB" w14:textId="77777777" w:rsidR="0067030C" w:rsidRPr="0067030C" w:rsidRDefault="0067030C" w:rsidP="0067030C">
      <w:pPr>
        <w:spacing w:after="80" w:line="480" w:lineRule="auto"/>
        <w:ind w:left="480" w:hanging="480"/>
        <w:rPr>
          <w:rFonts w:ascii="Times New Roman" w:hAnsi="Times New Roman" w:cs="Times New Roman"/>
          <w:sz w:val="32"/>
          <w:szCs w:val="32"/>
        </w:rPr>
      </w:pPr>
      <w:r w:rsidRPr="0067030C">
        <w:rPr>
          <w:rFonts w:ascii="Times New Roman" w:hAnsi="Times New Roman" w:cs="Times New Roman"/>
        </w:rPr>
        <w:t>Cork Quality Council. “TCA Testing Data and Reports.” Multiple years. corkqc.com.</w:t>
      </w:r>
    </w:p>
    <w:p w14:paraId="761B9A8A" w14:textId="77777777" w:rsidR="0067030C" w:rsidRPr="0067030C" w:rsidRDefault="0067030C" w:rsidP="0067030C">
      <w:pPr>
        <w:spacing w:after="80" w:line="480" w:lineRule="auto"/>
        <w:ind w:left="480" w:hanging="480"/>
        <w:rPr>
          <w:rFonts w:ascii="Times New Roman" w:hAnsi="Times New Roman" w:cs="Times New Roman"/>
          <w:sz w:val="32"/>
          <w:szCs w:val="32"/>
        </w:rPr>
      </w:pPr>
      <w:r w:rsidRPr="0067030C">
        <w:rPr>
          <w:rFonts w:ascii="Times New Roman" w:hAnsi="Times New Roman" w:cs="Times New Roman"/>
        </w:rPr>
        <w:t>Scozzafava, Gabriele, et al. “Beyond Bottles: Exploring Consumer Perceptions and Preferences for Bag-in-Box Wine Packaging.” Australian Journal of Grape and Wine Research, vol. 2024, 2024, article 9946341.</w:t>
      </w:r>
    </w:p>
    <w:p w14:paraId="1C04909A" w14:textId="77777777" w:rsidR="0067030C" w:rsidRPr="0067030C" w:rsidRDefault="0067030C" w:rsidP="0067030C">
      <w:pPr>
        <w:spacing w:after="80" w:line="480" w:lineRule="auto"/>
        <w:ind w:left="480" w:hanging="480"/>
        <w:rPr>
          <w:rFonts w:ascii="Times New Roman" w:hAnsi="Times New Roman" w:cs="Times New Roman"/>
          <w:sz w:val="32"/>
          <w:szCs w:val="32"/>
        </w:rPr>
      </w:pPr>
      <w:r w:rsidRPr="0067030C">
        <w:rPr>
          <w:rFonts w:ascii="Times New Roman" w:hAnsi="Times New Roman" w:cs="Times New Roman"/>
        </w:rPr>
        <w:t>Fasano, E., et al. “Bisphenol A Release from Food and Beverage Containers.” Environmental Health Perspectives, 2015.</w:t>
      </w:r>
    </w:p>
    <w:p w14:paraId="762C3025" w14:textId="77777777" w:rsidR="0067030C" w:rsidRPr="0067030C" w:rsidRDefault="0067030C" w:rsidP="0067030C">
      <w:pPr>
        <w:spacing w:after="80" w:line="480" w:lineRule="auto"/>
        <w:ind w:left="480" w:hanging="480"/>
        <w:rPr>
          <w:rFonts w:ascii="Times New Roman" w:hAnsi="Times New Roman" w:cs="Times New Roman"/>
          <w:sz w:val="32"/>
          <w:szCs w:val="32"/>
        </w:rPr>
      </w:pPr>
      <w:r w:rsidRPr="0067030C">
        <w:rPr>
          <w:rFonts w:ascii="Times New Roman" w:hAnsi="Times New Roman" w:cs="Times New Roman"/>
        </w:rPr>
        <w:t>Butzke, Christian. “Cork Taint Prevalence at the Indy Wine Competition.” Vineyard and Winery Management, 2009.</w:t>
      </w:r>
    </w:p>
    <w:p w14:paraId="183FF13B" w14:textId="77777777" w:rsidR="0067030C" w:rsidRPr="0067030C" w:rsidRDefault="0067030C" w:rsidP="0067030C">
      <w:pPr>
        <w:spacing w:after="80" w:line="480" w:lineRule="auto"/>
        <w:ind w:left="480" w:hanging="480"/>
        <w:rPr>
          <w:rFonts w:ascii="Times New Roman" w:hAnsi="Times New Roman" w:cs="Times New Roman"/>
          <w:sz w:val="32"/>
          <w:szCs w:val="32"/>
        </w:rPr>
      </w:pPr>
      <w:r w:rsidRPr="0067030C">
        <w:rPr>
          <w:rFonts w:ascii="Times New Roman" w:hAnsi="Times New Roman" w:cs="Times New Roman"/>
        </w:rPr>
        <w:t>Nicolau, Laura. “The Influence of Closure on the Aromatic Composition of Sauvignon Blanc.” New Zealand Winegrowers, 2005.</w:t>
      </w:r>
    </w:p>
    <w:p w14:paraId="68162C96" w14:textId="77777777" w:rsidR="0067030C" w:rsidRPr="0067030C" w:rsidRDefault="0067030C" w:rsidP="0067030C">
      <w:pPr>
        <w:spacing w:after="80" w:line="480" w:lineRule="auto"/>
        <w:ind w:left="480" w:hanging="480"/>
        <w:rPr>
          <w:rFonts w:ascii="Times New Roman" w:hAnsi="Times New Roman" w:cs="Times New Roman"/>
          <w:sz w:val="32"/>
          <w:szCs w:val="32"/>
        </w:rPr>
      </w:pPr>
      <w:r w:rsidRPr="0067030C">
        <w:rPr>
          <w:rFonts w:ascii="Times New Roman" w:hAnsi="Times New Roman" w:cs="Times New Roman"/>
        </w:rPr>
        <w:t>Giovanelli, Gabriella, and Oreste Brenna. “Evolution of Some Phenolic Components, Carotenoids and Chlorophylls in Wine.” European Food Research and Technology, 2007.</w:t>
      </w:r>
    </w:p>
    <w:p w14:paraId="35B973A0" w14:textId="77777777" w:rsidR="0067030C" w:rsidRPr="0067030C" w:rsidRDefault="0067030C" w:rsidP="0067030C">
      <w:pPr>
        <w:spacing w:after="80" w:line="480" w:lineRule="auto"/>
        <w:ind w:left="480" w:hanging="480"/>
        <w:rPr>
          <w:rFonts w:ascii="Times New Roman" w:hAnsi="Times New Roman" w:cs="Times New Roman"/>
          <w:sz w:val="32"/>
          <w:szCs w:val="32"/>
        </w:rPr>
      </w:pPr>
      <w:r w:rsidRPr="0067030C">
        <w:rPr>
          <w:rFonts w:ascii="Times New Roman" w:hAnsi="Times New Roman" w:cs="Times New Roman"/>
        </w:rPr>
        <w:t>International Organisation of Vine and Wine (OIV). “State of the World Vine and Wine Sector.” OIV Annual Reports, multiple years.</w:t>
      </w:r>
    </w:p>
    <w:p w14:paraId="269581A4" w14:textId="77777777" w:rsidR="0067030C" w:rsidRPr="0067030C" w:rsidRDefault="0067030C" w:rsidP="0067030C">
      <w:pPr>
        <w:spacing w:after="80" w:line="480" w:lineRule="auto"/>
        <w:ind w:left="480" w:hanging="480"/>
        <w:rPr>
          <w:rFonts w:ascii="Times New Roman" w:hAnsi="Times New Roman" w:cs="Times New Roman"/>
          <w:sz w:val="32"/>
          <w:szCs w:val="32"/>
        </w:rPr>
      </w:pPr>
      <w:r w:rsidRPr="0067030C">
        <w:rPr>
          <w:rFonts w:ascii="Times New Roman" w:hAnsi="Times New Roman" w:cs="Times New Roman"/>
        </w:rPr>
        <w:t>Sustainable Wine Roundtable. “Lifecycle Assessment Meta-Analysis of Wine Packaging.” Technical Report, 2023.</w:t>
      </w:r>
    </w:p>
    <w:p w14:paraId="509B331D" w14:textId="77777777" w:rsidR="0067030C" w:rsidRPr="0067030C" w:rsidRDefault="0067030C" w:rsidP="0067030C">
      <w:pPr>
        <w:spacing w:after="80" w:line="480" w:lineRule="auto"/>
        <w:ind w:left="480" w:hanging="480"/>
        <w:rPr>
          <w:rFonts w:ascii="Times New Roman" w:hAnsi="Times New Roman" w:cs="Times New Roman"/>
          <w:sz w:val="32"/>
          <w:szCs w:val="32"/>
        </w:rPr>
      </w:pPr>
      <w:r w:rsidRPr="0067030C">
        <w:rPr>
          <w:rFonts w:ascii="Times New Roman" w:hAnsi="Times New Roman" w:cs="Times New Roman"/>
        </w:rPr>
        <w:t>California Wine Institute. “Sustainability Study: Carbon Footprint of Wine Production.” 2020.</w:t>
      </w:r>
    </w:p>
    <w:p w14:paraId="6D04C4C3" w14:textId="77777777" w:rsidR="0067030C" w:rsidRPr="0067030C" w:rsidRDefault="0067030C" w:rsidP="0067030C">
      <w:pPr>
        <w:spacing w:after="80" w:line="480" w:lineRule="auto"/>
        <w:ind w:left="480" w:hanging="480"/>
        <w:rPr>
          <w:rFonts w:ascii="Times New Roman" w:hAnsi="Times New Roman" w:cs="Times New Roman"/>
          <w:sz w:val="32"/>
          <w:szCs w:val="32"/>
        </w:rPr>
      </w:pPr>
      <w:r w:rsidRPr="0067030C">
        <w:rPr>
          <w:rFonts w:ascii="Times New Roman" w:hAnsi="Times New Roman" w:cs="Times New Roman"/>
        </w:rPr>
        <w:t>Frugalpac / Intertek. “Lifecycle Assessment of the Frugal Bottle.” Independent Report, 2019.</w:t>
      </w:r>
    </w:p>
    <w:p w14:paraId="6AFD55E3" w14:textId="77777777" w:rsidR="0067030C" w:rsidRPr="0067030C" w:rsidRDefault="0067030C" w:rsidP="0067030C">
      <w:pPr>
        <w:spacing w:after="80" w:line="480" w:lineRule="auto"/>
        <w:ind w:left="480" w:hanging="480"/>
        <w:rPr>
          <w:rFonts w:ascii="Times New Roman" w:hAnsi="Times New Roman" w:cs="Times New Roman"/>
          <w:sz w:val="32"/>
          <w:szCs w:val="32"/>
        </w:rPr>
      </w:pPr>
      <w:r w:rsidRPr="0067030C">
        <w:rPr>
          <w:rFonts w:ascii="Times New Roman" w:hAnsi="Times New Roman" w:cs="Times New Roman"/>
        </w:rPr>
        <w:lastRenderedPageBreak/>
        <w:t>Pollnitz, Alan, et al. “Incidence of 2,4,6-Trichloroanisole in a Range of Cork Products.” Australian Journal of Grape and Wine Research, vol. 2, 1996, pp. 144–151.</w:t>
      </w:r>
    </w:p>
    <w:p w14:paraId="5B351621" w14:textId="77777777" w:rsidR="0067030C" w:rsidRPr="0067030C" w:rsidRDefault="0067030C" w:rsidP="0067030C"/>
    <w:sectPr w:rsidR="0067030C" w:rsidRPr="0067030C">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DFED6" w14:textId="77777777" w:rsidR="00AF00E0" w:rsidRDefault="00AF00E0" w:rsidP="00A73838">
      <w:pPr>
        <w:spacing w:after="0" w:line="240" w:lineRule="auto"/>
      </w:pPr>
      <w:r>
        <w:separator/>
      </w:r>
    </w:p>
  </w:endnote>
  <w:endnote w:type="continuationSeparator" w:id="0">
    <w:p w14:paraId="11FBF809" w14:textId="77777777" w:rsidR="00AF00E0" w:rsidRDefault="00AF00E0" w:rsidP="00A738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364B3" w14:textId="77777777" w:rsidR="002455D5" w:rsidRDefault="002455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66213" w14:textId="77777777" w:rsidR="002455D5" w:rsidRDefault="002455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460BC" w14:textId="77777777" w:rsidR="002455D5" w:rsidRDefault="002455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D95D6" w14:textId="77777777" w:rsidR="00AF00E0" w:rsidRDefault="00AF00E0" w:rsidP="00A73838">
      <w:pPr>
        <w:spacing w:after="0" w:line="240" w:lineRule="auto"/>
      </w:pPr>
      <w:r>
        <w:separator/>
      </w:r>
    </w:p>
  </w:footnote>
  <w:footnote w:type="continuationSeparator" w:id="0">
    <w:p w14:paraId="33C7AE78" w14:textId="77777777" w:rsidR="00AF00E0" w:rsidRDefault="00AF00E0" w:rsidP="00A738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A6BE9" w14:textId="77777777" w:rsidR="002455D5" w:rsidRDefault="002455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164562"/>
      <w:docPartObj>
        <w:docPartGallery w:val="Page Numbers (Top of Page)"/>
        <w:docPartUnique/>
      </w:docPartObj>
    </w:sdtPr>
    <w:sdtEndPr>
      <w:rPr>
        <w:noProof/>
      </w:rPr>
    </w:sdtEndPr>
    <w:sdtContent>
      <w:p w14:paraId="2FF9198B" w14:textId="29D175C8" w:rsidR="00A73838" w:rsidRDefault="00A73838" w:rsidP="00A73838">
        <w:pPr>
          <w:pStyle w:val="Header"/>
          <w:jc w:val="right"/>
        </w:pPr>
        <w:r>
          <w:t xml:space="preserve">Balmer, Payne </w:t>
        </w:r>
        <w:r>
          <w:fldChar w:fldCharType="begin"/>
        </w:r>
        <w:r>
          <w:instrText xml:space="preserve"> PAGE   \* MERGEFORMAT </w:instrText>
        </w:r>
        <w:r>
          <w:fldChar w:fldCharType="separate"/>
        </w:r>
        <w:r>
          <w:rPr>
            <w:noProof/>
          </w:rPr>
          <w:t>2</w:t>
        </w:r>
        <w:r>
          <w:rPr>
            <w:noProof/>
          </w:rPr>
          <w:fldChar w:fldCharType="end"/>
        </w:r>
      </w:p>
    </w:sdtContent>
  </w:sdt>
  <w:p w14:paraId="72A1BDA8" w14:textId="77777777" w:rsidR="00A73838" w:rsidRDefault="00A738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A41DB" w14:textId="77777777" w:rsidR="002455D5" w:rsidRDefault="002455D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838"/>
    <w:rsid w:val="002455D5"/>
    <w:rsid w:val="00350E42"/>
    <w:rsid w:val="003A5D5E"/>
    <w:rsid w:val="00411E2A"/>
    <w:rsid w:val="004266BB"/>
    <w:rsid w:val="00532818"/>
    <w:rsid w:val="0067030C"/>
    <w:rsid w:val="007070FB"/>
    <w:rsid w:val="00826645"/>
    <w:rsid w:val="00860CDD"/>
    <w:rsid w:val="008A7F75"/>
    <w:rsid w:val="009071C0"/>
    <w:rsid w:val="00A73838"/>
    <w:rsid w:val="00AA7325"/>
    <w:rsid w:val="00AF00E0"/>
    <w:rsid w:val="00B94F1A"/>
    <w:rsid w:val="00C3693C"/>
    <w:rsid w:val="00E65993"/>
    <w:rsid w:val="00F76F87"/>
    <w:rsid w:val="00FD7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6C6F2"/>
  <w15:chartTrackingRefBased/>
  <w15:docId w15:val="{ADEBF4DF-1CBA-44AA-A6A7-0175626FE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8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38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38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38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38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38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8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8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8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8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38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38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38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38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38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8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8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838"/>
    <w:rPr>
      <w:rFonts w:eastAsiaTheme="majorEastAsia" w:cstheme="majorBidi"/>
      <w:color w:val="272727" w:themeColor="text1" w:themeTint="D8"/>
    </w:rPr>
  </w:style>
  <w:style w:type="paragraph" w:styleId="Title">
    <w:name w:val="Title"/>
    <w:basedOn w:val="Normal"/>
    <w:next w:val="Normal"/>
    <w:link w:val="TitleChar"/>
    <w:uiPriority w:val="10"/>
    <w:qFormat/>
    <w:rsid w:val="00A738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8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8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8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838"/>
    <w:pPr>
      <w:spacing w:before="160"/>
      <w:jc w:val="center"/>
    </w:pPr>
    <w:rPr>
      <w:i/>
      <w:iCs/>
      <w:color w:val="404040" w:themeColor="text1" w:themeTint="BF"/>
    </w:rPr>
  </w:style>
  <w:style w:type="character" w:customStyle="1" w:styleId="QuoteChar">
    <w:name w:val="Quote Char"/>
    <w:basedOn w:val="DefaultParagraphFont"/>
    <w:link w:val="Quote"/>
    <w:uiPriority w:val="29"/>
    <w:rsid w:val="00A73838"/>
    <w:rPr>
      <w:i/>
      <w:iCs/>
      <w:color w:val="404040" w:themeColor="text1" w:themeTint="BF"/>
    </w:rPr>
  </w:style>
  <w:style w:type="paragraph" w:styleId="ListParagraph">
    <w:name w:val="List Paragraph"/>
    <w:basedOn w:val="Normal"/>
    <w:uiPriority w:val="34"/>
    <w:qFormat/>
    <w:rsid w:val="00A73838"/>
    <w:pPr>
      <w:ind w:left="720"/>
      <w:contextualSpacing/>
    </w:pPr>
  </w:style>
  <w:style w:type="character" w:styleId="IntenseEmphasis">
    <w:name w:val="Intense Emphasis"/>
    <w:basedOn w:val="DefaultParagraphFont"/>
    <w:uiPriority w:val="21"/>
    <w:qFormat/>
    <w:rsid w:val="00A73838"/>
    <w:rPr>
      <w:i/>
      <w:iCs/>
      <w:color w:val="0F4761" w:themeColor="accent1" w:themeShade="BF"/>
    </w:rPr>
  </w:style>
  <w:style w:type="paragraph" w:styleId="IntenseQuote">
    <w:name w:val="Intense Quote"/>
    <w:basedOn w:val="Normal"/>
    <w:next w:val="Normal"/>
    <w:link w:val="IntenseQuoteChar"/>
    <w:uiPriority w:val="30"/>
    <w:qFormat/>
    <w:rsid w:val="00A738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3838"/>
    <w:rPr>
      <w:i/>
      <w:iCs/>
      <w:color w:val="0F4761" w:themeColor="accent1" w:themeShade="BF"/>
    </w:rPr>
  </w:style>
  <w:style w:type="character" w:styleId="IntenseReference">
    <w:name w:val="Intense Reference"/>
    <w:basedOn w:val="DefaultParagraphFont"/>
    <w:uiPriority w:val="32"/>
    <w:qFormat/>
    <w:rsid w:val="00A73838"/>
    <w:rPr>
      <w:b/>
      <w:bCs/>
      <w:smallCaps/>
      <w:color w:val="0F4761" w:themeColor="accent1" w:themeShade="BF"/>
      <w:spacing w:val="5"/>
    </w:rPr>
  </w:style>
  <w:style w:type="paragraph" w:styleId="Header">
    <w:name w:val="header"/>
    <w:basedOn w:val="Normal"/>
    <w:link w:val="HeaderChar"/>
    <w:uiPriority w:val="99"/>
    <w:unhideWhenUsed/>
    <w:rsid w:val="00A738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3838"/>
  </w:style>
  <w:style w:type="paragraph" w:styleId="Footer">
    <w:name w:val="footer"/>
    <w:basedOn w:val="Normal"/>
    <w:link w:val="FooterChar"/>
    <w:uiPriority w:val="99"/>
    <w:unhideWhenUsed/>
    <w:rsid w:val="00A738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38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6</Pages>
  <Words>1176</Words>
  <Characters>6709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Chase Balmer</dc:creator>
  <cp:keywords/>
  <dc:description/>
  <cp:lastModifiedBy>Chase Balmer</cp:lastModifiedBy>
  <cp:revision>10</cp:revision>
  <dcterms:created xsi:type="dcterms:W3CDTF">2026-04-09T14:37:00Z</dcterms:created>
  <dcterms:modified xsi:type="dcterms:W3CDTF">2026-04-09T17:30:00Z</dcterms:modified>
</cp:coreProperties>
</file>