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3864"/>
          <w:sz w:val="48"/>
          <w:szCs w:val="48"/>
        </w:rPr>
        <w:t xml:space="preserve">Wine Packaging Methods and Their Impacts</w:t>
      </w:r>
    </w:p>
    <w:p>
      <w:pPr>
        <w:spacing w:after="120"/>
        <w:jc w:val="center"/>
      </w:pPr>
      <w:r>
        <w:rPr>
          <w:rFonts w:ascii="Calibri" w:cs="Calibri" w:eastAsia="Calibri" w:hAnsi="Calibri"/>
          <w:color w:val="4472C4"/>
          <w:sz w:val="28"/>
          <w:szCs w:val="28"/>
        </w:rPr>
        <w:t xml:space="preserve">Preservation, Sensory Quality, Economics, and Sustainability</w:t>
      </w:r>
    </w:p>
    <w:p>
      <w:pPr>
        <w:spacing w:after="80"/>
        <w:jc w:val="center"/>
      </w:pPr>
      <w:r>
        <w:rPr>
          <w:i/>
          <w:iCs/>
          <w:color w:val="666666"/>
          <w:sz w:val="24"/>
          <w:szCs w:val="24"/>
        </w:rPr>
        <w:t xml:space="preserve">A Comprehensive Academic Review</w:t>
      </w:r>
    </w:p>
    <w:p>
      <w:pPr>
        <w:spacing w:before="800"/>
      </w:pPr>
    </w:p>
    <w:p>
      <w:pPr>
        <w:spacing w:after="80"/>
        <w:jc w:val="center"/>
      </w:pPr>
      <w:r>
        <w:rPr>
          <w:color w:val="666666"/>
          <w:sz w:val="22"/>
          <w:szCs w:val="22"/>
        </w:rPr>
        <w:t xml:space="preserve">Prepared March 2026</w:t>
      </w:r>
    </w:p>
    <w:p>
      <w:pPr>
        <w:spacing w:after="80"/>
        <w:jc w:val="center"/>
      </w:pPr>
      <w:r>
        <w:rPr>
          <w:color w:val="666666"/>
          <w:sz w:val="22"/>
          <w:szCs w:val="22"/>
        </w:rPr>
        <w:t xml:space="preserve">Graduate Research Report</w:t>
      </w:r>
    </w:p>
    <w:p>
      <w:r>
        <w:br w:type="page"/>
      </w:r>
    </w:p>
    <w:p>
      <w:pPr>
        <w:pStyle w:val="Heading1"/>
        <w:spacing w:after="18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Executive Summary</w:t>
      </w:r>
    </w:p>
    <w:p>
      <w:pPr>
        <w:spacing w:after="140" w:line="276"/>
      </w:pPr>
      <w:r>
        <w:rPr>
          <w:sz w:val="22"/>
          <w:szCs w:val="22"/>
        </w:rPr>
        <w:t xml:space="preserve">The selection of wine packaging and closure systems represents one of the most consequential decisions in modern enology, with far-reaching implications for wine preservation, sensory quality, economic viability, and environmental sustainability. This report synthesizes peer-reviewed research, industry data, and lifecycle assessments to evaluate six principal packaging categories: natural cork, screw cap (Stelvin) closures, synthetic closures, technical and micro-agglomerated corks, bag-in-box systems, and aluminum cans. Each format is analyzed across five dimensions: preservation chemistry, sensory and flavor impact, economics, risks and controversies, and emerging research directions.</w:t>
      </w:r>
    </w:p>
    <w:p>
      <w:pPr>
        <w:spacing w:after="140" w:line="276"/>
      </w:pPr>
      <w:r>
        <w:rPr>
          <w:sz w:val="22"/>
          <w:szCs w:val="22"/>
        </w:rPr>
        <w:t xml:space="preserve">Key findings reveal that no single packaging solution optimally serves all wine styles and market segments. Natural cork remains the preferred closure for age-worthy wines due to its established track record over decades of cellaring, yet its oxygen transmission rate (OTR) variability—ranging from 0.5 to 10 μg O₂/day—and persistent TCA contamination rates of approximately 1–3% continue to present challenges. Screw caps with Saran-tin or Saranex liners deliver the most consistent OTR values (0.05–0.3 μg O₂/day) with batch-to-batch variation rarely exceeding ±10%, making them increasingly favored for aromatic white wines and early-drinking styles. Technical closures such as Diam have expanded rapidly by offering TCA-free performance with controlled oxygen ingress. Bag-in-box and canned wine formats deliver substantial environmental benefits—with carbon footprints 35–84% lower than glass bottles—but face limitations in shelf life and consumer perception.</w:t>
      </w:r>
    </w:p>
    <w:p>
      <w:pPr>
        <w:spacing w:after="140" w:line="276"/>
      </w:pPr>
      <w:r>
        <w:rPr>
          <w:sz w:val="22"/>
          <w:szCs w:val="22"/>
        </w:rPr>
        <w:t xml:space="preserve">Emerging innovations, including NFC/RFID-enabled smart closures, biodegradable plant-based stoppers, and flat-bottle PET formats, signal a trajectory toward packaging that integrates digital traceability, sustainability, and precision oxygen management. However, significant research gaps persist, particularly regarding long-term aging studies under alternative closures exceeding fifteen years, microplastic leaching from synthetic materials, and the full lifecycle impacts of novel packaging formats. This report identifies these gaps and proposes directions for future investigation.</w:t>
      </w:r>
    </w:p>
    <w:p>
      <w:r>
        <w:br w:type="page"/>
      </w:r>
    </w:p>
    <w:p>
      <w:pPr>
        <w:pStyle w:val="Heading1"/>
        <w:spacing w:after="180" w:before="360"/>
      </w:pPr>
      <w:r>
        <w:t xml:space="preserve">2. Methodology and Sources</w:t>
      </w:r>
    </w:p>
    <w:p>
      <w:pPr>
        <w:spacing w:after="140" w:line="276"/>
      </w:pPr>
      <w:r>
        <w:rPr>
          <w:sz w:val="22"/>
          <w:szCs w:val="22"/>
        </w:rPr>
        <w:t xml:space="preserve">This review was compiled through systematic examination of the peer-reviewed literature in enology, food science, and packaging engineering, supplemented by industry reports and lifecycle assessment data. Primary journal sources include the American Journal of Enology and Viticulture (AJEV), the Australian Journal of Grape and Wine Research (AJGWR), the Journal of Agricultural and Food Chemistry (JAFC), Food Chemistry, OENO One, and Packaging Technology and Science. Industry sources consulted include publications from the Australian Wine Research Institute (AWRI), the Cork Quality Council (CQC), the International Organisation of Vine and Wine (OIV), and the Sustainable Wine Roundtable.</w:t>
      </w:r>
    </w:p>
    <w:p>
      <w:pPr>
        <w:spacing w:after="140" w:line="276"/>
      </w:pPr>
      <w:r>
        <w:rPr>
          <w:sz w:val="22"/>
          <w:szCs w:val="22"/>
        </w:rPr>
        <w:t xml:space="preserve">The search strategy prioritized controlled studies comparing multiple closure types under identical conditions, longitudinal bottle-aging trials with chemical and sensory endpoints, and meta-analyses of packaging lifecycle impacts. Where direct experimental data were unavailable, the report draws upon expert consensus and industry technical documentation, noting these limitations explicitly. Cost data have been normalized where possible to common units (USD or AUD per thousand closures) but reflect significant regional and temporal variation. All claims are attributed to specific sources; areas of conflicting evidence or methodological limitation are flagged throughout.</w:t>
      </w:r>
    </w:p>
    <w:p>
      <w:r>
        <w:br w:type="page"/>
      </w:r>
    </w:p>
    <w:p>
      <w:pPr>
        <w:pStyle w:val="Heading1"/>
        <w:spacing w:after="180" w:before="360"/>
      </w:pPr>
      <w:r>
        <w:t xml:space="preserve">3. Natural Cork Closures</w:t>
      </w:r>
    </w:p>
    <w:p>
      <w:pPr>
        <w:pStyle w:val="Heading2"/>
        <w:spacing w:after="180" w:before="240"/>
      </w:pPr>
      <w:r>
        <w:t xml:space="preserve">3.1 Preservation and Chemistry</w:t>
      </w:r>
    </w:p>
    <w:p>
      <w:pPr>
        <w:spacing w:after="140" w:line="276"/>
      </w:pPr>
      <w:r>
        <w:rPr>
          <w:sz w:val="22"/>
          <w:szCs w:val="22"/>
        </w:rPr>
        <w:t xml:space="preserve">Natural cork derived from the bark of Quercus suber has served as the predominant wine closure for over 250 years. Its cellular structure—composed of approximately 200 million closed air cells per cubic centimeter—confers a unique combination of elasticity, compressibility, and gas permeability. The oxygen transmission rate of natural cork is widely cited at approximately 1 mg O₂ per year, though research demonstrates substantial variability. Studies by Lopes et al. (2005), published in the Journal of Agricultural and Food Chemistry, reported OTR values ranging from 0.24 to 0.50 mg/L/month across natural corks during the 2- to 12-month storage period. However, broader surveys reveal the full OTR spectrum for natural cork ranges from approximately 0.5 to 10 μg O₂ per day, depending on cork density, origin, moisture content, and quality grade.</w:t>
      </w:r>
    </w:p>
    <w:p>
      <w:pPr>
        <w:spacing w:after="140" w:line="276"/>
      </w:pPr>
      <w:r>
        <w:rPr>
          <w:sz w:val="22"/>
          <w:szCs w:val="22"/>
        </w:rPr>
        <w:t xml:space="preserve">This variability has profound implications for sulfur dioxide retention. The AWRI’s closure trial data, originally published by Godden et al. (2001) in the Australian Journal of Grape and Wine Research, demonstrated that after four years of storage, free SO₂ in a Chardonnay dropped from an initial 27 mg/L to approximately 3 mg/L under natural cork, compared to 5 mg/L under screw cap and 5 mg/L in a sealed glass ampoule. These data suggest that while oxygen ingress through cork accelerates SO₂ consumption, other non-oxidative pathways also contribute to SO₂ depletion over time. Over 24–36-month timelines, wines under cork typically exhibit more advanced color development, higher acetaldehyde concentrations, and more pronounced oxidative character than wines under low-OTR closures.</w:t>
      </w:r>
    </w:p>
    <w:p>
      <w:pPr>
        <w:spacing w:after="140" w:line="276"/>
      </w:pPr>
      <w:r>
        <w:rPr>
          <w:sz w:val="22"/>
          <w:szCs w:val="22"/>
        </w:rPr>
        <w:t xml:space="preserve">The risk profile for natural cork encompasses both oxidative and reductive faults. Higher-OTR corks accelerate oxidation, while unusually tight corks may contribute to reductive conditions under certain circumstances. The critical concern, however, is the inherent unpredictability: bottle-to-bottle variation in OTR can exceed a factor of ten within a single batch of corks, a phenomenon documented across multiple independent studies. This inconsistency presents a fundamental challenge for winemakers seeking to deliver a uniform product to consumers.</w:t>
      </w:r>
    </w:p>
    <w:p>
      <w:pPr>
        <w:pStyle w:val="Heading2"/>
        <w:spacing w:after="180" w:before="240"/>
      </w:pPr>
      <w:r>
        <w:t xml:space="preserve">3.2 Sensory and Flavor Impact</w:t>
      </w:r>
    </w:p>
    <w:p>
      <w:pPr>
        <w:spacing w:after="140" w:line="276"/>
      </w:pPr>
      <w:r>
        <w:rPr>
          <w:sz w:val="22"/>
          <w:szCs w:val="22"/>
        </w:rPr>
        <w:t xml:space="preserve">The most significant sensory concern with natural cork remains TCA (2,4,6-trichloroanisole) contamination, colloquially known as cork taint. Reported contamination rates vary significantly depending on methodology, threshold definitions, and testing protocols. The Cork Quality Council’s multi-year testing data indicate that approximately 3% of corks are contaminated by TCA above detection thresholds. Independent professional tasting data corroborate this figure: Sullivan (2024), reporting for Northwest Wine Report, documented a 2.6% contamination rate in his 2023 tastings, consistent with 2.8% in 2020 and 3.05% in 2021. The cork-industry group APCOR cites lower figures of 0.7–1.2%, while a 2005 Wine Spectator study of 2,800 bottles found 7% tainted—a discrepancy partly attributable to different sensitivity thresholds and the inclusion of sub-threshold TCA effects.</w:t>
      </w:r>
    </w:p>
    <w:p>
      <w:pPr>
        <w:spacing w:after="140" w:line="276"/>
      </w:pPr>
      <w:r>
        <w:rPr>
          <w:sz w:val="22"/>
          <w:szCs w:val="22"/>
        </w:rPr>
        <w:t xml:space="preserve">Research published by Zhou et al. (2024) in Food Innovation and Advances confirms that TCA is responsible for approximately 80–85% of all cork taint cases, with the remainder attributed to related compounds such as 2,4,6-tribromoanisole (TBA), tetrachloroanisole (TeCA), and pentachloroanisole (PCA). The sensory detection threshold for TCA in wine ranges from as low as 1.4 ng/L (parts per trillion) in sensitive individuals to 4–10 ng/L for most trained panelists. Critically, research demonstrates that even at sub-threshold concentrations, TCA suppresses the perception of fruity aromas, meaning that wines affected at very low levels may not be identified as tainted but nonetheless deliver a diminished sensory experience. Estimated annual losses to the global wine industry from cork taint exceed one billion dollars.</w:t>
      </w:r>
    </w:p>
    <w:p>
      <w:pPr>
        <w:pStyle w:val="Heading2"/>
        <w:spacing w:after="180" w:before="240"/>
      </w:pPr>
      <w:r>
        <w:t xml:space="preserve">3.3 Economics</w:t>
      </w:r>
    </w:p>
    <w:p>
      <w:pPr>
        <w:spacing w:after="140" w:line="276"/>
      </w:pPr>
      <w:r>
        <w:rPr>
          <w:sz w:val="22"/>
          <w:szCs w:val="22"/>
        </w:rPr>
        <w:t xml:space="preserve">Natural cork represents the highest per-unit closure cost in the wine industry. Prices vary considerably by grade, ranging from approximately AUD 300 to AUD 1,000 per thousand closures. Premium single-piece natural corks for age-worthy wines occupy the upper end of this range, while lower-grade natural corks approach AUD 300 per thousand. By comparison, screw caps typically cost approximately AUD 150 per thousand, and technical (1+1) corks range from AUD 135 to AUD 140 per thousand. Bekkerman and Brester (2019), publishing in the Journal of Wine Economics, found that U.S. consumers are willing to pay approximately 8% more (about $1.00 per bottle) for wines with cork closures versus screw caps, with this premium increasing for lower-priced wines. This consumer willingness to pay a cork premium partially offsets the higher unit cost for producers, particularly in the sub-$30 market segment.</w:t>
      </w:r>
    </w:p>
    <w:p>
      <w:pPr>
        <w:spacing w:after="140" w:line="276"/>
      </w:pPr>
      <w:r>
        <w:rPr>
          <w:sz w:val="22"/>
          <w:szCs w:val="22"/>
        </w:rPr>
        <w:t xml:space="preserve">However, the economic calculus must also account for spoilage and return rates attributable to cork taint. At a 3% contamination rate applied to the approximately 4.3 billion bottles consumed annually in the United States (assuming 70% cork-sealed), an estimated 90 million bottles per year are affected. The direct costs of replacement, reputational damage, and lost repeat purchases represent a significant hidden expense that is often underestimated by producers.</w:t>
      </w:r>
    </w:p>
    <w:p>
      <w:pPr>
        <w:pStyle w:val="Heading2"/>
        <w:spacing w:after="180" w:before="240"/>
      </w:pPr>
      <w:r>
        <w:t xml:space="preserve">3.4 Risks and Controversies</w:t>
      </w:r>
    </w:p>
    <w:p>
      <w:pPr>
        <w:spacing w:after="140" w:line="276"/>
      </w:pPr>
      <w:r>
        <w:rPr>
          <w:sz w:val="22"/>
          <w:szCs w:val="22"/>
        </w:rPr>
        <w:t xml:space="preserve">The cork industry has responded to TCA concerns with substantial investment in quality control technologies. The ROSA (Rate of Optimal Steam Application) protocol and related steam-cleaning and supercritical CO₂ extraction methods have demonstrably reduced TCA prevalence. The Cork Quality Council’s 2013 testing of over 25,000 samples showed an approximately 81% reduction in TCA levels compared to data from eight years earlier, with 90% of natural cork shipments showing values under 1.0 parts per trillion. Individual cork analysis using gas chromatography-mass spectrometry (GC-MS) now enables high-volume producers to screen every cork, though this adds cost and does not detect all taint-causing compounds. Despite these advances, Sullivan’s 2023–2024 professional tasting data suggest that the real-world contamination rate has plateaued near 2.6–3%, indicating that technological improvements have not yet translated into the dramatic reductions the industry has anticipated.</w:t>
      </w:r>
    </w:p>
    <w:p>
      <w:pPr>
        <w:spacing w:after="140" w:line="276"/>
      </w:pPr>
      <w:r>
        <w:rPr>
          <w:sz w:val="22"/>
          <w:szCs w:val="22"/>
        </w:rPr>
        <w:t xml:space="preserve">Environmentally, natural cork offers compelling sustainability credentials. Cork forests in the Mediterranean basin support rich biodiversity and act as carbon sinks, with cork oak trees absorbing CO₂ throughout their lifespan of 150–200 years. Bark harvesting every nine years does not kill the trees and may extend their lifespan. Cork is biodegradable, compostable, and derived from a renewable resource. These attributes contrast favorably with synthetic alternatives and have led environmental organizations, including the World Wildlife Fund, to advocate for continued cork usage as a means of preserving Mediterranean cork forest ecosystems.</w:t>
      </w:r>
    </w:p>
    <w:p>
      <w:r>
        <w:br w:type="page"/>
      </w:r>
    </w:p>
    <w:p>
      <w:pPr>
        <w:pStyle w:val="Heading1"/>
        <w:spacing w:after="180" w:before="360"/>
      </w:pPr>
      <w:r>
        <w:t xml:space="preserve">4. Screw Cap (Stelvin) Closures</w:t>
      </w:r>
    </w:p>
    <w:p>
      <w:pPr>
        <w:pStyle w:val="Heading2"/>
        <w:spacing w:after="180" w:before="240"/>
      </w:pPr>
      <w:r>
        <w:t xml:space="preserve">4.1 Preservation and Chemistry</w:t>
      </w:r>
    </w:p>
    <w:p>
      <w:pPr>
        <w:spacing w:after="140" w:line="276"/>
      </w:pPr>
      <w:r>
        <w:rPr>
          <w:sz w:val="22"/>
          <w:szCs w:val="22"/>
        </w:rPr>
        <w:t xml:space="preserve">Screw cap closures, commercially known as Stelvin or ROPP (roll-on pilfer-proof) closures, consist of an aluminum alloy cap and sleeve combined with an internal liner that serves as the functional seal. The liner composition is the primary determinant of oxygen transmission. The two principal liner types—Saran-tin (composed of successive layers of polyethylene, Kraft paper, tin foil, and polyvinylidene chloride) and Saranex (polyethylene covered on both sides with PVDC)—deliver the lowest OTR values among all commercial closures. Published data indicate OTR values for screw caps of approximately 0.05–0.3 μg O₂ per day, with batch-to-batch variation rarely exceeding ±10%.</w:t>
      </w:r>
    </w:p>
    <w:p>
      <w:pPr>
        <w:spacing w:after="140" w:line="276"/>
      </w:pPr>
      <w:r>
        <w:rPr>
          <w:sz w:val="22"/>
          <w:szCs w:val="22"/>
        </w:rPr>
        <w:t xml:space="preserve">This consistency represents the most significant technical advantage of screw caps over natural cork. A 2023 trial across six Loire Valley producers found that screw-capped Chenin Blancs retained significantly higher levels of free SO₂ after 14 months, exhibited lower acetaldehyde accumulation, and showed greater retention of volatile thiols associated with tropical fruit aromas (passionfruit, grapefruit). The AWRI’s landmark closure trials, tracking wines over periods exceeding five years, consistently demonstrate that screw cap-sealed wines retain more free SO₂, develop less browning, and preserve more primary fruit character than wines under natural cork. However, the very low OTR of Saran-tin liners has been associated with the development of reductive characters—sulfide-related off-aromas described as rubber, struck flint, or rotten egg—particularly in wines with elevated levels of sulfur-containing precursors.</w:t>
      </w:r>
    </w:p>
    <w:p>
      <w:pPr>
        <w:spacing w:after="140" w:line="276"/>
      </w:pPr>
      <w:r>
        <w:rPr>
          <w:sz w:val="22"/>
          <w:szCs w:val="22"/>
        </w:rPr>
        <w:t xml:space="preserve">In response to this issue, liner manufacturers have developed a range of products with graduated OTR values. Amcor and other suppliers now offer liners at four or more defined OTR levels, enabling winemakers to match closure permeability to wine style. Higher-OTR liners accommodate wines that benefit from modest oxygen exposure, while ultra-low-OTR liners are reserved for delicate aromatic whites requiring maximum protection. This tunability represents a significant advancement, though long-term data (beyond 15–20 years) under these newer liners remain limited.</w:t>
      </w:r>
    </w:p>
    <w:p>
      <w:pPr>
        <w:pStyle w:val="Heading2"/>
        <w:spacing w:after="180" w:before="240"/>
      </w:pPr>
      <w:r>
        <w:t xml:space="preserve">4.2 Sensory and Flavor Impact</w:t>
      </w:r>
    </w:p>
    <w:p>
      <w:pPr>
        <w:spacing w:after="140" w:line="276"/>
      </w:pPr>
      <w:r>
        <w:rPr>
          <w:sz w:val="22"/>
          <w:szCs w:val="22"/>
        </w:rPr>
        <w:t xml:space="preserve">Screw caps are essentially free from TCA contamination risk, eliminating the single greatest source of sensory defects in cork-sealed wines. Blind tasting studies consistently show that aromatic white varieties such as Sauvignon Blanc and Riesling perform particularly well under screw cap, with greater retention of varietal thiols and terpenes. Nicolau (2005) observed that screw caps better preserve the fruity bouquet of New Zealand Sauvignon Blanc due to their protection of oxidation-susceptible thiols. Flavor scalping—the absorption of aromatic compounds by the liner material—has been studied and generally found to be negligible for Saran-tin and Saranex liners, though some early polyethylene-based liners exhibited measurable absorption of certain esters.</w:t>
      </w:r>
    </w:p>
    <w:p>
      <w:pPr>
        <w:spacing w:after="140" w:line="276"/>
      </w:pPr>
      <w:r>
        <w:rPr>
          <w:sz w:val="22"/>
          <w:szCs w:val="22"/>
        </w:rPr>
        <w:t xml:space="preserve">The sulphidisation concern, sometimes reported in media, warrants careful contextualization. Reports from the International Wine Challenge in 2006 suggested that one in fifty screw cap bottles might be affected by sulphidisation. However, wine scientist Jamie Goode and others have argued that these reports conflated pre-existing wine faults with closure-induced problems, and that properly made wines with appropriate SO₂ management are not inherently at higher risk of reductive faults under screw cap. The critical variable is total package oxygen—the sum of dissolved oxygen in wine at bottling, headspace oxygen, and oxygen ingress through the closure—rather than the closure type alone.</w:t>
      </w:r>
    </w:p>
    <w:p>
      <w:pPr>
        <w:pStyle w:val="Heading2"/>
        <w:spacing w:after="180" w:before="240"/>
      </w:pPr>
      <w:r>
        <w:t xml:space="preserve">4.3 Economics</w:t>
      </w:r>
    </w:p>
    <w:p>
      <w:pPr>
        <w:spacing w:after="140" w:line="276"/>
      </w:pPr>
      <w:r>
        <w:rPr>
          <w:sz w:val="22"/>
          <w:szCs w:val="22"/>
        </w:rPr>
        <w:t xml:space="preserve">Screw caps are significantly less expensive per unit than natural cork. Bekkerman and Brester (2019) report that bulk screw cap prices are $0.30–$0.50 lower than corks, representing a 25–85% reduction in closure costs depending on the grade of cork being compared. At approximately AUD 150 per thousand (top price, depending on print and configuration), screw caps are cheaper than Diam (AUD 200–230 per thousand) and substantially cheaper than natural cork, though more expensive than synthetic closures and basic agglomerated corks. The global screw cap closures market was valued at approximately USD 7.86 billion in 2023 and is projected to grow steadily.</w:t>
      </w:r>
    </w:p>
    <w:p>
      <w:pPr>
        <w:spacing w:after="140" w:line="276"/>
      </w:pPr>
      <w:r>
        <w:rPr>
          <w:sz w:val="22"/>
          <w:szCs w:val="22"/>
        </w:rPr>
        <w:t xml:space="preserve">Transitioning to screw caps entails significant fixed startup costs, including new bottling equipment (Villa Maria’s 2001 conversion cost NZ$500,000), new glass molds for screw cap-finish bottles (approximately US$80,000 per mold), and retraining of bottling line staff. For large-volume producers, these costs are amortized rapidly; for small producers, the capital outlay may be prohibitive. However, producers who have converted consistently report reduced return rates, as the elimination of cork taint removes a major source of customer complaints and product waste.</w:t>
      </w:r>
    </w:p>
    <w:p>
      <w:pPr>
        <w:pStyle w:val="Heading2"/>
        <w:spacing w:after="180" w:before="240"/>
      </w:pPr>
      <w:r>
        <w:t xml:space="preserve">4.4 Risks and Controversies</w:t>
      </w:r>
    </w:p>
    <w:p>
      <w:pPr>
        <w:spacing w:after="140" w:line="276"/>
      </w:pPr>
      <w:r>
        <w:rPr>
          <w:sz w:val="22"/>
          <w:szCs w:val="22"/>
        </w:rPr>
        <w:t xml:space="preserve">The screw cap debate in premium wine markets remains culturally charged. In Australia, where screw caps seal approximately 90% of all bottled wine, including premium offerings from estates such as Penfolds, acceptance is near-universal. However, the same Penfolds wines are sealed under natural cork for the U.S. market, reflecting persistent American consumer associations between cork and quality. A 2004 Wine Intelligence study found that 52% of American consumers and 60% of British consumers rejected screw caps for fine wine, though more recent data suggest these attitudes are softening, particularly among younger demographics.</w:t>
      </w:r>
    </w:p>
    <w:p>
      <w:pPr>
        <w:spacing w:after="140" w:line="276"/>
      </w:pPr>
      <w:r>
        <w:rPr>
          <w:sz w:val="22"/>
          <w:szCs w:val="22"/>
        </w:rPr>
        <w:t xml:space="preserve">The long-term aging question remains partially unresolved. Château Haut-Brion’s 1970s experiment placed 100 bottles under screw cap for long-term observation. The result, according to manager Jean-Bernard Delmas, was that the closure performed well for the first ten years before the plastic liner became brittle and admitted air. Modern liners are engineered to address this failure mode, but the absence of multi-decade controlled data under current-generation liners means that the question of how screw cap wines evolve over 30+ years remains open. This is an important research gap for the field.</w:t>
      </w:r>
    </w:p>
    <w:p>
      <w:r>
        <w:br w:type="page"/>
      </w:r>
    </w:p>
    <w:p>
      <w:pPr>
        <w:pStyle w:val="Heading1"/>
        <w:spacing w:after="180" w:before="360"/>
      </w:pPr>
      <w:r>
        <w:t xml:space="preserve">5. Synthetic Closures</w:t>
      </w:r>
    </w:p>
    <w:p>
      <w:pPr>
        <w:pStyle w:val="Heading2"/>
        <w:spacing w:after="180" w:before="240"/>
      </w:pPr>
      <w:r>
        <w:t xml:space="preserve">5.1 Preservation and Chemistry</w:t>
      </w:r>
    </w:p>
    <w:p>
      <w:pPr>
        <w:spacing w:after="140" w:line="276"/>
      </w:pPr>
      <w:r>
        <w:rPr>
          <w:sz w:val="22"/>
          <w:szCs w:val="22"/>
        </w:rPr>
        <w:t xml:space="preserve">Synthetic closures are manufactured from polyethylene or similar polymers through injection molding or co-extrusion processes. A 2007 study by the Victor Segalen Bordeaux 2 University demonstrated that injection-molded synthetic corks allowed the highest levels of oxygen permeation among all closure types tested, offering the lowest protection against oxidation. The AWRI’s OTR data confirm that synthetic closures typically possess values within the moderate to high OTR range, with significant variability among products. Of particular concern is that many synthetic closures exhibit erratic OTR behavior, with permeation rates spiking after 6–9 months as the polymer structure relaxes.</w:t>
      </w:r>
    </w:p>
    <w:p>
      <w:pPr>
        <w:spacing w:after="140" w:line="276"/>
      </w:pPr>
      <w:r>
        <w:rPr>
          <w:sz w:val="22"/>
          <w:szCs w:val="22"/>
        </w:rPr>
        <w:t xml:space="preserve">This OTR trajectory limits the practical shelf life of wines under synthetic closures. Most industry experts recommend that wines sealed with synthetic closures be consumed within 18–24 months of bottling to avoid excessive oxidation. SO₂ depletion proceeds more rapidly than under cork or screw cap, and color development in white wines is correspondingly accelerated. For wines intended for immediate consumption, these characteristics may be acceptable, but synthetic closures are generally unsuitable for wines with any aging ambition.</w:t>
      </w:r>
    </w:p>
    <w:p>
      <w:pPr>
        <w:pStyle w:val="Heading2"/>
        <w:spacing w:after="180" w:before="240"/>
      </w:pPr>
      <w:r>
        <w:t xml:space="preserve">5.2 Sensory and Flavor Impact</w:t>
      </w:r>
    </w:p>
    <w:p>
      <w:pPr>
        <w:spacing w:after="140" w:line="276"/>
      </w:pPr>
      <w:r>
        <w:rPr>
          <w:sz w:val="22"/>
          <w:szCs w:val="22"/>
        </w:rPr>
        <w:t xml:space="preserve">Synthetic closures eliminate TCA risk entirely, which represents their primary sensory advantage over natural cork. However, concerns exist regarding flavor scalping and the potential migration of plastic-derived compounds into wine. A study led by George Bittner at the University of Texas found that an unspecified brand of synthetic cork soaked in water for 72 hours exhibited high estrogenic activity, suggesting the potential for chemical migration. While no studies have confirmed direct health impacts from synthetic cork-sealed wine, the finding has raised questions about long-term contact between polymer materials and acidic alcoholic beverages.</w:t>
      </w:r>
    </w:p>
    <w:p>
      <w:pPr>
        <w:spacing w:after="140" w:line="276"/>
      </w:pPr>
      <w:r>
        <w:rPr>
          <w:sz w:val="22"/>
          <w:szCs w:val="22"/>
        </w:rPr>
        <w:t xml:space="preserve">In sensory terms, wines under synthetic closures tend to evolve more rapidly toward cooked and stewed fruit characters due to higher oxygen ingress, and may develop atypical aged notes prematurely. Extraction difficulty is another practical concern: synthetic corks are often harder to remove from bottles than natural cork and are virtually impossible to re-insert for resealing, diminishing the consumer experience.</w:t>
      </w:r>
    </w:p>
    <w:p>
      <w:pPr>
        <w:pStyle w:val="Heading2"/>
        <w:spacing w:after="180" w:before="240"/>
      </w:pPr>
      <w:r>
        <w:t xml:space="preserve">5.3 Economics</w:t>
      </w:r>
    </w:p>
    <w:p>
      <w:pPr>
        <w:spacing w:after="140" w:line="276"/>
      </w:pPr>
      <w:r>
        <w:rPr>
          <w:sz w:val="22"/>
          <w:szCs w:val="22"/>
        </w:rPr>
        <w:t xml:space="preserve">Synthetic closures occupy the lowest price tier in the closure market. They can be up to three times cheaper than natural cork and are often less expensive than screw caps. This cost advantage has made them prevalent in high-volume, entry-level wine production. The cheapest wines available—such as so-called “two-buck chuck” offerings—frequently employ technical or synthetic cork closures. Plant-based variants, such as Nomacorc’s sugarcane-derived polyethylene stoppers produced by Vinventions, offer a marginally higher cost point but address some environmental objections to petroleum-based synthetics.</w:t>
      </w:r>
    </w:p>
    <w:p>
      <w:pPr>
        <w:pStyle w:val="Heading2"/>
        <w:spacing w:after="180" w:before="240"/>
      </w:pPr>
      <w:r>
        <w:t xml:space="preserve">5.4 Risks and Controversies</w:t>
      </w:r>
    </w:p>
    <w:p>
      <w:pPr>
        <w:spacing w:after="140" w:line="276"/>
      </w:pPr>
      <w:r>
        <w:rPr>
          <w:sz w:val="22"/>
          <w:szCs w:val="22"/>
        </w:rPr>
        <w:t xml:space="preserve">Environmental concerns constitute the principal controversy surrounding synthetic closures. Petroleum-based synthetic corks are not biodegradable and present recycling challenges, as consumer recycling infrastructure rarely accommodates mixed-polymer wine closures. Microplastic leaching from synthetic closures and PET containers is an emerging area of investigation. While peer-reviewed data specific to wine closures remain scarce, the broader literature on microplastic contamination of food-contact polymers has raised regulatory and consumer awareness. Plant-based alternatives such as Nomacorc’s bio-polyethylene closures, derived from sugarcane, offer a lower carbon footprint and are marketed as carbon-negative, though their ultimate recyclability depends on local waste-processing infrastructure.</w:t>
      </w:r>
    </w:p>
    <w:p>
      <w:r>
        <w:br w:type="page"/>
      </w:r>
    </w:p>
    <w:p>
      <w:pPr>
        <w:pStyle w:val="Heading1"/>
        <w:spacing w:after="180" w:before="360"/>
      </w:pPr>
      <w:r>
        <w:t xml:space="preserve">6. Technical and Micro-Agglomerated Corks</w:t>
      </w:r>
    </w:p>
    <w:p>
      <w:pPr>
        <w:pStyle w:val="Heading2"/>
        <w:spacing w:after="180" w:before="240"/>
      </w:pPr>
      <w:r>
        <w:t xml:space="preserve">6.1 Preservation and Chemistry</w:t>
      </w:r>
    </w:p>
    <w:p>
      <w:pPr>
        <w:spacing w:after="140" w:line="276"/>
      </w:pPr>
      <w:r>
        <w:rPr>
          <w:sz w:val="22"/>
          <w:szCs w:val="22"/>
        </w:rPr>
        <w:t xml:space="preserve">Technical corks encompass a range of composite products made from cork granules bound with approved adhesives, including agglomerated corks (granule size 2–9 mm), micro-agglomerated corks (granule size 0.5–2 mm), and “1+1” corks consisting of an agglomerated body capped with natural cork discs at each end. Leading products in this category, notably Diam closures manufactured by Oeneo, employ supercritical CO₂ extraction to eliminate TCA and other volatile contaminants, then reassemble purified cork granules with controlled porosity to deliver defined OTR values.</w:t>
      </w:r>
    </w:p>
    <w:p>
      <w:pPr>
        <w:spacing w:after="140" w:line="276"/>
      </w:pPr>
      <w:r>
        <w:rPr>
          <w:sz w:val="22"/>
          <w:szCs w:val="22"/>
        </w:rPr>
        <w:t xml:space="preserve">The AWRI’s summary data indicate that technical stoppers are among the lowest permeable closures to gas transfer, followed by screw caps, natural corks, and synthetic stoppers. Diam closures are available in several OTR grades designed for specific aging windows: the Diam 5 for wines to be consumed within five years, Diam 10 for medium-term aging, and Diam 30 and Origine for longer cellaring. This precision in OTR specification represents a significant advancement over the inherent unpredictability of natural cork. SO₂ retention under Diam closures is intermediate between screw cap and natural cork, reflecting their intermediate OTR position.</w:t>
      </w:r>
    </w:p>
    <w:p>
      <w:pPr>
        <w:pStyle w:val="Heading2"/>
        <w:spacing w:after="180" w:before="240"/>
      </w:pPr>
      <w:r>
        <w:t xml:space="preserve">6.2 Sensory and Flavor Impact</w:t>
      </w:r>
    </w:p>
    <w:p>
      <w:pPr>
        <w:spacing w:after="140" w:line="276"/>
      </w:pPr>
      <w:r>
        <w:rPr>
          <w:sz w:val="22"/>
          <w:szCs w:val="22"/>
        </w:rPr>
        <w:t xml:space="preserve">The principal sensory advantage of supercritical CO₂-treated technical corks is the guaranteed absence of TCA. Diam closures are certified TCA-free, meaning the contamination rate is effectively zero—a remarkable improvement over even the best natural cork. Professional tasters have noted that Diam closures impart no detectable flavor to the wine, addressing long-standing concerns about glue-derived off-flavors that plagued earlier generations of agglomerated corks. The rapid adoption of Diam in the Pacific Northwest, as documented by Sullivan (2024), reflects growing winemaker confidence in the product’s sensory neutrality.</w:t>
      </w:r>
    </w:p>
    <w:p>
      <w:pPr>
        <w:pStyle w:val="Heading2"/>
        <w:spacing w:after="180" w:before="240"/>
      </w:pPr>
      <w:r>
        <w:t xml:space="preserve">6.3 Economics</w:t>
      </w:r>
    </w:p>
    <w:p>
      <w:pPr>
        <w:spacing w:after="140" w:line="276"/>
      </w:pPr>
      <w:r>
        <w:rPr>
          <w:sz w:val="22"/>
          <w:szCs w:val="22"/>
        </w:rPr>
        <w:t xml:space="preserve">Diam closures are priced at approximately AUD 200–230 per thousand—more expensive than 1+1 technical corks (AUD 135–140 per thousand) and screw caps (AUD 150 per thousand), but substantially less than high-grade natural cork (AUD 300–1,000 per thousand). For wineries producing premium wines in the $15–50 retail range, Diam offers an attractive cost-performance proposition: TCA-free reliability at a price point well below comparable natural cork grades. The elimination of cork taint-related returns and complaints further improves the effective economic calculus.</w:t>
      </w:r>
    </w:p>
    <w:p>
      <w:pPr>
        <w:pStyle w:val="Heading2"/>
        <w:spacing w:after="180" w:before="240"/>
      </w:pPr>
      <w:r>
        <w:t xml:space="preserve">6.4 Emerging Developments</w:t>
      </w:r>
    </w:p>
    <w:p>
      <w:pPr>
        <w:spacing w:after="140" w:line="276"/>
      </w:pPr>
      <w:r>
        <w:rPr>
          <w:sz w:val="22"/>
          <w:szCs w:val="22"/>
        </w:rPr>
        <w:t xml:space="preserve">The Diam Origine line, designed for wines intended for 20+ years of cellaring, represents an ambitious attempt to challenge natural cork’s dominance in the ultra-premium aging segment. Multi-decade trials are currently underway, but peer-reviewed data on Diam performance beyond 10–15 years remain limited. The broader trend toward TCA-free micro-agglomerated closures is expected to continue, with several competing manufacturers entering the market. The interaction between controlled OTR delivery and wine evolution over truly long timeframes (30+ years) is an important frontier for closure research.</w:t>
      </w:r>
    </w:p>
    <w:p>
      <w:r>
        <w:br w:type="page"/>
      </w:r>
    </w:p>
    <w:p>
      <w:pPr>
        <w:pStyle w:val="Heading1"/>
        <w:spacing w:after="180" w:before="360"/>
      </w:pPr>
      <w:r>
        <w:t xml:space="preserve">7. Bag-in-Box (BIB) Packaging</w:t>
      </w:r>
    </w:p>
    <w:p>
      <w:pPr>
        <w:pStyle w:val="Heading2"/>
        <w:spacing w:after="180" w:before="240"/>
      </w:pPr>
      <w:r>
        <w:t xml:space="preserve">7.1 Preservation and Chemistry</w:t>
      </w:r>
    </w:p>
    <w:p>
      <w:pPr>
        <w:spacing w:after="140" w:line="276"/>
      </w:pPr>
      <w:r>
        <w:rPr>
          <w:sz w:val="22"/>
          <w:szCs w:val="22"/>
        </w:rPr>
        <w:t xml:space="preserve">Bag-in-box packaging, invented by Scholle Packaging in the 1950s, consists of a flexible polymer bag with an integrated dispensing tap housed within a corrugated cardboard box. The inner bag typically employs a metallized polyethylene terephthalate (Met-PET) or ethylene-vinyl alcohol (EVOH) barrier film, sometimes with aluminum laminate layers. The key preservation mechanism is that the bag collapses as wine is dispensed, minimizing headspace oxygen exposure and extending the secondary shelf life (post-opening) to approximately four to six weeks under refrigeration.</w:t>
      </w:r>
    </w:p>
    <w:p>
      <w:pPr>
        <w:spacing w:after="140" w:line="276"/>
      </w:pPr>
      <w:r>
        <w:rPr>
          <w:sz w:val="22"/>
          <w:szCs w:val="22"/>
        </w:rPr>
        <w:t xml:space="preserve">However, the primary (pre-opening) shelf life of BIB wine is significantly shorter than glass-bottled wine. Sundell et al. (1992), writing in Packaging Technology and Science, calculated theoretical shelf lives of 130–450 days for new Met-PET bags, declining to 30–130 days for bags subjected to transport stress. The AWRI and independent researchers have documented that BIB wines typically show measurable oxidation and SO₂ depletion within 6–12 months, with white wines particularly vulnerable. Ghidossi et al. found greater oxidation and loss of aromatic intensity in BIB wines compared to glass-bottled wines after twelve months. A major factor is the residual oxygen trapped during filling: a 4-liter bag can contain the equivalent of 4–6 mL of O₂ immediately after filling, representing a significant initial oxidative burden.</w:t>
      </w:r>
    </w:p>
    <w:p>
      <w:pPr>
        <w:pStyle w:val="Heading2"/>
        <w:spacing w:after="180" w:before="240"/>
      </w:pPr>
      <w:r>
        <w:t xml:space="preserve">7.2 Sensory and Flavor Impact</w:t>
      </w:r>
    </w:p>
    <w:p>
      <w:pPr>
        <w:spacing w:after="140" w:line="276"/>
      </w:pPr>
      <w:r>
        <w:rPr>
          <w:sz w:val="22"/>
          <w:szCs w:val="22"/>
        </w:rPr>
        <w:t xml:space="preserve">BIB wine is not intended for aging. Research consistently demonstrates faster quality deterioration compared to glass bottles, with progressive loss of freshness, aromatic complexity, and color stability. The temperature sensitivity of polymer barrier films means that storage above 20°C dramatically accelerates quality decline. Studies by Giovanelli and Brenna (2007) and others confirm that sensory degradation under BIB packaging is more pronounced in white and rosé wines than in reds, owing to the protective role of polyphenols in red wines against autoxidation. Flavor scalping—the absorption of volatile compounds by the polymer bag—has been documented in some formulations, though modern multilayer bags have largely mitigated this issue.</w:t>
      </w:r>
    </w:p>
    <w:p>
      <w:pPr>
        <w:pStyle w:val="Heading2"/>
        <w:spacing w:after="180" w:before="240"/>
      </w:pPr>
      <w:r>
        <w:t xml:space="preserve">7.3 Economics and Logistics</w:t>
      </w:r>
    </w:p>
    <w:p>
      <w:pPr>
        <w:spacing w:after="140" w:line="276"/>
      </w:pPr>
      <w:r>
        <w:rPr>
          <w:sz w:val="22"/>
          <w:szCs w:val="22"/>
        </w:rPr>
        <w:t xml:space="preserve">The economic and logistic advantages of BIB packaging are substantial. A standard 3-liter BIB unit replaces four 750-mL glass bottles at significantly lower weight and volume. Lifecycle assessment data indicate that transport of BIB wine requires approximately six times fewer vehicles than equivalent volumes in glass bottles. The per-liter packaging cost is dramatically lower than glass, contributing to BIB wine’s strong position in the value segment, where it commands approximately 10% of U.S. supermarket wine sales. The format’s convenience—easy pouring, no corkscrew required, extended post-opening freshness—appeals to casual consumption occasions.</w:t>
      </w:r>
    </w:p>
    <w:p>
      <w:pPr>
        <w:pStyle w:val="Heading2"/>
        <w:spacing w:after="180" w:before="240"/>
      </w:pPr>
      <w:r>
        <w:t xml:space="preserve">7.4 Risks and Controversies</w:t>
      </w:r>
    </w:p>
    <w:p>
      <w:pPr>
        <w:spacing w:after="140" w:line="276"/>
      </w:pPr>
      <w:r>
        <w:rPr>
          <w:sz w:val="22"/>
          <w:szCs w:val="22"/>
        </w:rPr>
        <w:t xml:space="preserve">BPA (Bisphenol A) contamination in BIB bladder materials has been a recurring concern. While many leading BIB manufacturers, including Scholle Packaging, now use BPA-free plastics, the broader category of #7 plastics used in some bags may contain BPA or related endocrine-disrupting compounds. Scientific American has reported that some boxed wine bags contain BPA, while others are certified BPA-free, creating inconsistency in the market. Consumers are advised to check labels, though transparency varies by producer. The environmental profile of BIB is mixed: while its lower carbon footprint during production and transport is well-documented, the multi-material construction (plastic bag, aluminum foil, cardboard) can complicate end-of-life recycling. Separation of these layers for recycling is not universally available in municipal waste streams.</w:t>
      </w:r>
    </w:p>
    <w:p>
      <w:r>
        <w:br w:type="page"/>
      </w:r>
    </w:p>
    <w:p>
      <w:pPr>
        <w:pStyle w:val="Heading1"/>
        <w:spacing w:after="180" w:before="360"/>
      </w:pPr>
      <w:r>
        <w:t xml:space="preserve">8. Aluminum Cans</w:t>
      </w:r>
    </w:p>
    <w:p>
      <w:pPr>
        <w:pStyle w:val="Heading2"/>
        <w:spacing w:after="180" w:before="240"/>
      </w:pPr>
      <w:r>
        <w:t xml:space="preserve">8.1 Preservation and Chemistry</w:t>
      </w:r>
    </w:p>
    <w:p>
      <w:pPr>
        <w:spacing w:after="140" w:line="276"/>
      </w:pPr>
      <w:r>
        <w:rPr>
          <w:sz w:val="22"/>
          <w:szCs w:val="22"/>
        </w:rPr>
        <w:t xml:space="preserve">Canned wine has emerged as the fastest-growing alternative packaging segment, with U.S. market growth exceeding 59% in a single recent year. Aluminum cans are lined with polymer coatings—increasingly BPANI (Bisphenol A Non-Intent) acrylic or polyester formulations—that serve as a barrier between the wine and the metal. When properly lined and sealed, cans offer effective oxygen exclusion, but their small volume (typically 250–375 mL) and thin wall construction mean that any liner defect or seal failure has proportionally larger consequences. The recommended shelf life for canned wine is generally 12–18 months, with some producers citing up to 24 months under optimal storage conditions.</w:t>
      </w:r>
    </w:p>
    <w:p>
      <w:pPr>
        <w:pStyle w:val="Heading2"/>
        <w:spacing w:after="180" w:before="240"/>
      </w:pPr>
      <w:r>
        <w:t xml:space="preserve">8.2 Sensory and Flavor Impact</w:t>
      </w:r>
    </w:p>
    <w:p>
      <w:pPr>
        <w:spacing w:after="140" w:line="276"/>
      </w:pPr>
      <w:r>
        <w:rPr>
          <w:sz w:val="22"/>
          <w:szCs w:val="22"/>
        </w:rPr>
        <w:t xml:space="preserve">Sensory research on canned wine remains relatively limited compared to the extensive closure trial literature. The primary concern is metallic taint from inadequate liner coverage, though modern manufacturing has largely addressed this issue. The absence of oxygen ingress means canned wines tend to maintain fresh, primary fruit character without the complexity that develops through micro-oxygenation. Canned wine is optimally suited to aromatic whites, rosés, and light reds intended for immediate consumption. Scalping effects from can liners have not been extensively characterized in the peer-reviewed literature specific to wine, representing a research gap.</w:t>
      </w:r>
    </w:p>
    <w:p>
      <w:pPr>
        <w:pStyle w:val="Heading2"/>
        <w:spacing w:after="180" w:before="240"/>
      </w:pPr>
      <w:r>
        <w:t xml:space="preserve">8.3 Economics and Logistics</w:t>
      </w:r>
    </w:p>
    <w:p>
      <w:pPr>
        <w:spacing w:after="140" w:line="276"/>
      </w:pPr>
      <w:r>
        <w:rPr>
          <w:sz w:val="22"/>
          <w:szCs w:val="22"/>
        </w:rPr>
        <w:t xml:space="preserve">Cans offer exceptional logistic advantages. At approximately one-third the weight of an equivalent volume in glass, canned wine reduces shipping costs significantly—producers report carbon footprints 35–45% lower than glass bottles. Cans are infinitely stackable, resistant to breakage, cool faster than glass, and are permitted in venues where glass is prohibited (pools, beaches, stadiums, outdoor festivals). The single-serve format appeals to younger consumers and aligns with trends toward moderation and portion control. Retail price positioning has expanded from exclusively budget wines to include mid-range and artisanal offerings.</w:t>
      </w:r>
    </w:p>
    <w:p>
      <w:pPr>
        <w:pStyle w:val="Heading2"/>
        <w:spacing w:after="180" w:before="240"/>
      </w:pPr>
      <w:r>
        <w:t xml:space="preserve">8.4 Risks and Controversies</w:t>
      </w:r>
    </w:p>
    <w:p>
      <w:pPr>
        <w:spacing w:after="140" w:line="276"/>
      </w:pPr>
      <w:r>
        <w:rPr>
          <w:sz w:val="22"/>
          <w:szCs w:val="22"/>
        </w:rPr>
        <w:t xml:space="preserve">Chemical safety concerns center on can liner composition. Traditional epoxy liners contained BPA, which can leach into acidic contents. A 2023 study in Toxicological Sciences found that acrylic and polyester BPANI liners show negligible endocrine activity compared to BPS. Testing by the Center for Environmental Health in 2024 found that 95% of U.S. canned foods now use non-BPA liners, with bisphenol detection at under 1 part per billion. Nevertheless, long-term human studies on BPANI-specific chemicals remain limited, and the European Food Safety Authority has progressively tightened its acceptable intake thresholds for BPA. The Environmental Working Group and other advocacy organizations continue to recommend minimizing consumption of canned foods and beverages as a precautionary measure.</w:t>
      </w:r>
    </w:p>
    <w:p>
      <w:pPr>
        <w:spacing w:after="140" w:line="276"/>
      </w:pPr>
      <w:r>
        <w:rPr>
          <w:sz w:val="22"/>
          <w:szCs w:val="22"/>
        </w:rPr>
        <w:t xml:space="preserve">Aluminum is 100% recyclable and retains its properties through infinite recycling loops, conferring strong end-of-life environmental credentials. However, global aluminum can recycling rates vary widely: below 65% in Europe for beverage containers, while U.S. rates hover around 43%. Primary aluminum production is energy-intensive, though the use of recycled content dramatically reduces the energy footprint. Lifecycle assessments consistently show canned wine performing better than glass on carbon metrics but worse than BIB when considering the full cradle-to-grave cycle.</w:t>
      </w:r>
    </w:p>
    <w:p>
      <w:r>
        <w:br w:type="page"/>
      </w:r>
    </w:p>
    <w:p>
      <w:pPr>
        <w:pStyle w:val="Heading1"/>
        <w:spacing w:after="180" w:before="360"/>
      </w:pPr>
      <w:r>
        <w:t xml:space="preserve">9. Glass Stoppers and Emerging Formats</w:t>
      </w:r>
    </w:p>
    <w:p>
      <w:pPr>
        <w:pStyle w:val="Heading2"/>
        <w:spacing w:after="180" w:before="240"/>
      </w:pPr>
      <w:r>
        <w:t xml:space="preserve">9.1 Glass Stoppers (Vinolok/Vino-Seal)</w:t>
      </w:r>
    </w:p>
    <w:p>
      <w:pPr>
        <w:spacing w:after="140" w:line="276"/>
      </w:pPr>
      <w:r>
        <w:rPr>
          <w:sz w:val="22"/>
          <w:szCs w:val="22"/>
        </w:rPr>
        <w:t xml:space="preserve">Glass closures, commercially known as Vinolok or Vino-Seal, employ a glass plug with an inert polymer O-ring seal. These closures offer an OTR lower than natural cork, TCA-free performance, elegant aesthetics, resealability, and infinite reusability. Their oxygen barrier properties are well-suited to both short-term and medium-term aging. However, glass closures are among the most expensive closure options and require proprietary bottle-mouth finishes, limiting compatibility with standard bottling infrastructure. Their adoption has been concentrated in the premium and super-premium Austrian, German, and Czech wine markets.</w:t>
      </w:r>
    </w:p>
    <w:p>
      <w:pPr>
        <w:pStyle w:val="Heading2"/>
        <w:spacing w:after="180" w:before="240"/>
      </w:pPr>
      <w:r>
        <w:t xml:space="preserve">9.2 Flat Bottles and Pouch Formats</w:t>
      </w:r>
    </w:p>
    <w:p>
      <w:pPr>
        <w:spacing w:after="140" w:line="276"/>
      </w:pPr>
      <w:r>
        <w:rPr>
          <w:sz w:val="22"/>
          <w:szCs w:val="22"/>
        </w:rPr>
        <w:t xml:space="preserve">Flat-format PET bottles, pioneered by companies such as Packamama, address the logistic inefficiency of round glass bottles. Made from 100% recycled PET, flat bottles enable up to 91% more wine per pallet compared to round glass. At approximately 63 grams, they weigh a fraction of standard glass bottles (typically 400–560 grams). Paper-fiber bottles, such as those produced by Frugalpac (the Frugal Bottle), comprise 94% recycled paperboard with an inner PET liner. Independent lifecycle assessment by Intertek determined that the Frugal Bottle’s carbon footprint is up to 84% smaller than a traditional glass bottle. These formats are gaining traction for entry-level and mid-range wines, though shelf life limitations (typically 12–18 months) and consumer perception barriers remain.</w:t>
      </w:r>
    </w:p>
    <w:p>
      <w:pPr>
        <w:pStyle w:val="Heading2"/>
        <w:spacing w:after="180" w:before="240"/>
      </w:pPr>
      <w:r>
        <w:t xml:space="preserve">9.3 Tetra Pak and Aseptic Cartons</w:t>
      </w:r>
    </w:p>
    <w:p>
      <w:pPr>
        <w:spacing w:after="140" w:line="276"/>
      </w:pPr>
      <w:r>
        <w:rPr>
          <w:sz w:val="22"/>
          <w:szCs w:val="22"/>
        </w:rPr>
        <w:t xml:space="preserve">Multilayer aseptic cartons combine paperboard, polyethylene, and aluminum foil to create lightweight, space-efficient packaging with good oxygen barrier properties. Research comparing wine stored in Tetra Pak versus glass bottles over 12 months found that Tetra Pak wines exhibited higher oxidation rates and a more advanced evolutionary state, though the differences were moderate for wines intended for near-term consumption. Lifecycle assessments identify aseptic cartons, alongside BIB, as among the most sustainable wine packaging options when measured by carbon emissions per liter delivered.</w:t>
      </w:r>
    </w:p>
    <w:p>
      <w:r>
        <w:br w:type="page"/>
      </w:r>
    </w:p>
    <w:p>
      <w:pPr>
        <w:pStyle w:val="Heading1"/>
        <w:spacing w:after="180" w:before="360"/>
      </w:pPr>
      <w:r>
        <w:t xml:space="preserve">10. Emerging Research and Innovation</w:t>
      </w:r>
    </w:p>
    <w:p>
      <w:pPr>
        <w:pStyle w:val="Heading2"/>
        <w:spacing w:after="180" w:before="240"/>
      </w:pPr>
      <w:r>
        <w:t xml:space="preserve">10.1 Smart Packaging: NFC, RFID, and Freshness Indicators</w:t>
      </w:r>
    </w:p>
    <w:p>
      <w:pPr>
        <w:spacing w:after="140" w:line="276"/>
      </w:pPr>
      <w:r>
        <w:rPr>
          <w:sz w:val="22"/>
          <w:szCs w:val="22"/>
        </w:rPr>
        <w:t xml:space="preserve">The integration of near-field communication (NFC) and radio-frequency identification (RFID) technologies into wine closures and labels represents a convergence of packaging engineering with digital traceability. NFC-enabled closures allow consumers to verify authenticity by tapping a smartphone against the bottle, a feature with significant commercial value in markets such as China and Europe where counterfeit wine is estimated to affect up to 20% of premium bottles. Tamper-detection features can dynamically alter the digital content displayed—for example, shifting from authenticity verification to serving suggestions once the seal is broken. The global smart packaging market was valued at approximately USD 38–43 billion in 2024–2025 and is projected to reach USD 65–79 billion by 2032–2034, reflecting a CAGR of approximately 5.5–6.8%.</w:t>
      </w:r>
    </w:p>
    <w:p>
      <w:pPr>
        <w:spacing w:after="140" w:line="276"/>
      </w:pPr>
      <w:r>
        <w:rPr>
          <w:sz w:val="22"/>
          <w:szCs w:val="22"/>
        </w:rPr>
        <w:t xml:space="preserve">Freshness indicators—colorimetric sensors embedded in packaging that respond to pH changes, volatile organic compounds, or oxygen exposure—are under active development for food and beverage applications. While commercially deployed in some perishable food categories, their application to wine remains largely at the research stage. Time-temperature indicators (TTIs) offer particular promise for monitoring cold-chain compliance during wine transport, though integration into wine-specific packaging formats requires further development to address the unique chemical environment of wine.</w:t>
      </w:r>
    </w:p>
    <w:p>
      <w:pPr>
        <w:pStyle w:val="Heading2"/>
        <w:spacing w:after="180" w:before="240"/>
      </w:pPr>
      <w:r>
        <w:t xml:space="preserve">10.2 Biodegradable and Plant-Based Closure Innovations</w:t>
      </w:r>
    </w:p>
    <w:p>
      <w:pPr>
        <w:spacing w:after="140" w:line="276"/>
      </w:pPr>
      <w:r>
        <w:rPr>
          <w:sz w:val="22"/>
          <w:szCs w:val="22"/>
        </w:rPr>
        <w:t xml:space="preserve">The push toward circular economy principles has accelerated development of plant-based and biodegradable closures. Nomacorc’s Green Line, produced by Vinventions from sugarcane-derived bio-polyethylene, is marketed as carbon-negative and recyclable. Diam’s use of natural cork granules purified through supercritical CO₂ extraction occupies a hybrid position, combining renewable cork material with industrial processing. Research into fully compostable closures using biopolymers such as polylactic acid (PLA) and polyhydroxyalkanoates (PHA) is ongoing in academic laboratories, though commercial viability for wine applications—where multi-year shelf stability is required—has not yet been demonstrated.</w:t>
      </w:r>
    </w:p>
    <w:p>
      <w:pPr>
        <w:pStyle w:val="Heading2"/>
        <w:spacing w:after="180" w:before="240"/>
      </w:pPr>
      <w:r>
        <w:t xml:space="preserve">10.3 Precision Oxygen Management</w:t>
      </w:r>
    </w:p>
    <w:p>
      <w:pPr>
        <w:spacing w:after="140" w:line="276"/>
      </w:pPr>
      <w:r>
        <w:rPr>
          <w:sz w:val="22"/>
          <w:szCs w:val="22"/>
        </w:rPr>
        <w:t xml:space="preserve">The concept of tailored OTR—matching closure permeability to wine style, varietal character, and intended aging trajectory—represents the frontier of closure science. Suppliers of technical, synthetic, and screw cap closures have all developed products with defined, selectable OTR values. VinPerfect’s SmartCap and similar precision-engineered closures offer very precise oxygen permeability that can be specified at order. This approach transforms the closure from a passive seal into an active component of winemaking, though its adoption requires winemakers to manage total package oxygen rigorously, including dissolved oxygen at bottling and headspace oxygen, which may collectively exceed closure-mediated ingress.</w:t>
      </w:r>
    </w:p>
    <w:p>
      <w:r>
        <w:br w:type="page"/>
      </w:r>
    </w:p>
    <w:p>
      <w:pPr>
        <w:pStyle w:val="Heading1"/>
        <w:spacing w:after="180" w:before="360"/>
      </w:pPr>
      <w:r>
        <w:t xml:space="preserve">11. Comparative Summary</w:t>
      </w:r>
    </w:p>
    <w:p>
      <w:pPr>
        <w:spacing w:after="140" w:line="276"/>
      </w:pPr>
      <w:r>
        <w:rPr>
          <w:sz w:val="22"/>
          <w:szCs w:val="22"/>
        </w:rPr>
        <w:t xml:space="preserve">The following table summarizes the performance of each packaging type across the principal evaluation dimensions. Ratings reflect the weight of available evidence as synthesized in this report. A five-point scale is employed: Excellent (++), Good (+), Moderate (0), Poor (–), and Very Poor (––).</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1500"/>
        <w:gridCol w:w="1500"/>
        <w:gridCol w:w="1460"/>
      </w:tblGrid>
      <w:tr>
        <w:tc>
          <w:tcPr>
            <w:tcW w:type="dxa" w:w="18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30"/>
            </w:pPr>
            <w:r>
              <w:rPr>
                <w:b/>
                <w:bCs/>
                <w:color w:val="FFFFFF"/>
                <w:sz w:val="17"/>
                <w:szCs w:val="17"/>
              </w:rPr>
              <w:t xml:space="preserve">Packaging Type</w:t>
            </w:r>
          </w:p>
        </w:tc>
        <w:tc>
          <w:tcPr>
            <w:tcW w:type="dxa" w:w="16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30"/>
            </w:pPr>
            <w:r>
              <w:rPr>
                <w:b/>
                <w:bCs/>
                <w:color w:val="FFFFFF"/>
                <w:sz w:val="17"/>
                <w:szCs w:val="17"/>
              </w:rPr>
              <w:t xml:space="preserve">Preservation</w:t>
            </w:r>
          </w:p>
        </w:tc>
        <w:tc>
          <w:tcPr>
            <w:tcW w:type="dxa" w:w="15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30"/>
            </w:pPr>
            <w:r>
              <w:rPr>
                <w:b/>
                <w:bCs/>
                <w:color w:val="FFFFFF"/>
                <w:sz w:val="17"/>
                <w:szCs w:val="17"/>
              </w:rPr>
              <w:t xml:space="preserve">Sensory</w:t>
            </w:r>
          </w:p>
        </w:tc>
        <w:tc>
          <w:tcPr>
            <w:tcW w:type="dxa" w:w="15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30"/>
            </w:pPr>
            <w:r>
              <w:rPr>
                <w:b/>
                <w:bCs/>
                <w:color w:val="FFFFFF"/>
                <w:sz w:val="17"/>
                <w:szCs w:val="17"/>
              </w:rPr>
              <w:t xml:space="preserve">Cost</w:t>
            </w:r>
          </w:p>
        </w:tc>
        <w:tc>
          <w:tcPr>
            <w:tcW w:type="dxa" w:w="150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30"/>
            </w:pPr>
            <w:r>
              <w:rPr>
                <w:b/>
                <w:bCs/>
                <w:color w:val="FFFFFF"/>
                <w:sz w:val="17"/>
                <w:szCs w:val="17"/>
              </w:rPr>
              <w:t xml:space="preserve">Sustainability</w:t>
            </w:r>
          </w:p>
        </w:tc>
        <w:tc>
          <w:tcPr>
            <w:tcW w:type="dxa" w:w="1460"/>
            <w:tcBorders>
              <w:top w:val="single" w:color="999999" w:sz="1"/>
              <w:left w:val="single" w:color="999999" w:sz="1"/>
              <w:bottom w:val="single" w:color="999999" w:sz="1"/>
              <w:right w:val="single" w:color="999999" w:sz="1"/>
            </w:tcBorders>
            <w:shd w:fill="2E5090" w:val="clear"/>
            <w:tcMar>
              <w:top w:type="dxa" w:w="60"/>
              <w:left w:type="dxa" w:w="100"/>
              <w:bottom w:type="dxa" w:w="60"/>
              <w:right w:type="dxa" w:w="100"/>
            </w:tcMar>
          </w:tcPr>
          <w:p>
            <w:pPr>
              <w:spacing w:after="30"/>
            </w:pPr>
            <w:r>
              <w:rPr>
                <w:b/>
                <w:bCs/>
                <w:color w:val="FFFFFF"/>
                <w:sz w:val="17"/>
                <w:szCs w:val="17"/>
              </w:rPr>
              <w:t xml:space="preserve">Long-Term Aging</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Natural Cork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0 (variable OTR)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(tradition; TCA risk)</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(highest cost)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(renewable, biodegradable)</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(proven 30+ yr)</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Screw Cap</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(low, consistent OTR)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(aromatic retention)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(moderate cost)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0 (recyclable Al)</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(limited &gt;20 yr data)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Synthetic Cork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(high, erratic OTR)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0 (no TCA; scalping risk)</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(lowest cost)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(petroleum-based)</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(max 18–24 mo)</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Technical (Diam)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(controlled OTR)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(TCA-free, neutral)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(mid-range)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(cork-based)</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(trials to 20 yr)</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Bag-in-Box</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0 (adequate 6–12 mo)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0 (limited aging)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(lowest per-liter)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(lowest carbon)</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(not designed)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Aluminum Can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(good seal, short-term)</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0 (fresh; limited data)</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(low per-unit)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(recyclable Al)</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(12–18 mo max)</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Glass Stopper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(low OTR, inert)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(TCA-free, elegant)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(highest cost)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0 (reusable glass)</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b w:val="false"/>
                <w:bCs w:val="false"/>
                <w:color w:val="333333"/>
                <w:sz w:val="17"/>
                <w:szCs w:val="17"/>
              </w:rPr>
              <w:t xml:space="preserve">+ (promising, limited data)</w:t>
            </w:r>
          </w:p>
        </w:tc>
      </w:tr>
    </w:tbl>
    <w:p>
      <w:pPr>
        <w:spacing w:after="140" w:line="276"/>
      </w:pPr>
      <w:r>
        <w:rPr>
          <w:sz w:val="22"/>
          <w:szCs w:val="22"/>
        </w:rPr>
        <w:t xml:space="preserve">Note: Ratings for long-term aging reflect the state of current evidence. The “?” rating for screw cap long-term aging indicates that while medium-term results (10–15 years) are positive, controlled data exceeding 20 years under modern liner technology are not yet available. The “++” for natural cork aging reflects centuries of empirical evidence, despite the known risks of bottle variation and TCA.</w:t>
      </w:r>
    </w:p>
    <w:p>
      <w:r>
        <w:br w:type="page"/>
      </w:r>
    </w:p>
    <w:p>
      <w:pPr>
        <w:pStyle w:val="Heading1"/>
        <w:spacing w:after="180" w:before="360"/>
      </w:pPr>
      <w:r>
        <w:t xml:space="preserve">12. Research Gaps and Recommendations for Future Study</w:t>
      </w:r>
    </w:p>
    <w:p>
      <w:pPr>
        <w:spacing w:after="140" w:line="276"/>
      </w:pPr>
      <w:r>
        <w:rPr>
          <w:sz w:val="22"/>
          <w:szCs w:val="22"/>
        </w:rPr>
        <w:t xml:space="preserve">Despite several decades of intensive closure and packaging research, significant knowledge gaps remain. The following areas merit prioritized investigation:</w:t>
      </w:r>
    </w:p>
    <w:p>
      <w:pPr>
        <w:spacing w:after="140" w:line="276"/>
      </w:pPr>
      <w:r>
        <w:rPr>
          <w:sz w:val="22"/>
          <w:szCs w:val="22"/>
        </w:rPr>
        <w:t xml:space="preserve">First, truly long-term aging studies under screw cap and technical closures are urgently needed. While 10–15-year data are accumulating, controlled trials tracking wines under modern Saran-tin, Saranex, and Diam closures over 25–40 years are required to definitively resolve the debate over alternative closure suitability for age-worthy wines. The AWRI’s ongoing closure trials represent the gold standard, but replication across diverse wine styles, climates, and vintages would strengthen conclusions.</w:t>
      </w:r>
    </w:p>
    <w:p>
      <w:pPr>
        <w:spacing w:after="140" w:line="276"/>
      </w:pPr>
      <w:r>
        <w:rPr>
          <w:sz w:val="22"/>
          <w:szCs w:val="22"/>
        </w:rPr>
        <w:t xml:space="preserve">Second, microplastic and chemical migration from synthetic closures, can liners, BIB bladders, and PET containers warrants systematic investigation. While individual studies have examined BPA and estrogenic activity, comprehensive surveys covering the full range of commercial packaging materials, wine types (varying in pH, alcohol, and SO₂), and storage durations are lacking. Regulatory frameworks in the EU and elsewhere are tightening, and the wine industry would benefit from proactive characterization of migration risks.</w:t>
      </w:r>
    </w:p>
    <w:p>
      <w:pPr>
        <w:spacing w:after="140" w:line="276"/>
      </w:pPr>
      <w:r>
        <w:rPr>
          <w:sz w:val="22"/>
          <w:szCs w:val="22"/>
        </w:rPr>
        <w:t xml:space="preserve">Third, the sensory impact of closure choice on red wines during extended aging remains incompletely characterized. Much of the existing closure trial literature focuses on white wines—particularly Riesling, Semillon, and Sauvignon Blanc—or on aging periods of five years or fewer. Studies tracking premium red varietals (Cabernet Sauvignon, Nebbiolo, Tempranillo) under multiple closure types over 15–20 years would provide invaluable data for producers of age-worthy reds.</w:t>
      </w:r>
    </w:p>
    <w:p>
      <w:pPr>
        <w:spacing w:after="140" w:line="276"/>
      </w:pPr>
      <w:r>
        <w:rPr>
          <w:sz w:val="22"/>
          <w:szCs w:val="22"/>
        </w:rPr>
        <w:t xml:space="preserve">Fourth, the environmental lifecycle impacts of emerging packaging formats—including paper bottles, recycled PET flat bottles, and smart-label-integrated packaging—require comprehensive, peer-reviewed lifecycle assessment. Marketing claims of 84% carbon footprint reductions, while plausible, should be independently verified across multiple supply chain configurations and end-of-life scenarios.</w:t>
      </w:r>
    </w:p>
    <w:p>
      <w:pPr>
        <w:spacing w:after="140" w:line="276"/>
      </w:pPr>
      <w:r>
        <w:rPr>
          <w:sz w:val="22"/>
          <w:szCs w:val="22"/>
        </w:rPr>
        <w:t xml:space="preserve">Fifth, consumer perception research should extend beyond the cork-versus-screw-cap binary to encompass the full range of closure and packaging options now entering the market. Understanding how different demographics, cultural contexts, and occasion types influence packaging acceptance will be critical for producers navigating an increasingly fragmented market.</w:t>
      </w:r>
    </w:p>
    <w:p>
      <w:r>
        <w:br w:type="page"/>
      </w:r>
    </w:p>
    <w:p>
      <w:pPr>
        <w:pStyle w:val="Heading1"/>
        <w:spacing w:after="180" w:before="360"/>
      </w:pPr>
      <w:r>
        <w:t xml:space="preserve">13. Bibliography</w:t>
      </w:r>
    </w:p>
    <w:p>
      <w:pPr>
        <w:spacing w:after="140" w:line="276"/>
      </w:pPr>
      <w:r>
        <w:rPr>
          <w:sz w:val="22"/>
          <w:szCs w:val="22"/>
        </w:rPr>
        <w:t xml:space="preserve">Selected references cited or consulted in this report, presented in MLA format:</w:t>
      </w:r>
    </w:p>
    <w:p>
      <w:pPr>
        <w:spacing w:after="80" w:line="260"/>
        <w:ind w:left="480" w:hanging="480"/>
      </w:pPr>
      <w:r>
        <w:rPr>
          <w:sz w:val="20"/>
          <w:szCs w:val="20"/>
        </w:rPr>
        <w:t xml:space="preserve">Bekkerman, Anton, and Gary W. Brester. “Don’t Judge a Wine by Its Closure: Price Premiums for Corks in the U.S. Wine Market.” Journal of Wine Economics, vol. 14, no. 1, 2019, pp. 1–20.</w:t>
      </w:r>
    </w:p>
    <w:p>
      <w:pPr>
        <w:spacing w:after="80" w:line="260"/>
        <w:ind w:left="480" w:hanging="480"/>
      </w:pPr>
      <w:r>
        <w:rPr>
          <w:sz w:val="20"/>
          <w:szCs w:val="20"/>
        </w:rPr>
        <w:t xml:space="preserve">Godden, Peter, et al. “Wine Bottle Closures: Physical Characteristics and Effect on Composition and Sensory Properties of a Semillon Wine. 1. Performance up to 20 Months Post-Bottling.” Australian Journal of Grape and Wine Research, vol. 7, no. 2, 2001, pp. 64–105.</w:t>
      </w:r>
    </w:p>
    <w:p>
      <w:pPr>
        <w:spacing w:after="80" w:line="260"/>
        <w:ind w:left="480" w:hanging="480"/>
      </w:pPr>
      <w:r>
        <w:rPr>
          <w:sz w:val="20"/>
          <w:szCs w:val="20"/>
        </w:rPr>
        <w:t xml:space="preserve">Lopes, Paulo, et al. “Oxygen Transmission through Different Closures into Wine Bottles.” Journal of Agricultural and Food Chemistry, vol. 53, no. 18, 2005, pp. 6967–6973.</w:t>
      </w:r>
    </w:p>
    <w:p>
      <w:pPr>
        <w:spacing w:after="80" w:line="260"/>
        <w:ind w:left="480" w:hanging="480"/>
      </w:pPr>
      <w:r>
        <w:rPr>
          <w:sz w:val="20"/>
          <w:szCs w:val="20"/>
        </w:rPr>
        <w:t xml:space="preserve">Skouroumounis, George, et al. “A Wine Bottle Closure Trial: The Effect of Closure Type on Wine Composition after 5 Years.” Australian Wine Research Institute, Technical Report, 2005.</w:t>
      </w:r>
    </w:p>
    <w:p>
      <w:pPr>
        <w:spacing w:after="80" w:line="260"/>
        <w:ind w:left="480" w:hanging="480"/>
      </w:pPr>
      <w:r>
        <w:rPr>
          <w:sz w:val="20"/>
          <w:szCs w:val="20"/>
        </w:rPr>
        <w:t xml:space="preserve">Sullivan, Sean P. “Use of DIAM and Related Closures Surge; Cork Taint Remains Stubborn.” Northwest Wine Report, 22 May 2024.</w:t>
      </w:r>
    </w:p>
    <w:p>
      <w:pPr>
        <w:spacing w:after="80" w:line="260"/>
        <w:ind w:left="480" w:hanging="480"/>
      </w:pPr>
      <w:r>
        <w:rPr>
          <w:sz w:val="20"/>
          <w:szCs w:val="20"/>
        </w:rPr>
        <w:t xml:space="preserve">Sullivan, Sean P. “How Big of an Issue Is Cork Taint, Really?” Northwest Wine Report, 25 Feb. 2023.</w:t>
      </w:r>
    </w:p>
    <w:p>
      <w:pPr>
        <w:spacing w:after="80" w:line="260"/>
        <w:ind w:left="480" w:hanging="480"/>
      </w:pPr>
      <w:r>
        <w:rPr>
          <w:sz w:val="20"/>
          <w:szCs w:val="20"/>
        </w:rPr>
        <w:t xml:space="preserve">Zhou, H., et al. “Cork Taint of Wines: The Formation, Analysis, and Control of 2,4,6-Trichloroanisole.” Food Innovation and Advances, vol. 3, no. 2, 2024, pp. 111–125. doi:10.48130/fia-0024-0011.</w:t>
      </w:r>
    </w:p>
    <w:p>
      <w:pPr>
        <w:spacing w:after="80" w:line="260"/>
        <w:ind w:left="480" w:hanging="480"/>
      </w:pPr>
      <w:r>
        <w:rPr>
          <w:sz w:val="20"/>
          <w:szCs w:val="20"/>
        </w:rPr>
        <w:t xml:space="preserve">Sundell, Hans A., et al. “Bag-in-Box Packaging for Wine: Analysis of Transport Stress in Barrier Films.” Packaging Technology and Science, vol. 5, no. 6, 1992, pp. 307–313.</w:t>
      </w:r>
    </w:p>
    <w:p>
      <w:pPr>
        <w:spacing w:after="80" w:line="260"/>
        <w:ind w:left="480" w:hanging="480"/>
      </w:pPr>
      <w:r>
        <w:rPr>
          <w:sz w:val="20"/>
          <w:szCs w:val="20"/>
        </w:rPr>
        <w:t xml:space="preserve">Ghidossi, Rémy, et al. “The Influence of Packaging on Wine Conservation.” Journal International des Sciences de la Vigne et du Vin, 2012.</w:t>
      </w:r>
    </w:p>
    <w:p>
      <w:pPr>
        <w:spacing w:after="80" w:line="260"/>
        <w:ind w:left="480" w:hanging="480"/>
      </w:pPr>
      <w:r>
        <w:rPr>
          <w:sz w:val="20"/>
          <w:szCs w:val="20"/>
        </w:rPr>
        <w:t xml:space="preserve">Australian Wine Research Institute (AWRI). “Oxygen Transmission Rate.” Technical Note, 2019. awri.com.au.</w:t>
      </w:r>
    </w:p>
    <w:p>
      <w:pPr>
        <w:spacing w:after="80" w:line="260"/>
        <w:ind w:left="480" w:hanging="480"/>
      </w:pPr>
      <w:r>
        <w:rPr>
          <w:sz w:val="20"/>
          <w:szCs w:val="20"/>
        </w:rPr>
        <w:t xml:space="preserve">Cork Quality Council. “TCA Testing Data and Reports.” Multiple years. corkqc.com.</w:t>
      </w:r>
    </w:p>
    <w:p>
      <w:pPr>
        <w:spacing w:after="80" w:line="260"/>
        <w:ind w:left="480" w:hanging="480"/>
      </w:pPr>
      <w:r>
        <w:rPr>
          <w:sz w:val="20"/>
          <w:szCs w:val="20"/>
        </w:rPr>
        <w:t xml:space="preserve">Scozzafava, Gabriele, et al. “Beyond Bottles: Exploring Consumer Perceptions and Preferences for Bag-in-Box Wine Packaging.” Australian Journal of Grape and Wine Research, vol. 2024, 2024, article 9946341.</w:t>
      </w:r>
    </w:p>
    <w:p>
      <w:pPr>
        <w:spacing w:after="80" w:line="260"/>
        <w:ind w:left="480" w:hanging="480"/>
      </w:pPr>
      <w:r>
        <w:rPr>
          <w:sz w:val="20"/>
          <w:szCs w:val="20"/>
        </w:rPr>
        <w:t xml:space="preserve">Fasano, E., et al. “Bisphenol A Release from Food and Beverage Containers.” Environmental Health Perspectives, 2015.</w:t>
      </w:r>
    </w:p>
    <w:p>
      <w:pPr>
        <w:spacing w:after="80" w:line="260"/>
        <w:ind w:left="480" w:hanging="480"/>
      </w:pPr>
      <w:r>
        <w:rPr>
          <w:sz w:val="20"/>
          <w:szCs w:val="20"/>
        </w:rPr>
        <w:t xml:space="preserve">Butzke, Christian. “Cork Taint Prevalence at the Indy Wine Competition.” Vineyard and Winery Management, 2009.</w:t>
      </w:r>
    </w:p>
    <w:p>
      <w:pPr>
        <w:spacing w:after="80" w:line="260"/>
        <w:ind w:left="480" w:hanging="480"/>
      </w:pPr>
      <w:r>
        <w:rPr>
          <w:sz w:val="20"/>
          <w:szCs w:val="20"/>
        </w:rPr>
        <w:t xml:space="preserve">Nicolau, Laura. “The Influence of Closure on the Aromatic Composition of Sauvignon Blanc.” New Zealand Winegrowers, 2005.</w:t>
      </w:r>
    </w:p>
    <w:p>
      <w:pPr>
        <w:spacing w:after="80" w:line="260"/>
        <w:ind w:left="480" w:hanging="480"/>
      </w:pPr>
      <w:r>
        <w:rPr>
          <w:sz w:val="20"/>
          <w:szCs w:val="20"/>
        </w:rPr>
        <w:t xml:space="preserve">Giovanelli, Gabriella, and Oreste Brenna. “Evolution of Some Phenolic Components, Carotenoids and Chlorophylls in Wine.” European Food Research and Technology, 2007.</w:t>
      </w:r>
    </w:p>
    <w:p>
      <w:pPr>
        <w:spacing w:after="80" w:line="260"/>
        <w:ind w:left="480" w:hanging="480"/>
      </w:pPr>
      <w:r>
        <w:rPr>
          <w:sz w:val="20"/>
          <w:szCs w:val="20"/>
        </w:rPr>
        <w:t xml:space="preserve">International Organisation of Vine and Wine (OIV). “State of the World Vine and Wine Sector.” OIV Annual Reports, multiple years.</w:t>
      </w:r>
    </w:p>
    <w:p>
      <w:pPr>
        <w:spacing w:after="80" w:line="260"/>
        <w:ind w:left="480" w:hanging="480"/>
      </w:pPr>
      <w:r>
        <w:rPr>
          <w:sz w:val="20"/>
          <w:szCs w:val="20"/>
        </w:rPr>
        <w:t xml:space="preserve">Sustainable Wine Roundtable. “Lifecycle Assessment Meta-Analysis of Wine Packaging.” Technical Report, 2023.</w:t>
      </w:r>
    </w:p>
    <w:p>
      <w:pPr>
        <w:spacing w:after="80" w:line="260"/>
        <w:ind w:left="480" w:hanging="480"/>
      </w:pPr>
      <w:r>
        <w:rPr>
          <w:sz w:val="20"/>
          <w:szCs w:val="20"/>
        </w:rPr>
        <w:t xml:space="preserve">California Wine Institute. “Sustainability Study: Carbon Footprint of Wine Production.” 2020.</w:t>
      </w:r>
    </w:p>
    <w:p>
      <w:pPr>
        <w:spacing w:after="80" w:line="260"/>
        <w:ind w:left="480" w:hanging="480"/>
      </w:pPr>
      <w:r>
        <w:rPr>
          <w:sz w:val="20"/>
          <w:szCs w:val="20"/>
        </w:rPr>
        <w:t xml:space="preserve">Frugalpac / Intertek. “Lifecycle Assessment of the Frugal Bottle.” Independent Report, 2019.</w:t>
      </w:r>
    </w:p>
    <w:p>
      <w:pPr>
        <w:spacing w:after="80" w:line="260"/>
        <w:ind w:left="480" w:hanging="480"/>
      </w:pPr>
      <w:r>
        <w:rPr>
          <w:sz w:val="20"/>
          <w:szCs w:val="20"/>
        </w:rPr>
        <w:t xml:space="preserve">Pollnitz, Alan, et al. “Incidence of 2,4,6-Trichloroanisole in a Range of Cork Products.” Australian Journal of Grape and Wine Research, vol. 2, 1996, pp. 144–151.</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Calibri" w:cs="Calibri" w:eastAsia="Calibri" w:hAnsi="Calibri"/>
        <w:i/>
        <w:iCs/>
        <w:color w:val="888888"/>
        <w:sz w:val="18"/>
        <w:szCs w:val="18"/>
      </w:rPr>
      <w:t xml:space="preserve">Wine Packaging Methods: A Comprehensive Academic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472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2026-03-31T22:49:16.785Z</dcterms:created>
  <dcterms:modified xsi:type="dcterms:W3CDTF">2026-03-31T22:49:16.786Z</dcterms:modified>
</cp:coreProperties>
</file>

<file path=docProps/custom.xml><?xml version="1.0" encoding="utf-8"?>
<Properties xmlns="http://schemas.openxmlformats.org/officeDocument/2006/custom-properties" xmlns:vt="http://schemas.openxmlformats.org/officeDocument/2006/docPropsVTypes"/>
</file>