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2160" w:hanging="2160"/>
        <w:rPr>
          <w:rFonts w:ascii="Source Sans Pro" w:hAnsi="Source Sans Pro" w:eastAsia="Source Sans Pro" w:cs="Source Sans Pro"/>
          <w:color w:val="FF0000"/>
          <w:sz w:val="24"/>
          <w:szCs w:val="24"/>
        </w:rPr>
      </w:pPr>
      <w:r>
        <w:rPr>
          <w:rFonts w:ascii="Source Sans Pro" w:hAnsi="Source Sans Pro" w:eastAsia="Source Sans Pro" w:cs="Source Sans Pro"/>
          <w:sz w:val="24"/>
          <w:szCs w:val="24"/>
        </w:rPr>
        <w:t xml:space="preserve">Semester/ Term: </w:t>
      </w:r>
      <w:r>
        <w:tab/>
      </w:r>
      <w:r>
        <w:t>Fall/2</w:t>
      </w:r>
    </w:p>
    <w:p>
      <w:pPr>
        <w:spacing w:line="240" w:lineRule="auto"/>
        <w:ind w:left="2160" w:hanging="2160"/>
        <w:rPr>
          <w:rFonts w:ascii="Source Sans Pro" w:hAnsi="Source Sans Pro" w:eastAsia="Source Sans Pro" w:cs="Source Sans Pro"/>
          <w:color w:val="FF0000"/>
          <w:sz w:val="24"/>
          <w:szCs w:val="24"/>
        </w:rPr>
      </w:pPr>
      <w:r>
        <w:rPr>
          <w:rFonts w:ascii="Source Sans Pro" w:hAnsi="Source Sans Pro" w:eastAsia="Source Sans Pro" w:cs="Source Sans Pro"/>
          <w:sz w:val="24"/>
          <w:szCs w:val="24"/>
        </w:rPr>
        <w:t xml:space="preserve">Course Dates: </w:t>
      </w:r>
      <w:r>
        <w:tab/>
      </w:r>
    </w:p>
    <w:p>
      <w:pPr>
        <w:spacing w:line="240" w:lineRule="auto"/>
        <w:ind w:left="2160" w:hanging="2160"/>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Instructor Name: </w:t>
      </w:r>
      <w:r>
        <w:tab/>
      </w:r>
      <w:r>
        <w:rPr>
          <w:rFonts w:ascii="Source Sans Pro" w:hAnsi="Source Sans Pro" w:eastAsia="Source Sans Pro" w:cs="Source Sans Pro"/>
          <w:sz w:val="24"/>
          <w:szCs w:val="24"/>
        </w:rPr>
        <w:t>Dr. Tony Sulpizio (Dr. T.)</w:t>
      </w:r>
    </w:p>
    <w:p>
      <w:pPr>
        <w:spacing w:line="240" w:lineRule="auto"/>
        <w:ind w:left="2160" w:hanging="2160"/>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Email Address: </w:t>
      </w:r>
      <w:r>
        <w:tab/>
      </w:r>
      <w:r>
        <w:rPr>
          <w:rFonts w:ascii="Source Sans Pro" w:hAnsi="Source Sans Pro" w:eastAsia="Source Sans Pro" w:cs="Source Sans Pro"/>
          <w:sz w:val="24"/>
          <w:szCs w:val="24"/>
        </w:rPr>
        <w:t>arsulpizio@unh.edu</w:t>
      </w:r>
    </w:p>
    <w:p>
      <w:pPr>
        <w:spacing w:line="240" w:lineRule="auto"/>
        <w:ind w:left="2160" w:hanging="2160"/>
        <w:rPr>
          <w:rFonts w:ascii="Source Sans Pro" w:hAnsi="Source Sans Pro" w:eastAsia="Source Sans Pro" w:cs="Source Sans Pro"/>
          <w:color w:val="FF0000"/>
          <w:sz w:val="24"/>
          <w:szCs w:val="24"/>
        </w:rPr>
      </w:pPr>
      <w:r>
        <w:rPr>
          <w:rFonts w:ascii="Source Sans Pro" w:hAnsi="Source Sans Pro" w:eastAsia="Source Sans Pro" w:cs="Source Sans Pro"/>
          <w:sz w:val="24"/>
          <w:szCs w:val="24"/>
        </w:rPr>
        <w:t xml:space="preserve">Phone #: </w:t>
      </w:r>
      <w:r>
        <w:tab/>
      </w:r>
    </w:p>
    <w:p>
      <w:pPr>
        <w:spacing w:line="240" w:lineRule="auto"/>
        <w:ind w:left="2160" w:hanging="2160"/>
        <w:rPr>
          <w:rFonts w:ascii="Source Sans Pro" w:hAnsi="Source Sans Pro" w:eastAsia="Source Sans Pro" w:cs="Source Sans Pro"/>
          <w:color w:val="FF0000"/>
          <w:sz w:val="24"/>
          <w:szCs w:val="24"/>
        </w:rPr>
      </w:pPr>
      <w:r>
        <w:rPr>
          <w:rFonts w:ascii="Source Sans Pro" w:hAnsi="Source Sans Pro" w:eastAsia="Source Sans Pro" w:cs="Source Sans Pro"/>
          <w:sz w:val="24"/>
          <w:szCs w:val="24"/>
        </w:rPr>
        <w:t xml:space="preserve">Availability: </w:t>
      </w:r>
      <w:r>
        <w:tab/>
      </w:r>
      <w:r>
        <w:t>Can meet upon request</w:t>
      </w:r>
    </w:p>
    <w:p>
      <w:pPr>
        <w:spacing w:line="240" w:lineRule="auto"/>
        <w:rPr>
          <w:rFonts w:ascii="Source Sans Pro" w:hAnsi="Source Sans Pro" w:eastAsia="Source Sans Pro" w:cs="Source Sans Pro"/>
          <w:b/>
          <w:bCs/>
          <w:sz w:val="24"/>
          <w:szCs w:val="24"/>
        </w:rPr>
      </w:pPr>
      <w:r>
        <w:drawing>
          <wp:inline distT="0" distB="0" distL="0" distR="0">
            <wp:extent cx="6466205" cy="120650"/>
            <wp:effectExtent l="0" t="0" r="0" b="0"/>
            <wp:docPr id="2077096378" name="Picture 2077096378" descr="Horizontal blue line used to separate sections" title="Horizontal blue 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96378" name="Picture 2077096378" descr="Horizontal blue line used to separate sections" title="Horizontal blue line "/>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08273" cy="127655"/>
                    </a:xfrm>
                    <a:prstGeom prst="rect">
                      <a:avLst/>
                    </a:prstGeom>
                  </pic:spPr>
                </pic:pic>
              </a:graphicData>
            </a:graphic>
          </wp:inline>
        </w:drawing>
      </w:r>
      <w:r>
        <w:rPr>
          <w:rFonts w:ascii="Source Sans Pro" w:hAnsi="Source Sans Pro" w:eastAsia="Source Sans Pro" w:cs="Source Sans Pro"/>
          <w:b/>
          <w:bCs/>
          <w:sz w:val="24"/>
          <w:szCs w:val="24"/>
        </w:rPr>
        <w:t xml:space="preserve"> </w:t>
      </w:r>
    </w:p>
    <w:p>
      <w:pPr>
        <w:spacing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Course Description: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Advanced analytics is of utmost importance in today's data-driven world. It empowers organizations to make informed decisions, enhance customer experience, and improve efficiency. With the ability to analyze vast amounts of data, advanced analytics provides valuable insights that can drive business growth and success. As technology continues to evolve, the importance of advanced analytics will only increase, and organizations that embrace it will stay ahead of the competition.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PREREQUISITE(S): DAT-620</w:t>
      </w:r>
    </w:p>
    <w:p>
      <w:pPr>
        <w:spacing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Learning Outcomes:</w:t>
      </w:r>
    </w:p>
    <w:p>
      <w:pPr>
        <w:pStyle w:val="13"/>
        <w:numPr>
          <w:ilvl w:val="0"/>
          <w:numId w:val="1"/>
        </w:numPr>
        <w:spacing w:before="0" w:beforeAutospacing="0" w:after="0" w:afterAutospacing="0"/>
        <w:rPr>
          <w:rFonts w:ascii="Source Sans Pro" w:hAnsi="Source Sans Pro"/>
          <w:color w:val="000000"/>
        </w:rPr>
      </w:pPr>
      <w:r>
        <w:rPr>
          <w:rFonts w:ascii="Source Sans Pro" w:hAnsi="Source Sans Pro"/>
          <w:color w:val="000000"/>
        </w:rPr>
        <w:t>Identify the foundations of applied probability and statistics and their relevance in day-to-day data analysis, computing needs, and data storage.</w:t>
      </w:r>
    </w:p>
    <w:p>
      <w:pPr>
        <w:pStyle w:val="13"/>
        <w:numPr>
          <w:ilvl w:val="0"/>
          <w:numId w:val="1"/>
        </w:numPr>
        <w:spacing w:before="0" w:beforeAutospacing="0" w:after="0" w:afterAutospacing="0"/>
        <w:rPr>
          <w:rFonts w:ascii="Source Sans Pro" w:hAnsi="Source Sans Pro"/>
          <w:color w:val="000000"/>
        </w:rPr>
      </w:pPr>
      <w:r>
        <w:rPr>
          <w:rFonts w:ascii="Source Sans Pro" w:hAnsi="Source Sans Pro"/>
          <w:color w:val="000000"/>
        </w:rPr>
        <w:t>Apply various data visualization techniques using real-world data sets and analyze graphs and charts.</w:t>
      </w:r>
    </w:p>
    <w:p>
      <w:pPr>
        <w:pStyle w:val="13"/>
        <w:numPr>
          <w:ilvl w:val="0"/>
          <w:numId w:val="1"/>
        </w:numPr>
        <w:spacing w:before="0" w:beforeAutospacing="0" w:after="0" w:afterAutospacing="0"/>
        <w:rPr>
          <w:rFonts w:ascii="Source Sans Pro" w:hAnsi="Source Sans Pro"/>
          <w:color w:val="000000"/>
        </w:rPr>
      </w:pPr>
      <w:r>
        <w:rPr>
          <w:rFonts w:ascii="Source Sans Pro" w:hAnsi="Source Sans Pro"/>
          <w:color w:val="000000"/>
        </w:rPr>
        <w:t>Demonstrate the use of web analytics and metrics, procuring and processing unstructured text/data, and the ability to investigate hidden patterns.</w:t>
      </w:r>
    </w:p>
    <w:p>
      <w:pPr>
        <w:pStyle w:val="13"/>
        <w:numPr>
          <w:ilvl w:val="0"/>
          <w:numId w:val="1"/>
        </w:numPr>
        <w:spacing w:before="0" w:beforeAutospacing="0" w:after="0" w:afterAutospacing="0"/>
        <w:rPr>
          <w:rFonts w:ascii="Source Sans Pro" w:hAnsi="Source Sans Pro"/>
          <w:color w:val="000000"/>
        </w:rPr>
      </w:pPr>
      <w:r>
        <w:rPr>
          <w:rFonts w:ascii="Source Sans Pro" w:hAnsi="Source Sans Pro"/>
          <w:color w:val="000000"/>
        </w:rPr>
        <w:t>Implement machine-learning algorithms, data-mining techniques, and their pertinence in real-world applications.</w:t>
      </w:r>
    </w:p>
    <w:p>
      <w:pPr>
        <w:pStyle w:val="13"/>
        <w:numPr>
          <w:ilvl w:val="0"/>
          <w:numId w:val="1"/>
        </w:numPr>
        <w:spacing w:before="0" w:beforeAutospacing="0" w:after="0" w:afterAutospacing="0"/>
        <w:rPr>
          <w:rFonts w:ascii="Source Sans Pro" w:hAnsi="Source Sans Pro"/>
          <w:color w:val="000000"/>
        </w:rPr>
      </w:pPr>
      <w:r>
        <w:rPr>
          <w:rFonts w:ascii="Source Sans Pro" w:hAnsi="Source Sans Pro"/>
          <w:color w:val="000000"/>
        </w:rPr>
        <w:t>Apply data analytics techniques, skills, and critical thinking and identify the possibilities and limitations of their applications.</w:t>
      </w:r>
    </w:p>
    <w:p>
      <w:pPr>
        <w:spacing w:line="240" w:lineRule="auto"/>
        <w:rPr>
          <w:rFonts w:ascii="Source Sans Pro" w:hAnsi="Source Sans Pro" w:eastAsia="Source Sans Pro" w:cs="Source Sans Pro"/>
          <w:b/>
          <w:bCs/>
          <w:sz w:val="24"/>
          <w:szCs w:val="24"/>
        </w:rPr>
      </w:pPr>
      <w:r>
        <w:drawing>
          <wp:inline distT="0" distB="0" distL="0" distR="0">
            <wp:extent cx="6466205" cy="120650"/>
            <wp:effectExtent l="0" t="0" r="0" b="0"/>
            <wp:docPr id="2077096379" name="Picture 2077096379" descr="Horizontal blue line used to separate sections" title="Horizontal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96379" name="Picture 2077096379" descr="Horizontal blue line used to separate sections" title="Horizontal blue lin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49936" cy="126561"/>
                    </a:xfrm>
                    <a:prstGeom prst="rect">
                      <a:avLst/>
                    </a:prstGeom>
                  </pic:spPr>
                </pic:pic>
              </a:graphicData>
            </a:graphic>
          </wp:inline>
        </w:drawing>
      </w:r>
      <w:r>
        <w:br w:type="textWrapping"/>
      </w:r>
    </w:p>
    <w:p>
      <w:pPr>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br w:type="page"/>
      </w:r>
    </w:p>
    <w:p>
      <w:pPr>
        <w:spacing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Course Resources:</w:t>
      </w:r>
    </w:p>
    <w:p>
      <w:pPr>
        <w:widowControl w:val="0"/>
        <w:spacing w:line="240" w:lineRule="auto"/>
        <w:rPr>
          <w:rFonts w:ascii="Source Sans Pro" w:hAnsi="Source Sans Pro" w:eastAsia="Source Sans Pro" w:cs="Source Sans Pro"/>
        </w:rPr>
      </w:pPr>
      <w:r>
        <w:rPr>
          <w:rFonts w:ascii="Source Sans Pro" w:hAnsi="Source Sans Pro" w:eastAsia="Source Sans Pro" w:cs="Source Sans Pro"/>
          <w:color w:val="000000" w:themeColor="text1"/>
          <w14:textFill>
            <w14:solidFill>
              <w14:schemeClr w14:val="tx1"/>
            </w14:solidFill>
          </w14:textFill>
        </w:rPr>
        <w:t xml:space="preserve">The following resources are available via the </w:t>
      </w:r>
      <w:r>
        <w:fldChar w:fldCharType="begin"/>
      </w:r>
      <w:r>
        <w:instrText xml:space="preserve"> HYPERLINK "https://unh.bncollege.com" \h </w:instrText>
      </w:r>
      <w:r>
        <w:fldChar w:fldCharType="separate"/>
      </w:r>
      <w:r>
        <w:rPr>
          <w:rStyle w:val="12"/>
          <w:rFonts w:ascii="Source Sans Pro" w:hAnsi="Source Sans Pro" w:eastAsia="Source Sans Pro" w:cs="Source Sans Pro"/>
        </w:rPr>
        <w:t>CPS online bookstore</w:t>
      </w:r>
      <w:r>
        <w:rPr>
          <w:rStyle w:val="12"/>
          <w:rFonts w:ascii="Source Sans Pro" w:hAnsi="Source Sans Pro" w:eastAsia="Source Sans Pro" w:cs="Source Sans Pro"/>
        </w:rPr>
        <w:fldChar w:fldCharType="end"/>
      </w:r>
      <w:r>
        <w:rPr>
          <w:rFonts w:ascii="Source Sans Pro" w:hAnsi="Source Sans Pro" w:eastAsia="Source Sans Pro" w:cs="Source Sans Pro"/>
          <w:color w:val="000000" w:themeColor="text1"/>
          <w14:textFill>
            <w14:solidFill>
              <w14:schemeClr w14:val="tx1"/>
            </w14:solidFill>
          </w14:textFill>
        </w:rPr>
        <w:t>.</w:t>
      </w:r>
    </w:p>
    <w:tbl>
      <w:tblPr>
        <w:tblStyle w:val="19"/>
        <w:tblW w:w="10252" w:type="dxa"/>
        <w:tblInd w:w="0" w:type="dxa"/>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52"/>
        <w:gridCol w:w="2070"/>
        <w:gridCol w:w="900"/>
        <w:gridCol w:w="720"/>
        <w:gridCol w:w="1890"/>
        <w:gridCol w:w="1620"/>
      </w:tblGrid>
      <w:tr>
        <w:tblPrEx>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30" w:hRule="atLeast"/>
        </w:trPr>
        <w:tc>
          <w:tcPr>
            <w:tcW w:w="3052" w:type="dxa"/>
            <w:shd w:val="clear" w:color="auto" w:fill="E7E6E6" w:themeFill="background2"/>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Title</w:t>
            </w:r>
          </w:p>
        </w:tc>
        <w:tc>
          <w:tcPr>
            <w:tcW w:w="2070" w:type="dxa"/>
            <w:shd w:val="clear" w:color="auto" w:fill="E7E6E6" w:themeFill="background2"/>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Author</w:t>
            </w:r>
          </w:p>
        </w:tc>
        <w:tc>
          <w:tcPr>
            <w:tcW w:w="900" w:type="dxa"/>
            <w:shd w:val="clear" w:color="auto" w:fill="E7E6E6" w:themeFill="background2"/>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Edition</w:t>
            </w:r>
          </w:p>
        </w:tc>
        <w:tc>
          <w:tcPr>
            <w:tcW w:w="720" w:type="dxa"/>
            <w:shd w:val="clear" w:color="auto" w:fill="E7E6E6" w:themeFill="background2"/>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Year</w:t>
            </w:r>
          </w:p>
        </w:tc>
        <w:tc>
          <w:tcPr>
            <w:tcW w:w="1890" w:type="dxa"/>
            <w:shd w:val="clear" w:color="auto" w:fill="E7E6E6" w:themeFill="background2"/>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ISBN #</w:t>
            </w:r>
          </w:p>
        </w:tc>
        <w:tc>
          <w:tcPr>
            <w:tcW w:w="1620" w:type="dxa"/>
            <w:shd w:val="clear" w:color="auto" w:fill="E7E6E6" w:themeFill="background2"/>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Required or Recommended</w:t>
            </w:r>
          </w:p>
        </w:tc>
      </w:tr>
      <w:tr>
        <w:tblPrEx>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0" w:hRule="atLeast"/>
        </w:trPr>
        <w:tc>
          <w:tcPr>
            <w:tcW w:w="3052" w:type="dxa"/>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1.  Designing Data-Intensive Applications</w:t>
            </w:r>
          </w:p>
        </w:tc>
        <w:tc>
          <w:tcPr>
            <w:tcW w:w="2070" w:type="dxa"/>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Martin Kleppmann</w:t>
            </w:r>
          </w:p>
        </w:tc>
        <w:tc>
          <w:tcPr>
            <w:tcW w:w="900" w:type="dxa"/>
            <w:tcMar>
              <w:left w:w="105" w:type="dxa"/>
              <w:right w:w="105" w:type="dxa"/>
            </w:tcMar>
          </w:tcPr>
          <w:p>
            <w:pPr>
              <w:widowControl w:val="0"/>
              <w:spacing w:after="0" w:line="240" w:lineRule="auto"/>
              <w:rPr>
                <w:rFonts w:ascii="Source Sans Pro" w:hAnsi="Source Sans Pro" w:eastAsia="Source Sans Pro" w:cs="Source Sans Pro"/>
              </w:rPr>
            </w:pPr>
          </w:p>
        </w:tc>
        <w:tc>
          <w:tcPr>
            <w:tcW w:w="720" w:type="dxa"/>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2022</w:t>
            </w:r>
          </w:p>
        </w:tc>
        <w:tc>
          <w:tcPr>
            <w:tcW w:w="1890" w:type="dxa"/>
            <w:tcMar>
              <w:left w:w="105" w:type="dxa"/>
              <w:right w:w="105" w:type="dxa"/>
            </w:tcMar>
          </w:tcPr>
          <w:p>
            <w:pPr>
              <w:widowControl w:val="0"/>
              <w:spacing w:after="0" w:line="240" w:lineRule="auto"/>
              <w:rPr>
                <w:rFonts w:ascii="Source Sans Pro" w:hAnsi="Source Sans Pro" w:eastAsia="Source Sans Pro" w:cs="Source Sans Pro"/>
              </w:rPr>
            </w:pPr>
            <w:r>
              <w:fldChar w:fldCharType="begin"/>
            </w:r>
            <w:r>
              <w:instrText xml:space="preserve"> HYPERLINK "https://learning.oreilly.com/library/view/designing-data-intensive-applications/9781491903063" </w:instrText>
            </w:r>
            <w:r>
              <w:fldChar w:fldCharType="separate"/>
            </w:r>
            <w:r>
              <w:rPr>
                <w:rStyle w:val="12"/>
                <w:rFonts w:cs="Times New Roman"/>
              </w:rPr>
              <w:t>978-1449373320</w:t>
            </w:r>
            <w:r>
              <w:rPr>
                <w:rStyle w:val="12"/>
                <w:rFonts w:cs="Times New Roman"/>
              </w:rPr>
              <w:fldChar w:fldCharType="end"/>
            </w:r>
          </w:p>
        </w:tc>
        <w:tc>
          <w:tcPr>
            <w:tcW w:w="1620" w:type="dxa"/>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Required</w:t>
            </w:r>
          </w:p>
        </w:tc>
      </w:tr>
    </w:tbl>
    <w:p>
      <w:pPr>
        <w:spacing w:after="0" w:line="240" w:lineRule="auto"/>
        <w:rPr>
          <w:rFonts w:ascii="Source Sans Pro" w:hAnsi="Source Sans Pro" w:eastAsia="Source Sans Pro" w:cs="Source Sans Pro"/>
        </w:rPr>
      </w:pPr>
    </w:p>
    <w:p>
      <w:pPr>
        <w:rPr>
          <w:rFonts w:cs="Times New Roman"/>
        </w:rPr>
      </w:pPr>
      <w:r>
        <w:rPr>
          <w:rFonts w:ascii="Source Sans Pro" w:hAnsi="Source Sans Pro" w:eastAsia="Source Sans Pro" w:cs="Source Sans Pro"/>
        </w:rPr>
        <w:t xml:space="preserve">For our textbooks, please </w:t>
      </w:r>
      <w:r>
        <w:rPr>
          <w:rFonts w:cs="Times New Roman"/>
        </w:rPr>
        <w:t xml:space="preserve">Login to O’Reilly with UNH email.  </w:t>
      </w:r>
      <w:r>
        <w:fldChar w:fldCharType="begin"/>
      </w:r>
      <w:r>
        <w:instrText xml:space="preserve"> HYPERLINK "https://learning.oreilly.com/home/" </w:instrText>
      </w:r>
      <w:r>
        <w:fldChar w:fldCharType="separate"/>
      </w:r>
      <w:r>
        <w:rPr>
          <w:rStyle w:val="9"/>
        </w:rPr>
        <w:t>Li</w:t>
      </w:r>
      <w:bookmarkStart w:id="0" w:name="_GoBack"/>
      <w:bookmarkEnd w:id="0"/>
      <w:r>
        <w:rPr>
          <w:rStyle w:val="9"/>
        </w:rPr>
        <w:t>nk</w:t>
      </w:r>
      <w:r>
        <w:rPr>
          <w:rStyle w:val="12"/>
        </w:rPr>
        <w:fldChar w:fldCharType="end"/>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Other Class Materials:</w:t>
      </w:r>
    </w:p>
    <w:p>
      <w:pPr>
        <w:spacing w:line="240" w:lineRule="auto"/>
        <w:rPr>
          <w:rFonts w:ascii="Source Sans Pro" w:hAnsi="Source Sans Pro" w:eastAsia="Source Sans Pro" w:cs="Source Sans Pro"/>
        </w:rPr>
      </w:pPr>
      <w:r>
        <w:rPr>
          <w:rFonts w:ascii="Source Sans Pro" w:hAnsi="Source Sans Pro" w:eastAsia="Source Sans Pro" w:cs="Source Sans Pro"/>
        </w:rPr>
        <w:t>YouTube, LinkedIn, and other search engines will be helpful in this course.</w:t>
      </w:r>
    </w:p>
    <w:p>
      <w:pPr>
        <w:spacing w:line="240" w:lineRule="auto"/>
        <w:rPr>
          <w:rFonts w:ascii="Source Sans Pro" w:hAnsi="Source Sans Pro" w:eastAsia="Source Sans Pro" w:cs="Source Sans Pro"/>
          <w:b/>
          <w:bCs/>
          <w:sz w:val="24"/>
          <w:szCs w:val="24"/>
        </w:rPr>
      </w:pPr>
      <w:r>
        <w:drawing>
          <wp:inline distT="0" distB="0" distL="0" distR="0">
            <wp:extent cx="6707505" cy="125730"/>
            <wp:effectExtent l="0" t="0" r="0" b="7620"/>
            <wp:docPr id="2077096380" name="Picture 2077096380" descr="Horizontal blue line used to separate sections" title="Horizontal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96380" name="Picture 2077096380" descr="Horizontal blue line used to separate sections" title="Horizontal blue lin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65716" cy="132481"/>
                    </a:xfrm>
                    <a:prstGeom prst="rect">
                      <a:avLst/>
                    </a:prstGeom>
                  </pic:spPr>
                </pic:pic>
              </a:graphicData>
            </a:graphic>
          </wp:inline>
        </w:drawing>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Course Policies: </w:t>
      </w:r>
    </w:p>
    <w:p>
      <w:pPr>
        <w:spacing w:after="0" w:line="240" w:lineRule="auto"/>
        <w:ind w:left="360"/>
        <w:rPr>
          <w:rFonts w:ascii="Source Sans Pro" w:hAnsi="Source Sans Pro" w:eastAsia="Source Sans Pro" w:cs="Source Sans Pro"/>
          <w:sz w:val="24"/>
          <w:szCs w:val="24"/>
        </w:rPr>
      </w:pPr>
      <w:r>
        <w:rPr>
          <w:rFonts w:ascii="Source Sans Pro" w:hAnsi="Source Sans Pro" w:eastAsia="Source Sans Pro" w:cs="Source Sans Pro"/>
          <w:sz w:val="24"/>
          <w:szCs w:val="24"/>
        </w:rPr>
        <w:t>Each week, you will be expected to:</w:t>
      </w:r>
    </w:p>
    <w:p>
      <w:pPr>
        <w:pStyle w:val="15"/>
        <w:numPr>
          <w:ilvl w:val="0"/>
          <w:numId w:val="2"/>
        </w:numPr>
        <w:spacing w:after="0" w:line="240" w:lineRule="auto"/>
        <w:ind w:left="990" w:hanging="270"/>
        <w:rPr>
          <w:rFonts w:ascii="Source Sans Pro" w:hAnsi="Source Sans Pro" w:eastAsia="Source Sans Pro" w:cs="Source Sans Pro"/>
          <w:sz w:val="24"/>
          <w:szCs w:val="24"/>
        </w:rPr>
      </w:pPr>
      <w:r>
        <w:rPr>
          <w:rFonts w:ascii="Source Sans Pro" w:hAnsi="Source Sans Pro" w:eastAsia="Source Sans Pro" w:cs="Source Sans Pro"/>
          <w:sz w:val="24"/>
          <w:szCs w:val="24"/>
        </w:rPr>
        <w:t>Review the week's learning objectives.</w:t>
      </w:r>
    </w:p>
    <w:p>
      <w:pPr>
        <w:pStyle w:val="15"/>
        <w:numPr>
          <w:ilvl w:val="0"/>
          <w:numId w:val="2"/>
        </w:numPr>
        <w:spacing w:after="0" w:line="240" w:lineRule="auto"/>
        <w:ind w:left="990" w:hanging="270"/>
        <w:rPr>
          <w:rFonts w:ascii="Source Sans Pro" w:hAnsi="Source Sans Pro" w:eastAsia="Source Sans Pro" w:cs="Source Sans Pro"/>
          <w:sz w:val="24"/>
          <w:szCs w:val="24"/>
        </w:rPr>
      </w:pPr>
      <w:r>
        <w:rPr>
          <w:rFonts w:ascii="Source Sans Pro" w:hAnsi="Source Sans Pro" w:eastAsia="Source Sans Pro" w:cs="Source Sans Pro"/>
          <w:sz w:val="24"/>
          <w:szCs w:val="24"/>
        </w:rPr>
        <w:t>Complete all assigned readings.</w:t>
      </w:r>
    </w:p>
    <w:p>
      <w:pPr>
        <w:pStyle w:val="15"/>
        <w:numPr>
          <w:ilvl w:val="0"/>
          <w:numId w:val="2"/>
        </w:numPr>
        <w:spacing w:after="0" w:line="240" w:lineRule="auto"/>
        <w:ind w:left="990" w:hanging="270"/>
        <w:rPr>
          <w:rFonts w:ascii="Source Sans Pro" w:hAnsi="Source Sans Pro" w:eastAsia="Source Sans Pro" w:cs="Source Sans Pro"/>
          <w:sz w:val="24"/>
          <w:szCs w:val="24"/>
        </w:rPr>
      </w:pPr>
      <w:r>
        <w:rPr>
          <w:rFonts w:ascii="Source Sans Pro" w:hAnsi="Source Sans Pro" w:eastAsia="Source Sans Pro" w:cs="Source Sans Pro"/>
          <w:sz w:val="24"/>
          <w:szCs w:val="24"/>
        </w:rPr>
        <w:t>Read and review all lecture materials for the week.</w:t>
      </w:r>
    </w:p>
    <w:p>
      <w:pPr>
        <w:pStyle w:val="15"/>
        <w:numPr>
          <w:ilvl w:val="0"/>
          <w:numId w:val="2"/>
        </w:numPr>
        <w:spacing w:after="0" w:line="240" w:lineRule="auto"/>
        <w:ind w:left="990" w:hanging="270"/>
        <w:rPr>
          <w:rFonts w:ascii="Source Sans Pro" w:hAnsi="Source Sans Pro" w:eastAsia="Source Sans Pro" w:cs="Source Sans Pro"/>
          <w:sz w:val="24"/>
          <w:szCs w:val="24"/>
        </w:rPr>
      </w:pPr>
      <w:r>
        <w:rPr>
          <w:rFonts w:ascii="Source Sans Pro" w:hAnsi="Source Sans Pro" w:eastAsia="Source Sans Pro" w:cs="Source Sans Pro"/>
          <w:sz w:val="24"/>
          <w:szCs w:val="24"/>
        </w:rPr>
        <w:t>Participate fully in the Discussion Forum per the Rubric requirements.</w:t>
      </w:r>
    </w:p>
    <w:p>
      <w:pPr>
        <w:pStyle w:val="15"/>
        <w:numPr>
          <w:ilvl w:val="0"/>
          <w:numId w:val="2"/>
        </w:numPr>
        <w:spacing w:after="0" w:line="240" w:lineRule="auto"/>
        <w:ind w:left="990" w:hanging="270"/>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Complete and submit all assignments by the due dates. </w:t>
      </w:r>
    </w:p>
    <w:p>
      <w:pPr>
        <w:spacing w:after="0" w:line="240" w:lineRule="auto"/>
        <w:ind w:left="360"/>
        <w:rPr>
          <w:rFonts w:ascii="Source Sans Pro" w:hAnsi="Source Sans Pro" w:eastAsia="Source Sans Pro" w:cs="Source Sans Pro"/>
          <w:sz w:val="24"/>
          <w:szCs w:val="24"/>
        </w:rPr>
      </w:pPr>
      <w:r>
        <w:rPr>
          <w:rFonts w:ascii="Source Sans Pro" w:hAnsi="Source Sans Pro" w:eastAsia="Source Sans Pro" w:cs="Source Sans Pro"/>
          <w:sz w:val="24"/>
          <w:szCs w:val="24"/>
        </w:rPr>
        <w:t>Unexcused late submissions will receive a 10% deduction; no submissions will be accepted more than 7 days after the original due date. No extensions to the DB beyond Day 7 @ 11:59pm local time will be granted unless prior arrangements have been made with the instructor.</w:t>
      </w:r>
    </w:p>
    <w:p>
      <w:pPr>
        <w:spacing w:after="0" w:line="240" w:lineRule="auto"/>
        <w:rPr>
          <w:rFonts w:ascii="Source Sans Pro" w:hAnsi="Source Sans Pro" w:eastAsia="Source Sans Pro" w:cs="Source Sans Pro"/>
          <w:color w:val="FF0000"/>
          <w:sz w:val="24"/>
          <w:szCs w:val="24"/>
        </w:rPr>
      </w:pP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Description of Course Activities and Requirements: </w:t>
      </w:r>
    </w:p>
    <w:p>
      <w:pPr>
        <w:spacing w:after="0" w:line="240" w:lineRule="auto"/>
        <w:ind w:left="720"/>
        <w:rPr>
          <w:rFonts w:ascii="Source Sans Pro" w:hAnsi="Source Sans Pro" w:eastAsia="Source Sans Pro" w:cs="Source Sans Pro"/>
          <w:sz w:val="24"/>
          <w:szCs w:val="24"/>
        </w:rPr>
      </w:pPr>
      <w:r>
        <w:rPr>
          <w:rFonts w:ascii="Source Sans Pro" w:hAnsi="Source Sans Pro" w:eastAsia="Source Sans Pro" w:cs="Source Sans Pro"/>
          <w:sz w:val="24"/>
          <w:szCs w:val="24"/>
        </w:rPr>
        <w:t>This course consists of reading, journals, MS Excel work, Data gathering, cleaning, and presenting.  Please use the latest version of Excel provided to you by UNH.  The DMBOK is a book for the Data Industry and will be foundational to this course and follow on courses.</w:t>
      </w:r>
    </w:p>
    <w:p>
      <w:pPr>
        <w:spacing w:after="0" w:line="240" w:lineRule="auto"/>
        <w:ind w:left="720"/>
        <w:rPr>
          <w:rFonts w:ascii="Source Sans Pro" w:hAnsi="Source Sans Pro" w:eastAsia="Source Sans Pro" w:cs="Source Sans Pro"/>
          <w:sz w:val="24"/>
          <w:szCs w:val="24"/>
        </w:rPr>
      </w:pP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Grading Percentages: </w:t>
      </w:r>
    </w:p>
    <w:p>
      <w:pPr>
        <w:spacing w:line="240" w:lineRule="auto"/>
        <w:rPr>
          <w:rFonts w:ascii="Source Sans Pro" w:hAnsi="Source Sans Pro" w:eastAsia="Source Sans Pro" w:cs="Source Sans Pro"/>
          <w:color w:val="FF0000"/>
          <w:sz w:val="24"/>
          <w:szCs w:val="24"/>
        </w:rPr>
      </w:pPr>
    </w:p>
    <w:tbl>
      <w:tblPr>
        <w:tblStyle w:val="19"/>
        <w:tblW w:w="0" w:type="auto"/>
        <w:jc w:val="center"/>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00"/>
        <w:gridCol w:w="2355"/>
      </w:tblGrid>
      <w:tr>
        <w:tblPrEx>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PrEx>
        <w:trPr>
          <w:trHeight w:val="300" w:hRule="atLeast"/>
          <w:jc w:val="center"/>
        </w:trPr>
        <w:tc>
          <w:tcPr>
            <w:tcW w:w="3300" w:type="dxa"/>
            <w:shd w:val="clear" w:color="auto" w:fill="E7E6E6" w:themeFill="background2"/>
            <w:tcMar>
              <w:left w:w="105" w:type="dxa"/>
              <w:right w:w="105" w:type="dxa"/>
            </w:tcMar>
            <w:vAlign w:val="bottom"/>
          </w:tcPr>
          <w:p>
            <w:pPr>
              <w:spacing w:after="0" w:line="240" w:lineRule="auto"/>
              <w:rPr>
                <w:rFonts w:ascii="Source Sans Pro" w:hAnsi="Source Sans Pro" w:eastAsia="Source Sans Pro" w:cs="Source Sans Pro"/>
                <w:color w:val="000000" w:themeColor="text1"/>
                <w14:textFill>
                  <w14:solidFill>
                    <w14:schemeClr w14:val="tx1"/>
                  </w14:solidFill>
                </w14:textFill>
              </w:rPr>
            </w:pPr>
            <w:r>
              <w:rPr>
                <w:rFonts w:ascii="Source Sans Pro" w:hAnsi="Source Sans Pro" w:eastAsia="Source Sans Pro" w:cs="Source Sans Pro"/>
                <w:b/>
                <w:bCs/>
                <w:color w:val="000000" w:themeColor="text1"/>
                <w14:textFill>
                  <w14:solidFill>
                    <w14:schemeClr w14:val="tx1"/>
                  </w14:solidFill>
                </w14:textFill>
              </w:rPr>
              <w:t>Category</w:t>
            </w:r>
          </w:p>
        </w:tc>
        <w:tc>
          <w:tcPr>
            <w:tcW w:w="2355" w:type="dxa"/>
            <w:shd w:val="clear" w:color="auto" w:fill="E7E6E6" w:themeFill="background2"/>
            <w:tcMar>
              <w:left w:w="105" w:type="dxa"/>
              <w:right w:w="105" w:type="dxa"/>
            </w:tcMar>
            <w:vAlign w:val="bottom"/>
          </w:tcPr>
          <w:p>
            <w:pPr>
              <w:spacing w:after="0" w:line="240" w:lineRule="auto"/>
              <w:jc w:val="right"/>
              <w:rPr>
                <w:rFonts w:ascii="Source Sans Pro" w:hAnsi="Source Sans Pro" w:eastAsia="Source Sans Pro" w:cs="Source Sans Pro"/>
                <w:color w:val="000000" w:themeColor="text1"/>
                <w14:textFill>
                  <w14:solidFill>
                    <w14:schemeClr w14:val="tx1"/>
                  </w14:solidFill>
                </w14:textFill>
              </w:rPr>
            </w:pPr>
            <w:r>
              <w:rPr>
                <w:rFonts w:ascii="Source Sans Pro" w:hAnsi="Source Sans Pro" w:eastAsia="Source Sans Pro" w:cs="Source Sans Pro"/>
                <w:b/>
                <w:bCs/>
                <w:color w:val="000000" w:themeColor="text1"/>
                <w14:textFill>
                  <w14:solidFill>
                    <w14:schemeClr w14:val="tx1"/>
                  </w14:solidFill>
                </w14:textFill>
              </w:rPr>
              <w:t>Percentage of Grade</w:t>
            </w:r>
          </w:p>
        </w:tc>
      </w:tr>
      <w:tr>
        <w:tblPrEx>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0" w:hRule="atLeast"/>
          <w:jc w:val="center"/>
        </w:trPr>
        <w:tc>
          <w:tcPr>
            <w:tcW w:w="3300" w:type="dxa"/>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rPr>
              <w:t>Journals (3)</w:t>
            </w:r>
          </w:p>
        </w:tc>
        <w:tc>
          <w:tcPr>
            <w:tcW w:w="2355" w:type="dxa"/>
            <w:tcMar>
              <w:left w:w="105" w:type="dxa"/>
              <w:right w:w="105" w:type="dxa"/>
            </w:tcMar>
          </w:tcPr>
          <w:p>
            <w:pPr>
              <w:widowControl w:val="0"/>
              <w:spacing w:after="0" w:line="240" w:lineRule="auto"/>
              <w:jc w:val="right"/>
              <w:rPr>
                <w:rFonts w:ascii="Source Sans Pro" w:hAnsi="Source Sans Pro" w:eastAsia="Source Sans Pro" w:cs="Source Sans Pro"/>
              </w:rPr>
            </w:pPr>
            <w:r>
              <w:rPr>
                <w:rFonts w:ascii="Source Sans Pro" w:hAnsi="Source Sans Pro" w:eastAsia="Source Sans Pro" w:cs="Source Sans Pro"/>
              </w:rPr>
              <w:t>25%</w:t>
            </w:r>
          </w:p>
        </w:tc>
      </w:tr>
      <w:tr>
        <w:tblPrEx>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0" w:hRule="atLeast"/>
          <w:jc w:val="center"/>
        </w:trPr>
        <w:tc>
          <w:tcPr>
            <w:tcW w:w="3300" w:type="dxa"/>
            <w:tcMar>
              <w:left w:w="105" w:type="dxa"/>
              <w:right w:w="105" w:type="dxa"/>
            </w:tcMar>
          </w:tcPr>
          <w:p>
            <w:pPr>
              <w:widowControl w:val="0"/>
              <w:spacing w:after="0" w:line="240" w:lineRule="auto"/>
              <w:rPr>
                <w:rStyle w:val="23"/>
                <w:rFonts w:ascii="Source Sans Pro" w:hAnsi="Source Sans Pro" w:eastAsia="Source Sans Pro" w:cs="Source Sans Pro"/>
              </w:rPr>
            </w:pPr>
            <w:r>
              <w:rPr>
                <w:rStyle w:val="23"/>
                <w:rFonts w:ascii="Source Sans Pro" w:hAnsi="Source Sans Pro" w:eastAsia="Source Sans Pro" w:cs="Source Sans Pro"/>
              </w:rPr>
              <w:t>Python Assignment (3)</w:t>
            </w:r>
          </w:p>
        </w:tc>
        <w:tc>
          <w:tcPr>
            <w:tcW w:w="2355" w:type="dxa"/>
            <w:tcMar>
              <w:left w:w="105" w:type="dxa"/>
              <w:right w:w="105" w:type="dxa"/>
            </w:tcMar>
          </w:tcPr>
          <w:p>
            <w:pPr>
              <w:widowControl w:val="0"/>
              <w:spacing w:after="0" w:line="240" w:lineRule="auto"/>
              <w:jc w:val="right"/>
              <w:rPr>
                <w:rFonts w:ascii="Source Sans Pro" w:hAnsi="Source Sans Pro" w:eastAsia="Source Sans Pro" w:cs="Source Sans Pro"/>
              </w:rPr>
            </w:pPr>
            <w:r>
              <w:rPr>
                <w:rFonts w:ascii="Source Sans Pro" w:hAnsi="Source Sans Pro" w:eastAsia="Source Sans Pro" w:cs="Source Sans Pro"/>
              </w:rPr>
              <w:t>20%</w:t>
            </w:r>
          </w:p>
        </w:tc>
      </w:tr>
      <w:tr>
        <w:tblPrEx>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0" w:hRule="atLeast"/>
          <w:jc w:val="center"/>
        </w:trPr>
        <w:tc>
          <w:tcPr>
            <w:tcW w:w="3300" w:type="dxa"/>
            <w:tcMar>
              <w:left w:w="105" w:type="dxa"/>
              <w:right w:w="105" w:type="dxa"/>
            </w:tcMar>
          </w:tcPr>
          <w:p>
            <w:pPr>
              <w:widowControl w:val="0"/>
              <w:spacing w:after="0" w:line="240" w:lineRule="auto"/>
              <w:rPr>
                <w:rStyle w:val="23"/>
                <w:rFonts w:ascii="Source Sans Pro" w:hAnsi="Source Sans Pro" w:eastAsia="Source Sans Pro" w:cs="Source Sans Pro"/>
              </w:rPr>
            </w:pPr>
            <w:r>
              <w:rPr>
                <w:rStyle w:val="23"/>
                <w:rFonts w:ascii="Source Sans Pro" w:hAnsi="Source Sans Pro" w:eastAsia="Source Sans Pro" w:cs="Source Sans Pro"/>
              </w:rPr>
              <w:t>Milestones (4)</w:t>
            </w:r>
          </w:p>
        </w:tc>
        <w:tc>
          <w:tcPr>
            <w:tcW w:w="2355" w:type="dxa"/>
            <w:tcMar>
              <w:left w:w="105" w:type="dxa"/>
              <w:right w:w="105" w:type="dxa"/>
            </w:tcMar>
          </w:tcPr>
          <w:p>
            <w:pPr>
              <w:widowControl w:val="0"/>
              <w:spacing w:after="0" w:line="240" w:lineRule="auto"/>
              <w:jc w:val="right"/>
              <w:rPr>
                <w:rFonts w:ascii="Source Sans Pro" w:hAnsi="Source Sans Pro" w:eastAsia="Source Sans Pro" w:cs="Source Sans Pro"/>
              </w:rPr>
            </w:pPr>
            <w:r>
              <w:rPr>
                <w:rFonts w:ascii="Source Sans Pro" w:hAnsi="Source Sans Pro" w:eastAsia="Source Sans Pro" w:cs="Source Sans Pro"/>
              </w:rPr>
              <w:t>20%</w:t>
            </w:r>
          </w:p>
        </w:tc>
      </w:tr>
      <w:tr>
        <w:tblPrEx>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0" w:hRule="atLeast"/>
          <w:jc w:val="center"/>
        </w:trPr>
        <w:tc>
          <w:tcPr>
            <w:tcW w:w="3300" w:type="dxa"/>
            <w:tcMar>
              <w:left w:w="105" w:type="dxa"/>
              <w:right w:w="105" w:type="dxa"/>
            </w:tcMar>
          </w:tcPr>
          <w:p>
            <w:pPr>
              <w:widowControl w:val="0"/>
              <w:spacing w:after="0" w:line="240" w:lineRule="auto"/>
              <w:rPr>
                <w:rStyle w:val="23"/>
                <w:rFonts w:ascii="Source Sans Pro" w:hAnsi="Source Sans Pro" w:eastAsia="Source Sans Pro" w:cs="Source Sans Pro"/>
              </w:rPr>
            </w:pPr>
            <w:r>
              <w:rPr>
                <w:rStyle w:val="23"/>
                <w:rFonts w:ascii="Source Sans Pro" w:hAnsi="Source Sans Pro" w:eastAsia="Source Sans Pro" w:cs="Source Sans Pro"/>
              </w:rPr>
              <w:t>Final Project </w:t>
            </w:r>
          </w:p>
        </w:tc>
        <w:tc>
          <w:tcPr>
            <w:tcW w:w="2355" w:type="dxa"/>
            <w:tcMar>
              <w:left w:w="105" w:type="dxa"/>
              <w:right w:w="105" w:type="dxa"/>
            </w:tcMar>
          </w:tcPr>
          <w:p>
            <w:pPr>
              <w:widowControl w:val="0"/>
              <w:spacing w:after="0" w:line="240" w:lineRule="auto"/>
              <w:jc w:val="right"/>
              <w:rPr>
                <w:rFonts w:ascii="Source Sans Pro" w:hAnsi="Source Sans Pro" w:eastAsia="Source Sans Pro" w:cs="Source Sans Pro"/>
              </w:rPr>
            </w:pPr>
            <w:r>
              <w:rPr>
                <w:rFonts w:ascii="Source Sans Pro" w:hAnsi="Source Sans Pro" w:eastAsia="Source Sans Pro" w:cs="Source Sans Pro"/>
              </w:rPr>
              <w:t>35%</w:t>
            </w:r>
          </w:p>
        </w:tc>
      </w:tr>
      <w:tr>
        <w:tblPrEx>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0" w:hRule="atLeast"/>
          <w:jc w:val="center"/>
        </w:trPr>
        <w:tc>
          <w:tcPr>
            <w:tcW w:w="3300" w:type="dxa"/>
            <w:tcMar>
              <w:left w:w="105" w:type="dxa"/>
              <w:right w:w="105" w:type="dxa"/>
            </w:tcMar>
          </w:tcPr>
          <w:p>
            <w:pPr>
              <w:widowControl w:val="0"/>
              <w:spacing w:after="0" w:line="240" w:lineRule="auto"/>
              <w:rPr>
                <w:rFonts w:ascii="Source Sans Pro" w:hAnsi="Source Sans Pro" w:eastAsia="Source Sans Pro" w:cs="Source Sans Pro"/>
              </w:rPr>
            </w:pPr>
            <w:r>
              <w:rPr>
                <w:rFonts w:ascii="Source Sans Pro" w:hAnsi="Source Sans Pro" w:eastAsia="Source Sans Pro" w:cs="Source Sans Pro"/>
                <w:b/>
                <w:bCs/>
                <w:color w:val="000000" w:themeColor="text1"/>
                <w14:textFill>
                  <w14:solidFill>
                    <w14:schemeClr w14:val="tx1"/>
                  </w14:solidFill>
                </w14:textFill>
              </w:rPr>
              <w:t>Total</w:t>
            </w:r>
          </w:p>
        </w:tc>
        <w:tc>
          <w:tcPr>
            <w:tcW w:w="2355" w:type="dxa"/>
            <w:tcMar>
              <w:left w:w="105" w:type="dxa"/>
              <w:right w:w="105" w:type="dxa"/>
            </w:tcMar>
          </w:tcPr>
          <w:p>
            <w:pPr>
              <w:keepNext/>
              <w:widowControl w:val="0"/>
              <w:spacing w:after="0" w:line="240" w:lineRule="auto"/>
              <w:jc w:val="right"/>
              <w:rPr>
                <w:rFonts w:ascii="Source Sans Pro" w:hAnsi="Source Sans Pro" w:eastAsia="Source Sans Pro" w:cs="Source Sans Pro"/>
              </w:rPr>
            </w:pPr>
            <w:r>
              <w:rPr>
                <w:rFonts w:ascii="Source Sans Pro" w:hAnsi="Source Sans Pro" w:eastAsia="Source Sans Pro" w:cs="Source Sans Pro"/>
                <w:b/>
                <w:bCs/>
                <w:color w:val="000000" w:themeColor="text1"/>
                <w14:textFill>
                  <w14:solidFill>
                    <w14:schemeClr w14:val="tx1"/>
                  </w14:solidFill>
                </w14:textFill>
              </w:rPr>
              <w:t>100 %</w:t>
            </w:r>
          </w:p>
        </w:tc>
      </w:tr>
      <w:tr>
        <w:tblPrEx>
          <w:tblBorders>
            <w:top w:val="single" w:color="auto" w:sz="6" w:space="0"/>
            <w:left w:val="single" w:color="auto" w:sz="6" w:space="0"/>
            <w:bottom w:val="single" w:color="auto" w:sz="6" w:space="0"/>
            <w:right w:val="single" w:color="auto" w:sz="6"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0" w:hRule="atLeast"/>
          <w:jc w:val="center"/>
        </w:trPr>
        <w:tc>
          <w:tcPr>
            <w:tcW w:w="3300" w:type="dxa"/>
            <w:tcMar>
              <w:left w:w="105" w:type="dxa"/>
              <w:right w:w="105" w:type="dxa"/>
            </w:tcMar>
          </w:tcPr>
          <w:p>
            <w:pPr>
              <w:widowControl w:val="0"/>
              <w:spacing w:after="0" w:line="240" w:lineRule="auto"/>
              <w:rPr>
                <w:rFonts w:ascii="Source Sans Pro" w:hAnsi="Source Sans Pro" w:eastAsia="Source Sans Pro" w:cs="Source Sans Pro"/>
                <w:b/>
                <w:bCs/>
                <w:color w:val="000000" w:themeColor="text1"/>
                <w14:textFill>
                  <w14:solidFill>
                    <w14:schemeClr w14:val="tx1"/>
                  </w14:solidFill>
                </w14:textFill>
              </w:rPr>
            </w:pPr>
          </w:p>
        </w:tc>
        <w:tc>
          <w:tcPr>
            <w:tcW w:w="2355" w:type="dxa"/>
            <w:tcMar>
              <w:left w:w="105" w:type="dxa"/>
              <w:right w:w="105" w:type="dxa"/>
            </w:tcMar>
          </w:tcPr>
          <w:p>
            <w:pPr>
              <w:keepNext/>
              <w:widowControl w:val="0"/>
              <w:spacing w:after="0" w:line="240" w:lineRule="auto"/>
              <w:jc w:val="right"/>
              <w:rPr>
                <w:rFonts w:ascii="Source Sans Pro" w:hAnsi="Source Sans Pro" w:eastAsia="Source Sans Pro" w:cs="Source Sans Pro"/>
                <w:b/>
                <w:bCs/>
                <w:color w:val="000000" w:themeColor="text1"/>
                <w14:textFill>
                  <w14:solidFill>
                    <w14:schemeClr w14:val="tx1"/>
                  </w14:solidFill>
                </w14:textFill>
              </w:rPr>
            </w:pPr>
          </w:p>
        </w:tc>
      </w:tr>
    </w:tbl>
    <w:p>
      <w:pPr>
        <w:spacing w:line="240" w:lineRule="auto"/>
        <w:rPr>
          <w:rFonts w:ascii="Source Sans Pro" w:hAnsi="Source Sans Pro" w:eastAsia="Source Sans Pro" w:cs="Source Sans Pro"/>
          <w:color w:val="FF0000"/>
          <w:sz w:val="24"/>
          <w:szCs w:val="24"/>
        </w:rPr>
      </w:pPr>
    </w:p>
    <w:p>
      <w:pPr>
        <w:spacing w:line="240" w:lineRule="auto"/>
      </w:pPr>
      <w:r>
        <w:drawing>
          <wp:inline distT="0" distB="0" distL="0" distR="0">
            <wp:extent cx="6671310" cy="80010"/>
            <wp:effectExtent l="0" t="0" r="0" b="0"/>
            <wp:docPr id="2077096381" name="Picture 2077096381" descr="Horizontal blue line used to separate sections" title="Horizontal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96381" name="Picture 2077096381" descr="Horizontal blue line used to separate sections" title="Horizontal blue lin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437735" cy="101766"/>
                    </a:xfrm>
                    <a:prstGeom prst="rect">
                      <a:avLst/>
                    </a:prstGeom>
                  </pic:spPr>
                </pic:pic>
              </a:graphicData>
            </a:graphic>
          </wp:inline>
        </w:drawing>
      </w:r>
    </w:p>
    <w:p>
      <w:pPr>
        <w:keepNext/>
        <w:spacing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Course Schedule &amp; Topics:</w:t>
      </w:r>
    </w:p>
    <w:tbl>
      <w:tblPr>
        <w:tblStyle w:val="5"/>
        <w:tblW w:w="10458" w:type="dxa"/>
        <w:tblInd w:w="-116"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0" w:type="dxa"/>
          <w:left w:w="108" w:type="dxa"/>
          <w:bottom w:w="0" w:type="dxa"/>
          <w:right w:w="108" w:type="dxa"/>
        </w:tblCellMar>
      </w:tblPr>
      <w:tblGrid>
        <w:gridCol w:w="1122"/>
        <w:gridCol w:w="3263"/>
        <w:gridCol w:w="2605"/>
        <w:gridCol w:w="3468"/>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8" w:hRule="atLeast"/>
          <w:tblHeader/>
        </w:trPr>
        <w:tc>
          <w:tcPr>
            <w:tcW w:w="1047" w:type="dxa"/>
            <w:tcBorders>
              <w:top w:val="single" w:color="999999" w:sz="6" w:space="0"/>
              <w:left w:val="single" w:color="999999" w:sz="6" w:space="0"/>
              <w:bottom w:val="single" w:color="666666" w:sz="6" w:space="0"/>
              <w:right w:val="single" w:color="999999" w:sz="6" w:space="0"/>
            </w:tcBorders>
            <w:shd w:val="clear" w:color="auto" w:fill="E7E6E6" w:themeFill="background2"/>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b/>
                <w:bCs/>
                <w:color w:val="000000" w:themeColor="text1"/>
                <w:sz w:val="24"/>
                <w:szCs w:val="24"/>
                <w14:textFill>
                  <w14:solidFill>
                    <w14:schemeClr w14:val="tx1"/>
                  </w14:solidFill>
                </w14:textFill>
              </w:rPr>
              <w:t>Module </w:t>
            </w:r>
          </w:p>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b/>
                <w:bCs/>
                <w:color w:val="000000" w:themeColor="text1"/>
                <w:sz w:val="24"/>
                <w:szCs w:val="24"/>
                <w14:textFill>
                  <w14:solidFill>
                    <w14:schemeClr w14:val="tx1"/>
                  </w14:solidFill>
                </w14:textFill>
              </w:rPr>
              <w:t>Dates</w:t>
            </w:r>
          </w:p>
        </w:tc>
        <w:tc>
          <w:tcPr>
            <w:tcW w:w="3291" w:type="dxa"/>
            <w:tcBorders>
              <w:top w:val="single" w:color="999999" w:sz="6" w:space="0"/>
              <w:left w:val="single" w:color="999999" w:sz="6" w:space="0"/>
              <w:bottom w:val="single" w:color="666666" w:sz="6" w:space="0"/>
              <w:right w:val="single" w:color="999999" w:sz="6" w:space="0"/>
            </w:tcBorders>
            <w:shd w:val="clear" w:color="auto" w:fill="E7E6E6" w:themeFill="background2"/>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b/>
                <w:bCs/>
                <w:color w:val="000000" w:themeColor="text1"/>
                <w:sz w:val="24"/>
                <w:szCs w:val="24"/>
                <w14:textFill>
                  <w14:solidFill>
                    <w14:schemeClr w14:val="tx1"/>
                  </w14:solidFill>
                </w14:textFill>
              </w:rPr>
              <w:t xml:space="preserve">Module Topics </w:t>
            </w:r>
          </w:p>
        </w:tc>
        <w:tc>
          <w:tcPr>
            <w:tcW w:w="2625" w:type="dxa"/>
            <w:tcBorders>
              <w:top w:val="single" w:color="999999" w:sz="6" w:space="0"/>
              <w:left w:val="single" w:color="999999" w:sz="6" w:space="0"/>
              <w:bottom w:val="single" w:color="666666" w:sz="6" w:space="0"/>
              <w:right w:val="single" w:color="999999" w:sz="6" w:space="0"/>
            </w:tcBorders>
            <w:shd w:val="clear" w:color="auto" w:fill="E7E6E6" w:themeFill="background2"/>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b/>
                <w:bCs/>
                <w:color w:val="000000" w:themeColor="text1"/>
                <w:sz w:val="24"/>
                <w:szCs w:val="24"/>
                <w14:textFill>
                  <w14:solidFill>
                    <w14:schemeClr w14:val="tx1"/>
                  </w14:solidFill>
                </w14:textFill>
              </w:rPr>
              <w:t>Readings &amp; Resources</w:t>
            </w:r>
            <w:r>
              <w:rPr>
                <w:rFonts w:ascii="Source Sans Pro" w:hAnsi="Source Sans Pro" w:eastAsia="Source Sans Pro" w:cs="Source Sans Pro"/>
                <w:color w:val="000000" w:themeColor="text1"/>
                <w:sz w:val="24"/>
                <w:szCs w:val="24"/>
                <w14:textFill>
                  <w14:solidFill>
                    <w14:schemeClr w14:val="tx1"/>
                  </w14:solidFill>
                </w14:textFill>
              </w:rPr>
              <w:t> </w:t>
            </w:r>
          </w:p>
        </w:tc>
        <w:tc>
          <w:tcPr>
            <w:tcW w:w="3495" w:type="dxa"/>
            <w:tcBorders>
              <w:top w:val="single" w:color="999999" w:sz="6" w:space="0"/>
              <w:left w:val="single" w:color="999999" w:sz="6" w:space="0"/>
              <w:bottom w:val="single" w:color="666666" w:sz="6" w:space="0"/>
              <w:right w:val="single" w:color="999999" w:sz="6" w:space="0"/>
            </w:tcBorders>
            <w:shd w:val="clear" w:color="auto" w:fill="E7E6E6" w:themeFill="background2"/>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b/>
                <w:bCs/>
                <w:color w:val="000000" w:themeColor="text1"/>
                <w:sz w:val="24"/>
                <w:szCs w:val="24"/>
                <w14:textFill>
                  <w14:solidFill>
                    <w14:schemeClr w14:val="tx1"/>
                  </w14:solidFill>
                </w14:textFill>
              </w:rPr>
              <w:t>Activities &amp; Assignments</w:t>
            </w:r>
            <w:r>
              <w:rPr>
                <w:rFonts w:ascii="Source Sans Pro" w:hAnsi="Source Sans Pro" w:eastAsia="Source Sans Pro" w:cs="Source Sans Pro"/>
                <w:color w:val="000000" w:themeColor="text1"/>
                <w:sz w:val="24"/>
                <w:szCs w:val="24"/>
                <w14:textFill>
                  <w14:solidFill>
                    <w14:schemeClr w14:val="tx1"/>
                  </w14:solidFill>
                </w14:textFill>
              </w:rPr>
              <w: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47"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color w:val="000000" w:themeColor="text1"/>
                <w:sz w:val="24"/>
                <w:szCs w:val="24"/>
                <w14:textFill>
                  <w14:solidFill>
                    <w14:schemeClr w14:val="tx1"/>
                  </w14:solidFill>
                </w14:textFill>
              </w:rPr>
              <w:t>1 </w:t>
            </w:r>
          </w:p>
        </w:tc>
        <w:tc>
          <w:tcPr>
            <w:tcW w:w="3291"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Reliable, Scalable, and Maintainable Applications</w:t>
            </w:r>
          </w:p>
        </w:tc>
        <w:tc>
          <w:tcPr>
            <w:tcW w:w="262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widowControl w:val="0"/>
              <w:autoSpaceDE w:val="0"/>
              <w:autoSpaceDN w:val="0"/>
              <w:adjustRightInd w:val="0"/>
              <w:spacing w:line="240" w:lineRule="auto"/>
              <w:rPr>
                <w:rFonts w:ascii="Source Sans Pro" w:hAnsi="Source Sans Pro" w:cs="Times New Roman"/>
                <w:bCs/>
                <w:sz w:val="24"/>
                <w:szCs w:val="24"/>
              </w:rPr>
            </w:pPr>
            <w:r>
              <w:rPr>
                <w:rFonts w:ascii="Source Sans Pro" w:hAnsi="Source Sans Pro" w:cs="Times New Roman"/>
                <w:bCs/>
                <w:sz w:val="24"/>
                <w:szCs w:val="24"/>
              </w:rPr>
              <w:t>Review Syllabus</w:t>
            </w:r>
          </w:p>
          <w:p>
            <w:pPr>
              <w:widowControl w:val="0"/>
              <w:autoSpaceDE w:val="0"/>
              <w:autoSpaceDN w:val="0"/>
              <w:adjustRightInd w:val="0"/>
              <w:spacing w:line="240" w:lineRule="auto"/>
              <w:rPr>
                <w:rFonts w:ascii="Source Sans Pro" w:hAnsi="Source Sans Pro" w:cs="Times New Roman"/>
                <w:bCs/>
                <w:sz w:val="24"/>
                <w:szCs w:val="24"/>
              </w:rPr>
            </w:pPr>
            <w:r>
              <w:rPr>
                <w:rFonts w:ascii="Source Sans Pro" w:hAnsi="Source Sans Pro" w:eastAsia="Source Sans Pro" w:cs="Source Sans Pro"/>
                <w:sz w:val="24"/>
                <w:szCs w:val="24"/>
              </w:rPr>
              <w:t>Kleppmann Chapter 1</w:t>
            </w:r>
          </w:p>
        </w:tc>
        <w:tc>
          <w:tcPr>
            <w:tcW w:w="349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Journal – What is Reliability, Scalability, and Maintainability</w:t>
            </w:r>
          </w:p>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Python Assignment 1</w:t>
            </w:r>
          </w:p>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Data Retrieval</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47"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color w:val="000000" w:themeColor="text1"/>
                <w:sz w:val="24"/>
                <w:szCs w:val="24"/>
                <w14:textFill>
                  <w14:solidFill>
                    <w14:schemeClr w14:val="tx1"/>
                  </w14:solidFill>
                </w14:textFill>
              </w:rPr>
              <w:t>2</w:t>
            </w:r>
          </w:p>
        </w:tc>
        <w:tc>
          <w:tcPr>
            <w:tcW w:w="3291"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Data Models and Query Languages</w:t>
            </w:r>
          </w:p>
        </w:tc>
        <w:tc>
          <w:tcPr>
            <w:tcW w:w="262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Kleppmann Chapter 2</w:t>
            </w:r>
          </w:p>
        </w:tc>
        <w:tc>
          <w:tcPr>
            <w:tcW w:w="349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Final Project Milestone 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47"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color w:val="000000" w:themeColor="text1"/>
                <w:sz w:val="24"/>
                <w:szCs w:val="24"/>
                <w14:textFill>
                  <w14:solidFill>
                    <w14:schemeClr w14:val="tx1"/>
                  </w14:solidFill>
                </w14:textFill>
              </w:rPr>
              <w:t>3</w:t>
            </w:r>
          </w:p>
        </w:tc>
        <w:tc>
          <w:tcPr>
            <w:tcW w:w="3291"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Storage and Retrieval</w:t>
            </w:r>
          </w:p>
        </w:tc>
        <w:tc>
          <w:tcPr>
            <w:tcW w:w="262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Kleppmann Chapter 3</w:t>
            </w:r>
          </w:p>
        </w:tc>
        <w:tc>
          <w:tcPr>
            <w:tcW w:w="349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Journal – How do Query Languages work with Storage and Retrieval</w:t>
            </w:r>
          </w:p>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Python Assignment 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47"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color w:val="000000" w:themeColor="text1"/>
                <w:sz w:val="24"/>
                <w:szCs w:val="24"/>
                <w14:textFill>
                  <w14:solidFill>
                    <w14:schemeClr w14:val="tx1"/>
                  </w14:solidFill>
                </w14:textFill>
              </w:rPr>
              <w:t>4</w:t>
            </w:r>
          </w:p>
        </w:tc>
        <w:tc>
          <w:tcPr>
            <w:tcW w:w="3291"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Encoding and Evolution</w:t>
            </w:r>
          </w:p>
        </w:tc>
        <w:tc>
          <w:tcPr>
            <w:tcW w:w="262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Kleppmann Chapter 4</w:t>
            </w:r>
          </w:p>
        </w:tc>
        <w:tc>
          <w:tcPr>
            <w:tcW w:w="349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Final Project Milestone 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47"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color w:val="000000" w:themeColor="text1"/>
                <w:sz w:val="24"/>
                <w:szCs w:val="24"/>
                <w14:textFill>
                  <w14:solidFill>
                    <w14:schemeClr w14:val="tx1"/>
                  </w14:solidFill>
                </w14:textFill>
              </w:rPr>
              <w:t>5</w:t>
            </w:r>
          </w:p>
        </w:tc>
        <w:tc>
          <w:tcPr>
            <w:tcW w:w="3291"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Replication</w:t>
            </w:r>
          </w:p>
        </w:tc>
        <w:tc>
          <w:tcPr>
            <w:tcW w:w="262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Kleppmann Chapter 5</w:t>
            </w:r>
          </w:p>
        </w:tc>
        <w:tc>
          <w:tcPr>
            <w:tcW w:w="349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Python Assignment 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47"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color w:val="000000" w:themeColor="text1"/>
                <w:sz w:val="24"/>
                <w:szCs w:val="24"/>
                <w14:textFill>
                  <w14:solidFill>
                    <w14:schemeClr w14:val="tx1"/>
                  </w14:solidFill>
                </w14:textFill>
              </w:rPr>
              <w:t>6</w:t>
            </w:r>
          </w:p>
        </w:tc>
        <w:tc>
          <w:tcPr>
            <w:tcW w:w="3291"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Transactions</w:t>
            </w:r>
          </w:p>
        </w:tc>
        <w:tc>
          <w:tcPr>
            <w:tcW w:w="262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Kleppmann Chapter 7</w:t>
            </w:r>
          </w:p>
        </w:tc>
        <w:tc>
          <w:tcPr>
            <w:tcW w:w="349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Final Project Milestone 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47"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color w:val="000000" w:themeColor="text1"/>
                <w:sz w:val="24"/>
                <w:szCs w:val="24"/>
                <w14:textFill>
                  <w14:solidFill>
                    <w14:schemeClr w14:val="tx1"/>
                  </w14:solidFill>
                </w14:textFill>
              </w:rPr>
              <w:t>7</w:t>
            </w:r>
          </w:p>
        </w:tc>
        <w:tc>
          <w:tcPr>
            <w:tcW w:w="3291"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Batch Processing</w:t>
            </w:r>
          </w:p>
        </w:tc>
        <w:tc>
          <w:tcPr>
            <w:tcW w:w="262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widowControl w:val="0"/>
              <w:autoSpaceDE w:val="0"/>
              <w:autoSpaceDN w:val="0"/>
              <w:adjustRightInd w:val="0"/>
              <w:spacing w:line="240" w:lineRule="auto"/>
              <w:rPr>
                <w:rFonts w:ascii="Source Sans Pro" w:hAnsi="Source Sans Pro" w:cs="Times New Roman"/>
                <w:bCs/>
                <w:sz w:val="24"/>
                <w:szCs w:val="24"/>
              </w:rPr>
            </w:pPr>
            <w:r>
              <w:rPr>
                <w:rFonts w:ascii="Source Sans Pro" w:hAnsi="Source Sans Pro" w:eastAsia="Source Sans Pro" w:cs="Source Sans Pro"/>
                <w:sz w:val="24"/>
                <w:szCs w:val="24"/>
              </w:rPr>
              <w:t>Kleppmann Chapter 10</w:t>
            </w:r>
          </w:p>
        </w:tc>
        <w:tc>
          <w:tcPr>
            <w:tcW w:w="349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cs="Times New Roman"/>
                <w:bCs/>
                <w:sz w:val="24"/>
                <w:szCs w:val="24"/>
              </w:rPr>
              <w:t>Final Project Due</w:t>
            </w:r>
            <w:r>
              <w:rPr>
                <w:rFonts w:ascii="Source Sans Pro" w:hAnsi="Source Sans Pro" w:eastAsia="Source Sans Pro" w:cs="Source Sans Pro"/>
                <w:sz w:val="24"/>
                <w:szCs w:val="24"/>
              </w:rPr>
              <w:t xml:space="preserve">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047"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jc w:val="center"/>
              <w:rPr>
                <w:rFonts w:ascii="Source Sans Pro" w:hAnsi="Source Sans Pro" w:eastAsia="Source Sans Pro" w:cs="Source Sans Pro"/>
                <w:color w:val="000000" w:themeColor="text1"/>
                <w:sz w:val="24"/>
                <w:szCs w:val="24"/>
                <w14:textFill>
                  <w14:solidFill>
                    <w14:schemeClr w14:val="tx1"/>
                  </w14:solidFill>
                </w14:textFill>
              </w:rPr>
            </w:pPr>
            <w:r>
              <w:rPr>
                <w:rFonts w:ascii="Source Sans Pro" w:hAnsi="Source Sans Pro" w:eastAsia="Source Sans Pro" w:cs="Source Sans Pro"/>
                <w:color w:val="000000" w:themeColor="text1"/>
                <w:sz w:val="24"/>
                <w:szCs w:val="24"/>
                <w14:textFill>
                  <w14:solidFill>
                    <w14:schemeClr w14:val="tx1"/>
                  </w14:solidFill>
                </w14:textFill>
              </w:rPr>
              <w:t>8</w:t>
            </w:r>
          </w:p>
        </w:tc>
        <w:tc>
          <w:tcPr>
            <w:tcW w:w="3291"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Future of Data Systems</w:t>
            </w:r>
          </w:p>
        </w:tc>
        <w:tc>
          <w:tcPr>
            <w:tcW w:w="262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Kleppmann Chapter 12</w:t>
            </w:r>
          </w:p>
        </w:tc>
        <w:tc>
          <w:tcPr>
            <w:tcW w:w="3495" w:type="dxa"/>
            <w:tcBorders>
              <w:top w:val="single" w:color="999999" w:sz="6" w:space="0"/>
              <w:left w:val="single" w:color="999999" w:sz="6" w:space="0"/>
              <w:bottom w:val="single" w:color="999999" w:sz="6" w:space="0"/>
              <w:right w:val="single" w:color="999999" w:sz="6" w:space="0"/>
            </w:tcBorders>
            <w:shd w:val="clear" w:color="auto" w:fill="FFFFFF" w:themeFill="background1"/>
            <w:vAlign w:val="center"/>
          </w:tcPr>
          <w:p>
            <w:pPr>
              <w:spacing w:after="0" w:line="240" w:lineRule="auto"/>
              <w:rPr>
                <w:rFonts w:ascii="Source Sans Pro" w:hAnsi="Source Sans Pro" w:cs="Times New Roman"/>
                <w:bCs/>
                <w:sz w:val="24"/>
                <w:szCs w:val="24"/>
              </w:rPr>
            </w:pPr>
            <w:r>
              <w:rPr>
                <w:rFonts w:ascii="Source Sans Pro" w:hAnsi="Source Sans Pro" w:eastAsia="Source Sans Pro" w:cs="Source Sans Pro"/>
                <w:sz w:val="24"/>
                <w:szCs w:val="24"/>
              </w:rPr>
              <w:t>Journal – D</w:t>
            </w:r>
            <w:r>
              <w:rPr>
                <w:sz w:val="24"/>
                <w:szCs w:val="24"/>
              </w:rPr>
              <w:t>ata Analytics</w:t>
            </w:r>
          </w:p>
        </w:tc>
      </w:tr>
    </w:tbl>
    <w:p>
      <w:pPr>
        <w:spacing w:line="240" w:lineRule="auto"/>
        <w:rPr>
          <w:rFonts w:ascii="Source Sans Pro" w:hAnsi="Source Sans Pro" w:eastAsia="Source Sans Pro" w:cs="Source Sans Pro"/>
        </w:rPr>
      </w:pPr>
    </w:p>
    <w:p>
      <w:pPr>
        <w:spacing w:line="240" w:lineRule="auto"/>
        <w:rPr>
          <w:rFonts w:ascii="Source Sans Pro" w:hAnsi="Source Sans Pro" w:eastAsia="Source Sans Pro" w:cs="Source Sans Pro"/>
        </w:rPr>
      </w:pPr>
      <w:r>
        <w:rPr>
          <w:rFonts w:ascii="Source Sans Pro" w:hAnsi="Source Sans Pro" w:eastAsia="Source Sans Pro" w:cs="Source Sans Pro"/>
        </w:rPr>
        <w:t>All assignments are due Sunday by 11:59 pm</w:t>
      </w:r>
    </w:p>
    <w:p>
      <w:pPr>
        <w:spacing w:line="240" w:lineRule="auto"/>
        <w:rPr>
          <w:rFonts w:ascii="Source Sans Pro" w:hAnsi="Source Sans Pro" w:eastAsia="Source Sans Pro" w:cs="Source Sans Pro"/>
        </w:rPr>
      </w:pPr>
      <w:r>
        <w:drawing>
          <wp:inline distT="0" distB="0" distL="0" distR="0">
            <wp:extent cx="6779260" cy="154940"/>
            <wp:effectExtent l="0" t="0" r="0" b="0"/>
            <wp:docPr id="2077096382" name="Picture 2077096382" descr="Horizontal blue line used to separate sections" title="Horizontal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96382" name="Picture 2077096382" descr="Horizontal blue line used to separate sections" title="Horizontal blue lin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224677" cy="188736"/>
                    </a:xfrm>
                    <a:prstGeom prst="rect">
                      <a:avLst/>
                    </a:prstGeom>
                  </pic:spPr>
                </pic:pic>
              </a:graphicData>
            </a:graphic>
          </wp:inline>
        </w:drawing>
      </w:r>
    </w:p>
    <w:p>
      <w:pPr>
        <w:spacing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College of Professional Studies Grading Scale: </w:t>
      </w:r>
    </w:p>
    <w:tbl>
      <w:tblPr>
        <w:tblStyle w:val="1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00"/>
        <w:gridCol w:w="930"/>
        <w:gridCol w:w="1905"/>
        <w:gridCol w:w="28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shd w:val="clear" w:color="auto" w:fill="E7E6E6" w:themeFill="background2"/>
          </w:tcPr>
          <w:p>
            <w:pPr>
              <w:spacing w:after="0" w:line="240" w:lineRule="auto"/>
              <w:rPr>
                <w:rFonts w:ascii="Source Sans Pro" w:hAnsi="Source Sans Pro" w:eastAsia="Source Sans Pro" w:cs="Source Sans Pro"/>
                <w:b/>
                <w:bCs/>
              </w:rPr>
            </w:pPr>
            <w:r>
              <w:rPr>
                <w:rFonts w:ascii="Source Sans Pro" w:hAnsi="Source Sans Pro" w:eastAsia="Source Sans Pro" w:cs="Source Sans Pro"/>
                <w:b/>
                <w:bCs/>
                <w:sz w:val="24"/>
                <w:szCs w:val="24"/>
              </w:rPr>
              <w:t>Percent</w:t>
            </w:r>
          </w:p>
        </w:tc>
        <w:tc>
          <w:tcPr>
            <w:tcW w:w="930" w:type="dxa"/>
            <w:shd w:val="clear" w:color="auto" w:fill="E7E6E6" w:themeFill="background2"/>
          </w:tcPr>
          <w:p>
            <w:pPr>
              <w:spacing w:after="0" w:line="240" w:lineRule="auto"/>
              <w:rPr>
                <w:rFonts w:ascii="Source Sans Pro" w:hAnsi="Source Sans Pro" w:eastAsia="Source Sans Pro" w:cs="Source Sans Pro"/>
                <w:b/>
                <w:bCs/>
              </w:rPr>
            </w:pPr>
            <w:r>
              <w:rPr>
                <w:rFonts w:ascii="Source Sans Pro" w:hAnsi="Source Sans Pro" w:eastAsia="Source Sans Pro" w:cs="Source Sans Pro"/>
                <w:b/>
                <w:bCs/>
                <w:sz w:val="24"/>
                <w:szCs w:val="24"/>
              </w:rPr>
              <w:t>Grade</w:t>
            </w:r>
          </w:p>
        </w:tc>
        <w:tc>
          <w:tcPr>
            <w:tcW w:w="1905" w:type="dxa"/>
            <w:shd w:val="clear" w:color="auto" w:fill="E7E6E6" w:themeFill="background2"/>
          </w:tcPr>
          <w:p>
            <w:pPr>
              <w:spacing w:after="0" w:line="240" w:lineRule="auto"/>
              <w:rPr>
                <w:rFonts w:ascii="Source Sans Pro" w:hAnsi="Source Sans Pro" w:eastAsia="Source Sans Pro" w:cs="Source Sans Pro"/>
                <w:b/>
                <w:bCs/>
              </w:rPr>
            </w:pPr>
            <w:r>
              <w:rPr>
                <w:rFonts w:ascii="Source Sans Pro" w:hAnsi="Source Sans Pro" w:eastAsia="Source Sans Pro" w:cs="Source Sans Pro"/>
                <w:b/>
                <w:bCs/>
                <w:sz w:val="24"/>
                <w:szCs w:val="24"/>
              </w:rPr>
              <w:t>Grade Points</w:t>
            </w:r>
          </w:p>
        </w:tc>
        <w:tc>
          <w:tcPr>
            <w:tcW w:w="2880" w:type="dxa"/>
            <w:shd w:val="clear" w:color="auto" w:fill="E7E6E6" w:themeFill="background2"/>
          </w:tcPr>
          <w:p>
            <w:pPr>
              <w:spacing w:after="0" w:line="240" w:lineRule="auto"/>
              <w:rPr>
                <w:rFonts w:ascii="Source Sans Pro" w:hAnsi="Source Sans Pro" w:eastAsia="Source Sans Pro" w:cs="Source Sans Pro"/>
                <w:b/>
                <w:bCs/>
              </w:rPr>
            </w:pPr>
            <w:r>
              <w:rPr>
                <w:rFonts w:ascii="Source Sans Pro" w:hAnsi="Source Sans Pro" w:eastAsia="Source Sans Pro" w:cs="Source Sans Pro"/>
                <w:b/>
                <w:bCs/>
                <w:sz w:val="24"/>
                <w:szCs w:val="24"/>
              </w:rPr>
              <w:t>Level of Achievement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94-100</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A</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4.0</w:t>
            </w:r>
          </w:p>
        </w:tc>
        <w:tc>
          <w:tcPr>
            <w:tcW w:w="2880" w:type="dxa"/>
            <w:vMerge w:val="restart"/>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Excellent</w:t>
            </w:r>
          </w:p>
          <w:p>
            <w:pPr>
              <w:spacing w:after="0" w:line="240" w:lineRule="auto"/>
              <w:rPr>
                <w:rFonts w:ascii="Source Sans Pro" w:hAnsi="Source Sans Pro" w:eastAsia="Source Sans Pro" w:cs="Source Sans Pr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90-93</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A-</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3.67</w:t>
            </w:r>
          </w:p>
        </w:tc>
        <w:tc>
          <w:tcPr>
            <w:tcW w:w="2880" w:type="dxa"/>
            <w:vMerge w:val="continue"/>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87-89</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B+</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3.33</w:t>
            </w:r>
          </w:p>
        </w:tc>
        <w:tc>
          <w:tcPr>
            <w:tcW w:w="2880" w:type="dxa"/>
            <w:vMerge w:val="continue"/>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84-86</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B</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3.0</w:t>
            </w:r>
          </w:p>
        </w:tc>
        <w:tc>
          <w:tcPr>
            <w:tcW w:w="2880" w:type="dxa"/>
            <w:vMerge w:val="restart"/>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Superior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80-83</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B-</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2.67</w:t>
            </w:r>
          </w:p>
        </w:tc>
        <w:tc>
          <w:tcPr>
            <w:tcW w:w="2880" w:type="dxa"/>
            <w:vMerge w:val="continue"/>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77-79</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C+</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2.33</w:t>
            </w:r>
          </w:p>
        </w:tc>
        <w:tc>
          <w:tcPr>
            <w:tcW w:w="2880" w:type="dxa"/>
            <w:vMerge w:val="continue"/>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74-76</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C</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2.0</w:t>
            </w:r>
          </w:p>
        </w:tc>
        <w:tc>
          <w:tcPr>
            <w:tcW w:w="2880" w:type="dxa"/>
            <w:vMerge w:val="restart"/>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Satisfactory, Competent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70-73</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C-</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1.67</w:t>
            </w:r>
          </w:p>
        </w:tc>
        <w:tc>
          <w:tcPr>
            <w:tcW w:w="2880" w:type="dxa"/>
            <w:vMerge w:val="continue"/>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67-69</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D+</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1.33</w:t>
            </w:r>
          </w:p>
        </w:tc>
        <w:tc>
          <w:tcPr>
            <w:tcW w:w="2880" w:type="dxa"/>
            <w:vMerge w:val="continue"/>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64-66</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D</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1.0</w:t>
            </w:r>
          </w:p>
        </w:tc>
        <w:tc>
          <w:tcPr>
            <w:tcW w:w="2880" w:type="dxa"/>
            <w:vMerge w:val="restart"/>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Marginal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60-63</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D-</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0.67</w:t>
            </w:r>
          </w:p>
        </w:tc>
        <w:tc>
          <w:tcPr>
            <w:tcW w:w="2880" w:type="dxa"/>
            <w:vMerge w:val="continue"/>
          </w:tcPr>
          <w:p>
            <w:pPr>
              <w:spacing w:after="0" w:line="24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220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59-Below</w:t>
            </w:r>
          </w:p>
        </w:tc>
        <w:tc>
          <w:tcPr>
            <w:tcW w:w="93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F</w:t>
            </w:r>
          </w:p>
        </w:tc>
        <w:tc>
          <w:tcPr>
            <w:tcW w:w="1905"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0.0</w:t>
            </w:r>
          </w:p>
        </w:tc>
        <w:tc>
          <w:tcPr>
            <w:tcW w:w="2880" w:type="dxa"/>
          </w:tcPr>
          <w:p>
            <w:pPr>
              <w:spacing w:after="0"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Failure</w:t>
            </w:r>
          </w:p>
        </w:tc>
      </w:tr>
    </w:tbl>
    <w:p>
      <w:pPr>
        <w:spacing w:after="0" w:line="240" w:lineRule="auto"/>
        <w:rPr>
          <w:rFonts w:ascii="Source Sans Pro" w:hAnsi="Source Sans Pro" w:eastAsia="Source Sans Pro" w:cs="Source Sans Pro"/>
          <w:b/>
          <w:bCs/>
          <w:sz w:val="24"/>
          <w:szCs w:val="24"/>
        </w:rPr>
      </w:pP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Other Grades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Students who discontinue engagement in a course may be awarded a grade of AF: Administrative Failure. Further details on an Administrative Failure can be found in the </w:t>
      </w:r>
      <w:r>
        <w:fldChar w:fldCharType="begin"/>
      </w:r>
      <w:r>
        <w:instrText xml:space="preserve"> HYPERLINK "https://catalog.unh.edu/undergraduate/academic-policies-procedures/grades/" \l "text" \h </w:instrText>
      </w:r>
      <w:r>
        <w:fldChar w:fldCharType="separate"/>
      </w:r>
      <w:r>
        <w:rPr>
          <w:rStyle w:val="12"/>
          <w:rFonts w:ascii="Source Sans Pro" w:hAnsi="Source Sans Pro" w:eastAsia="Source Sans Pro" w:cs="Source Sans Pro"/>
          <w:sz w:val="24"/>
          <w:szCs w:val="24"/>
        </w:rPr>
        <w:t>UNH Catalog</w:t>
      </w:r>
      <w:r>
        <w:rPr>
          <w:rStyle w:val="12"/>
          <w:rFonts w:ascii="Source Sans Pro" w:hAnsi="Source Sans Pro" w:eastAsia="Source Sans Pro" w:cs="Source Sans Pro"/>
          <w:sz w:val="24"/>
          <w:szCs w:val="24"/>
        </w:rPr>
        <w:fldChar w:fldCharType="end"/>
      </w:r>
      <w:r>
        <w:rPr>
          <w:rFonts w:ascii="Source Sans Pro" w:hAnsi="Source Sans Pro" w:eastAsia="Source Sans Pro" w:cs="Source Sans Pro"/>
          <w:sz w:val="24"/>
          <w:szCs w:val="24"/>
        </w:rPr>
        <w:t xml:space="preserve">.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Students who complete a major portion of the entire work of the course, but are then unable to complete the course, may request an incomplete from their instructor. An instructor must approve the student’s request for a grade of IC (incomplete) and additional time to complete the coursework. More details regarding incompletes can be found in the </w:t>
      </w:r>
      <w:r>
        <w:fldChar w:fldCharType="begin"/>
      </w:r>
      <w:r>
        <w:instrText xml:space="preserve"> HYPERLINK "https://catalog.unh.edu/undergraduate/academic-policies-procedures/grades/" \l "text" \h </w:instrText>
      </w:r>
      <w:r>
        <w:fldChar w:fldCharType="separate"/>
      </w:r>
      <w:r>
        <w:rPr>
          <w:rStyle w:val="12"/>
          <w:rFonts w:ascii="Source Sans Pro" w:hAnsi="Source Sans Pro" w:eastAsia="Source Sans Pro" w:cs="Source Sans Pro"/>
          <w:sz w:val="24"/>
          <w:szCs w:val="24"/>
        </w:rPr>
        <w:t>UNH Catalog</w:t>
      </w:r>
      <w:r>
        <w:rPr>
          <w:rStyle w:val="12"/>
          <w:rFonts w:ascii="Source Sans Pro" w:hAnsi="Source Sans Pro" w:eastAsia="Source Sans Pro" w:cs="Source Sans Pro"/>
          <w:sz w:val="24"/>
          <w:szCs w:val="24"/>
        </w:rPr>
        <w:fldChar w:fldCharType="end"/>
      </w:r>
      <w:r>
        <w:rPr>
          <w:rFonts w:ascii="Source Sans Pro" w:hAnsi="Source Sans Pro" w:eastAsia="Source Sans Pro" w:cs="Source Sans Pro"/>
          <w:sz w:val="24"/>
          <w:szCs w:val="24"/>
        </w:rPr>
        <w:t xml:space="preserve">.  </w:t>
      </w:r>
    </w:p>
    <w:p>
      <w:pPr>
        <w:spacing w:line="240" w:lineRule="auto"/>
        <w:rPr>
          <w:rFonts w:ascii="Source Sans Pro" w:hAnsi="Source Sans Pro" w:eastAsia="Source Sans Pro" w:cs="Source Sans Pro"/>
        </w:rPr>
      </w:pPr>
      <w:r>
        <w:drawing>
          <wp:inline distT="0" distB="0" distL="0" distR="0">
            <wp:extent cx="6502400" cy="121920"/>
            <wp:effectExtent l="0" t="0" r="0" b="0"/>
            <wp:docPr id="2077096383" name="Picture 2077096383" descr="Horizontal blue line used to separate sections" title="Horizontal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96383" name="Picture 2077096383" descr="Horizontal blue line used to separate sections" title="Horizontal blue lin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flipV="1">
                      <a:off x="0" y="0"/>
                      <a:ext cx="8057305" cy="151074"/>
                    </a:xfrm>
                    <a:prstGeom prst="rect">
                      <a:avLst/>
                    </a:prstGeom>
                  </pic:spPr>
                </pic:pic>
              </a:graphicData>
            </a:graphic>
          </wp:inline>
        </w:drawing>
      </w:r>
    </w:p>
    <w:p>
      <w:pPr>
        <w:spacing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Institutional Policies: </w:t>
      </w:r>
    </w:p>
    <w:p>
      <w:pPr>
        <w:keepNext/>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Outcomes Assessment Note</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This course may be part of an initiative to assess learning outcomes and associated competencies. Divisional learning outcomes are those areas of learning that we expect all online students to demonstrate by the time they graduate. Competencies refer to the knowledge, skills, and abilities related to these broader outcomes and professional skills. For some undergraduate courses, results of this competency assessment may appear alongside the criteria in your grading rubric for specific assignments that are part of this initiative, along with descriptions of the competencies assessed by your instructor. For graduate students, professional competencies are aligned with divisional competencies and are assessed in your e-portfolio. The college uses these data to refine course content and teaching practice. Confidentiality of any data that identify participants is maintained.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If you have questions about outcomes assessment, please contact your instructor.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Library Services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The UNH Manchester Library supports the UNH College of Professional Studies. Students have access to electronic books, journal articles, and more online. Librarians are available to help plan research strategies and cite sources. Contact the UNH Manchester Library via e-mail (unhm.library@unh.edu) or by phone (603-641-4173) or visit the </w:t>
      </w:r>
      <w:r>
        <w:fldChar w:fldCharType="begin"/>
      </w:r>
      <w:r>
        <w:instrText xml:space="preserve"> HYPERLINK "https://cps.unh.edu/library" </w:instrText>
      </w:r>
      <w:r>
        <w:fldChar w:fldCharType="separate"/>
      </w:r>
      <w:r>
        <w:rPr>
          <w:rStyle w:val="12"/>
          <w:rFonts w:ascii="Source Sans Pro" w:hAnsi="Source Sans Pro" w:eastAsia="Source Sans Pro" w:cs="Source Sans Pro"/>
          <w:sz w:val="24"/>
          <w:szCs w:val="24"/>
        </w:rPr>
        <w:t>UNH Manchester Library</w:t>
      </w:r>
      <w:r>
        <w:rPr>
          <w:rStyle w:val="12"/>
          <w:rFonts w:ascii="Source Sans Pro" w:hAnsi="Source Sans Pro" w:eastAsia="Source Sans Pro" w:cs="Source Sans Pro"/>
          <w:sz w:val="24"/>
          <w:szCs w:val="24"/>
        </w:rPr>
        <w:fldChar w:fldCharType="end"/>
      </w:r>
      <w:r>
        <w:rPr>
          <w:rFonts w:ascii="Source Sans Pro" w:hAnsi="Source Sans Pro" w:eastAsia="Source Sans Pro" w:cs="Source Sans Pro"/>
          <w:sz w:val="24"/>
          <w:szCs w:val="24"/>
        </w:rPr>
        <w:t xml:space="preserve">.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Academic Support Services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Online, 24-hour-a-day tutorial support, as well as individual face-to-face tutoring options, are available to students. Specific resources include: basic skills preparation in reading, writing, and math support, study and research skills, time management tips, and assistance in identifying online resources. Campus team members work closely with faculty and the academic administration to foster academic success. Please contact the Academic Support Coordinator at 603.513.1140 for additional details or request a tutor at Academics Support Services.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Technical Assistance</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For assistance with issues related to accounts, UNH email, WebCAT, Canvas Learning Management System (LMS), or other associated academic technologies, please visit the </w:t>
      </w:r>
      <w:r>
        <w:fldChar w:fldCharType="begin"/>
      </w:r>
      <w:r>
        <w:instrText xml:space="preserve"> HYPERLINK "https://td.unh.edu/TDClient/60/Portal/Home/?ID=a9a4898a-580d-4243-91a8-8c3cab45935a" \h </w:instrText>
      </w:r>
      <w:r>
        <w:fldChar w:fldCharType="separate"/>
      </w:r>
      <w:r>
        <w:rPr>
          <w:rStyle w:val="12"/>
          <w:rFonts w:ascii="Source Sans Pro" w:hAnsi="Source Sans Pro" w:eastAsia="Source Sans Pro" w:cs="Source Sans Pro"/>
          <w:sz w:val="24"/>
          <w:szCs w:val="24"/>
        </w:rPr>
        <w:t>IT Help Desk Portal</w:t>
      </w:r>
      <w:r>
        <w:rPr>
          <w:rStyle w:val="12"/>
          <w:rFonts w:ascii="Source Sans Pro" w:hAnsi="Source Sans Pro" w:eastAsia="Source Sans Pro" w:cs="Source Sans Pro"/>
          <w:sz w:val="24"/>
          <w:szCs w:val="24"/>
        </w:rPr>
        <w:fldChar w:fldCharType="end"/>
      </w:r>
      <w:r>
        <w:rPr>
          <w:rFonts w:ascii="Source Sans Pro" w:hAnsi="Source Sans Pro" w:eastAsia="Source Sans Pro" w:cs="Source Sans Pro"/>
          <w:sz w:val="24"/>
          <w:szCs w:val="24"/>
        </w:rPr>
        <w:t xml:space="preserve"> (help.unh.edu) for answers to the most frequently asked questions. The IT Help Desk page can be used to submit an online help request form or call 1-888-372-4270.   </w:t>
      </w:r>
    </w:p>
    <w:p>
      <w:pPr>
        <w:keepNext/>
        <w:spacing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Documented Disabilities/ Americans with Disabilities Act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The UNH College of Professional Studies Student Disability Services is committed to helping students become engaged, self-advocating, independent learners. We seek to promote accessible learning environments where students with disabilities experience equal access and full participation.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The UNH College of Professional Studies, in accordance with the American Disabilities Act of 1990, the Americans with Disabilities Amendments Act of 2008, and Section 504 of the Rehabilitation Act of 1973, will provide eligible students with a documented disability reasonable accommodation(s) to ensure equal access to college programs and activities.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To apply for accommodations, please contact the College of Professional Studies Student Disability Services Coordinator at (603) 862-2607, by email at sas.office@unh.edu, or download the application directly from </w:t>
      </w:r>
      <w:r>
        <w:fldChar w:fldCharType="begin"/>
      </w:r>
      <w:r>
        <w:instrText xml:space="preserve"> HYPERLINK "https://www.unh.edu/diversity-inclusion/student-accessibility/accommodate" \h </w:instrText>
      </w:r>
      <w:r>
        <w:fldChar w:fldCharType="separate"/>
      </w:r>
      <w:r>
        <w:rPr>
          <w:rStyle w:val="12"/>
          <w:rFonts w:ascii="Source Sans Pro" w:hAnsi="Source Sans Pro" w:eastAsia="Source Sans Pro" w:cs="Source Sans Pro"/>
          <w:sz w:val="24"/>
          <w:szCs w:val="24"/>
        </w:rPr>
        <w:t xml:space="preserve">Accommodate </w:t>
      </w:r>
      <w:r>
        <w:rPr>
          <w:rStyle w:val="12"/>
          <w:rFonts w:ascii="Source Sans Pro" w:hAnsi="Source Sans Pro" w:eastAsia="Source Sans Pro" w:cs="Source Sans Pro"/>
          <w:sz w:val="24"/>
          <w:szCs w:val="24"/>
        </w:rPr>
        <w:fldChar w:fldCharType="end"/>
      </w:r>
      <w:r>
        <w:rPr>
          <w:rFonts w:ascii="Source Sans Pro" w:hAnsi="Source Sans Pro" w:eastAsia="Source Sans Pro" w:cs="Source Sans Pro"/>
          <w:sz w:val="24"/>
          <w:szCs w:val="24"/>
        </w:rPr>
        <w:t xml:space="preserve">.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Academic Honesty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Honesty is a core value at the University of New Hampshire. The members of its academic community both require and expect one another to conduct themselves with integrity. This means that each member will adhere to the principles and rules of the University and pursue academic work in a straightforward and truthful manner, free from deception or fraud.</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Any attempts to deviate from these principles will be construed as acts of academic dishonesty and will be dealt with according to the rules of due process outlined below.</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The value of honesty and the expectation of conduct that goes with it are intended to reinforce a learning environment where students and faculty can pursue independent work without unnecessary restraints. At the same time, the University recognizes its responsibility to encourage and inculcate values and standards of conduct that will guide its students throughout their careers.</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The academic honesty policy provides standards of conduct for individuals only. Policies relating to recognized student organizations are described elsewhere. Such organizations, however, are expected to conform to the values and standards that govern their members as individuals within the UNH community. It is expected that students attending the University will conduct themselves in accordance with the rules and regulations of the University. Students must acknowledge the University’s right to take disciplinary action, including suspension or dismissal, for failure to comply with the expectations delineated by this policy.</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This policy establishes the expectations of the University of New Hampshire for academic honesty and defines situations that constitute academic misconduct related to undergraduate and graduate coursework and undergraduate thesis and research projects. Finally, it presents the due process that follows should misconduct occur.</w:t>
      </w:r>
    </w:p>
    <w:p>
      <w:pPr>
        <w:spacing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The full Academic Honesty policy, including definitions and procedures, can be found </w:t>
      </w:r>
      <w:r>
        <w:fldChar w:fldCharType="begin"/>
      </w:r>
      <w:r>
        <w:instrText xml:space="preserve"> HYPERLINK "https://catalog.unh.edu/undergraduate/academic-policies-procedures/academic-integrity/" \h </w:instrText>
      </w:r>
      <w:r>
        <w:fldChar w:fldCharType="separate"/>
      </w:r>
      <w:r>
        <w:rPr>
          <w:rStyle w:val="12"/>
          <w:rFonts w:ascii="Source Sans Pro" w:hAnsi="Source Sans Pro" w:eastAsia="Source Sans Pro" w:cs="Source Sans Pro"/>
          <w:b/>
          <w:bCs/>
          <w:sz w:val="24"/>
          <w:szCs w:val="24"/>
        </w:rPr>
        <w:t>in the UNH Catalog</w:t>
      </w:r>
      <w:r>
        <w:rPr>
          <w:rStyle w:val="12"/>
          <w:rFonts w:ascii="Source Sans Pro" w:hAnsi="Source Sans Pro" w:eastAsia="Source Sans Pro" w:cs="Source Sans Pro"/>
          <w:b/>
          <w:bCs/>
          <w:sz w:val="24"/>
          <w:szCs w:val="24"/>
        </w:rPr>
        <w:fldChar w:fldCharType="end"/>
      </w:r>
      <w:r>
        <w:rPr>
          <w:rFonts w:ascii="Source Sans Pro" w:hAnsi="Source Sans Pro" w:eastAsia="Source Sans Pro" w:cs="Source Sans Pro"/>
          <w:b/>
          <w:bCs/>
          <w:sz w:val="24"/>
          <w:szCs w:val="24"/>
        </w:rPr>
        <w:t xml:space="preserve">. </w:t>
      </w:r>
    </w:p>
    <w:p>
      <w:pPr>
        <w:keepNext/>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Turnitin Use Policy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The UNH College of Professional Studies makes use of Turnitin.com, an online service that checks students' work for improper citation or potential plagiarism by comparing it against the works of others in the Turnitin database as well as online sources. Students taking this course agree that all required work may be submitted to Turnitin and agree to their terms of use. Works submitted to Turnitin will become source documents in their reference database solely for the purpose of detecting plagiarism of other students’ work. Students retain copyright of their own work. Turnitin takes extreme measures to protect users’ privacy, which can be reviewed in their </w:t>
      </w:r>
      <w:r>
        <w:fldChar w:fldCharType="begin"/>
      </w:r>
      <w:r>
        <w:instrText xml:space="preserve"> HYPERLINK "https://nam12.safelinks.protection.outlook.com/?url=https%3A%2F%2Fhelp.turnitin.com%2FPrivacy_and_Security%2FPrivacy_and_Security.htm&amp;data=05%7C01%7CAbigail.Scheg%40granite.edu%7C9c1f33f1a5794a1b287208db32298db3%7Cd6241893512d46dc8d2bbe47e25f5666%7C0%7C0%7C638158926267112527%7CUnknown%7CTWFpbGZsb3d8eyJWIjoiMC4wLjAwMDAiLCJQIjoiV2luMzIiLCJBTiI6Ik1haWwiLCJXVCI6Mn0%3D%7C3000%7C%7C%7C&amp;sdata=0eacArKFLFLPl6dHVAS6Bh5k7jIUrhcAxoVJyc0o6qM%3D&amp;reserved=0" \h </w:instrText>
      </w:r>
      <w:r>
        <w:fldChar w:fldCharType="separate"/>
      </w:r>
      <w:r>
        <w:rPr>
          <w:rStyle w:val="12"/>
          <w:rFonts w:ascii="Source Sans Pro" w:hAnsi="Source Sans Pro" w:eastAsia="Source Sans Pro" w:cs="Source Sans Pro"/>
          <w:sz w:val="24"/>
          <w:szCs w:val="24"/>
        </w:rPr>
        <w:t>Privacy Center.</w:t>
      </w:r>
      <w:r>
        <w:rPr>
          <w:rStyle w:val="12"/>
          <w:rFonts w:ascii="Source Sans Pro" w:hAnsi="Source Sans Pro" w:eastAsia="Source Sans Pro" w:cs="Source Sans Pro"/>
          <w:sz w:val="24"/>
          <w:szCs w:val="24"/>
        </w:rPr>
        <w:fldChar w:fldCharType="end"/>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Academic Credit Hour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The UNH College of Professional Studies adheres to the federal definition of credit hour. For each credit hour, the College requires, at a minimum, 45 hours of total instructional engagement. In general, about one-third of this work will be direct faculty instruction, and two-thirds will be comprised of other academic activities. Direct faculty instruction may include, but is not limited to, classroom instruction, e-learning, laboratory work, studio work, field work, clinicals, performance, internships, and practica. Other academic activities may include, but are not limited to, readings, reflections, essays, reports, inquiry, problem solving, rehearsal, collaborations, theses, and electronic interactions. Regardless of instructional delivery method and length of term, students are required to meet the course’s learning outcomes and the minimum amount of total instructional engagement for each credit hour.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Responsible, Professional, and Effective Interpersonal Behavior and Communication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Enabling students to develop responsible, professional, and effective skills and habits of interpersonal behavior and communication is a primary goal of this course and degree program at UNH College of Professional Studies Online. Throughout this course, students will be expected to interact with all fellow students, faculty, and staff within the</w:t>
      </w:r>
      <w:r>
        <w:rPr>
          <w:rFonts w:ascii="Source Sans Pro" w:hAnsi="Source Sans Pro" w:eastAsia="Source Sans Pro" w:cs="Source Sans Pro"/>
          <w:color w:val="FF0000"/>
          <w:sz w:val="24"/>
          <w:szCs w:val="24"/>
        </w:rPr>
        <w:t xml:space="preserve"> </w:t>
      </w:r>
      <w:r>
        <w:rPr>
          <w:rFonts w:ascii="Source Sans Pro" w:hAnsi="Source Sans Pro" w:eastAsia="Source Sans Pro" w:cs="Source Sans Pro"/>
          <w:sz w:val="24"/>
          <w:szCs w:val="24"/>
        </w:rPr>
        <w:t xml:space="preserve">UNH College of Professional Studies Online community with respect and in accord with applicable policies and laws. Performance in this course will be assessed in part on success in practicing these skills and habits and meeting these expectations. If there are any questions about these goals and expectations or their application in a specific circumstance, please ask the course instructor for guidance.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Freedom of Speech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Freedom of speech, expression, and assembly are fundamental rights of all persons and are central to the mission and purposes of UNH College of Professional Studies Online. Our educational mission is founded on the bedrock principles of supporting a robust exchange of ideas and protecting academic freedom. The College recognizes that free inquiry and free expression are indispensable components in the examination of ideas. Students, faculty, and staff are free to express their views, individually or in organized groups, orally or in writing, on any topic, subject only to rules necessary to preserve the equal rights of others and the functions of normal College operations. The College will not discriminate on the basis of the political, religious, philosophical, ideological, or academic viewpoint expressed by any person.</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Code of Conduct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Membership in society implies minimal norms for civil behavior towards one another. It is expected that all members of the college community treat faculty, staff, and fellow students with respect. Students need to be knowledgeable of and comply with college policies. Students are accountable for their actions and the consequences of any behavior that is inconsistent with these values and expectations.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For a complete description of the UNH College of Professional Studies Code of Conduct Policy and Process, please refer to </w:t>
      </w:r>
      <w:r>
        <w:fldChar w:fldCharType="begin"/>
      </w:r>
      <w:r>
        <w:instrText xml:space="preserve"> HYPERLINK "http://cps.unh.edu/online/resources/current-students/student-affairs-wellness" \h </w:instrText>
      </w:r>
      <w:r>
        <w:fldChar w:fldCharType="separate"/>
      </w:r>
      <w:r>
        <w:rPr>
          <w:rStyle w:val="12"/>
          <w:rFonts w:ascii="Source Sans Pro" w:hAnsi="Source Sans Pro" w:eastAsia="Source Sans Pro" w:cs="Source Sans Pro"/>
          <w:sz w:val="24"/>
          <w:szCs w:val="24"/>
        </w:rPr>
        <w:t>Student Affairs and</w:t>
      </w:r>
      <w:r>
        <w:rPr>
          <w:rStyle w:val="12"/>
          <w:rFonts w:ascii="Source Sans Pro" w:hAnsi="Source Sans Pro" w:eastAsia="Source Sans Pro" w:cs="Source Sans Pro"/>
          <w:sz w:val="24"/>
          <w:szCs w:val="24"/>
        </w:rPr>
        <w:fldChar w:fldCharType="end"/>
      </w:r>
      <w:r>
        <w:rPr>
          <w:rStyle w:val="12"/>
          <w:rFonts w:ascii="Source Sans Pro" w:hAnsi="Source Sans Pro" w:eastAsia="Source Sans Pro" w:cs="Source Sans Pro"/>
          <w:sz w:val="24"/>
          <w:szCs w:val="24"/>
        </w:rPr>
        <w:t xml:space="preserve"> Wellness</w:t>
      </w:r>
      <w:r>
        <w:rPr>
          <w:rFonts w:ascii="Source Sans Pro" w:hAnsi="Source Sans Pro" w:eastAsia="Source Sans Pro" w:cs="Source Sans Pro"/>
          <w:sz w:val="24"/>
          <w:szCs w:val="24"/>
        </w:rPr>
        <w:t xml:space="preserve">. Students with conduct questions or those who would like to report an incident may contact the Director of Student Affairs/Title IX Coordinator at 603-513-1328.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Title IX (20 U.S.C. § 1681) Statement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Title IX of the Educational Amendments of 1972, 20 U.S.C. section 1681 is a federal civil rights law prohibiting discrimination on the basis of sex in education programs and activities. This includes all forms of gender- and sex-based discrimination, sexual harassment, sexual violence, domestic violence, dating violence, and stalking. The College maintains a zero-tolerance policy for sexual misconduct. For more information on Title IX or the UNH College of Professional Studies’ Sexual Misconduct Policy, or to report an incident, please contact </w:t>
      </w:r>
      <w:r>
        <w:fldChar w:fldCharType="begin"/>
      </w:r>
      <w:r>
        <w:instrText xml:space="preserve"> HYPERLINK "https://usc-word-edit.officeapps.live.com/we/affirmaction.equity@unh.edu" \h </w:instrText>
      </w:r>
      <w:r>
        <w:fldChar w:fldCharType="separate"/>
      </w:r>
      <w:r>
        <w:rPr>
          <w:rStyle w:val="12"/>
          <w:rFonts w:ascii="Source Sans Pro" w:hAnsi="Source Sans Pro" w:eastAsia="Source Sans Pro" w:cs="Source Sans Pro"/>
          <w:sz w:val="24"/>
          <w:szCs w:val="24"/>
        </w:rPr>
        <w:t>affirmaction.equity@unh.edu</w:t>
      </w:r>
      <w:r>
        <w:rPr>
          <w:rStyle w:val="12"/>
          <w:rFonts w:ascii="Source Sans Pro" w:hAnsi="Source Sans Pro" w:eastAsia="Source Sans Pro" w:cs="Source Sans Pro"/>
          <w:sz w:val="24"/>
          <w:szCs w:val="24"/>
        </w:rPr>
        <w:fldChar w:fldCharType="end"/>
      </w:r>
      <w:r>
        <w:rPr>
          <w:rFonts w:ascii="Source Sans Pro" w:hAnsi="Source Sans Pro" w:eastAsia="Source Sans Pro" w:cs="Source Sans Pro"/>
          <w:sz w:val="24"/>
          <w:szCs w:val="24"/>
        </w:rPr>
        <w:t xml:space="preserve"> or call (603) 862-2930.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Confidentiality and Mandatory Reporting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To ensure a safe and productive educational environment for all students, the College requires faculty members to report incidents of sexual violence and harassment shared by students to the College’s </w:t>
      </w:r>
      <w:r>
        <w:fldChar w:fldCharType="begin"/>
      </w:r>
      <w:r>
        <w:instrText xml:space="preserve"> HYPERLINK "mailto:affirmaction.equity@unh.edu" \h </w:instrText>
      </w:r>
      <w:r>
        <w:fldChar w:fldCharType="separate"/>
      </w:r>
      <w:r>
        <w:rPr>
          <w:rStyle w:val="12"/>
          <w:rFonts w:ascii="Source Sans Pro" w:hAnsi="Source Sans Pro" w:eastAsia="Source Sans Pro" w:cs="Source Sans Pro"/>
          <w:sz w:val="24"/>
          <w:szCs w:val="24"/>
        </w:rPr>
        <w:t>Title IX Coordinator</w:t>
      </w:r>
      <w:r>
        <w:rPr>
          <w:rStyle w:val="12"/>
          <w:rFonts w:ascii="Source Sans Pro" w:hAnsi="Source Sans Pro" w:eastAsia="Source Sans Pro" w:cs="Source Sans Pro"/>
          <w:sz w:val="24"/>
          <w:szCs w:val="24"/>
        </w:rPr>
        <w:fldChar w:fldCharType="end"/>
      </w:r>
      <w:r>
        <w:rPr>
          <w:rFonts w:ascii="Source Sans Pro" w:hAnsi="Source Sans Pro" w:eastAsia="Source Sans Pro" w:cs="Source Sans Pro"/>
          <w:sz w:val="24"/>
          <w:szCs w:val="24"/>
        </w:rPr>
        <w:t xml:space="preserve">. If a student wishes to speak to a confidential service provider who does not have this reporting responsibility, please visit </w:t>
      </w:r>
      <w:r>
        <w:fldChar w:fldCharType="begin"/>
      </w:r>
      <w:r>
        <w:instrText xml:space="preserve"> HYPERLINK "http://cps.unh.edu/online/resources/current-students/student-affairs-wellness" \h </w:instrText>
      </w:r>
      <w:r>
        <w:fldChar w:fldCharType="separate"/>
      </w:r>
      <w:r>
        <w:rPr>
          <w:rStyle w:val="12"/>
          <w:rFonts w:ascii="Source Sans Pro" w:hAnsi="Source Sans Pro" w:eastAsia="Source Sans Pro" w:cs="Source Sans Pro"/>
          <w:sz w:val="24"/>
          <w:szCs w:val="24"/>
        </w:rPr>
        <w:t>Student Affairs and Wellness</w:t>
      </w:r>
      <w:r>
        <w:rPr>
          <w:rStyle w:val="12"/>
          <w:rFonts w:ascii="Source Sans Pro" w:hAnsi="Source Sans Pro" w:eastAsia="Source Sans Pro" w:cs="Source Sans Pro"/>
          <w:sz w:val="24"/>
          <w:szCs w:val="24"/>
        </w:rPr>
        <w:fldChar w:fldCharType="end"/>
      </w:r>
      <w:r>
        <w:rPr>
          <w:rFonts w:ascii="Source Sans Pro" w:hAnsi="Source Sans Pro" w:eastAsia="Source Sans Pro" w:cs="Source Sans Pro"/>
          <w:sz w:val="24"/>
          <w:szCs w:val="24"/>
        </w:rPr>
        <w:t xml:space="preserve"> for a complete listing of resources.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Weather &amp; Emergency Cancellation Policy &amp; Alerts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The UNH College of Professional Studies participates in the University of New Hampshire's emergency notification system, UNH Alert, which allows students, faculty, and staff to receive a message in the event of an emergency. These brief messages can be sent directly to students’ e-mail or cell phone, and will notify members of the college community about: </w:t>
      </w:r>
    </w:p>
    <w:p>
      <w:pPr>
        <w:pStyle w:val="15"/>
        <w:numPr>
          <w:ilvl w:val="0"/>
          <w:numId w:val="3"/>
        </w:num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Weather-related cancellations at our regional and academic campuses. </w:t>
      </w:r>
    </w:p>
    <w:p>
      <w:pPr>
        <w:pStyle w:val="15"/>
        <w:numPr>
          <w:ilvl w:val="0"/>
          <w:numId w:val="3"/>
        </w:num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Emergency situations that may affect students, faculty, and staff. </w:t>
      </w:r>
    </w:p>
    <w:p>
      <w:pPr>
        <w:pStyle w:val="15"/>
        <w:numPr>
          <w:ilvl w:val="0"/>
          <w:numId w:val="3"/>
        </w:num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Curtailed operations at the College resulting from an urgent circumstance.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Learn more at </w:t>
      </w:r>
      <w:r>
        <w:fldChar w:fldCharType="begin"/>
      </w:r>
      <w:r>
        <w:instrText xml:space="preserve"> HYPERLINK "https://cps.unh.edu/online/resources/current-students/academics-advising/student-affairs-wellness/safety-security" \h </w:instrText>
      </w:r>
      <w:r>
        <w:fldChar w:fldCharType="separate"/>
      </w:r>
      <w:r>
        <w:rPr>
          <w:rStyle w:val="12"/>
          <w:rFonts w:ascii="Source Sans Pro" w:hAnsi="Source Sans Pro" w:eastAsia="Source Sans Pro" w:cs="Source Sans Pro"/>
          <w:sz w:val="24"/>
          <w:szCs w:val="24"/>
        </w:rPr>
        <w:t>Safety &amp; Security</w:t>
      </w:r>
      <w:r>
        <w:rPr>
          <w:rStyle w:val="12"/>
          <w:rFonts w:ascii="Source Sans Pro" w:hAnsi="Source Sans Pro" w:eastAsia="Source Sans Pro" w:cs="Source Sans Pro"/>
          <w:sz w:val="24"/>
          <w:szCs w:val="24"/>
        </w:rPr>
        <w:fldChar w:fldCharType="end"/>
      </w:r>
      <w:r>
        <w:rPr>
          <w:rFonts w:ascii="Source Sans Pro" w:hAnsi="Source Sans Pro" w:eastAsia="Source Sans Pro" w:cs="Source Sans Pro"/>
          <w:sz w:val="24"/>
          <w:szCs w:val="24"/>
        </w:rPr>
        <w:t xml:space="preserve">.   </w:t>
      </w:r>
    </w:p>
    <w:p>
      <w:pPr>
        <w:spacing w:after="0" w:line="240" w:lineRule="auto"/>
        <w:rPr>
          <w:rFonts w:ascii="Source Sans Pro" w:hAnsi="Source Sans Pro" w:eastAsia="Source Sans Pro" w:cs="Source Sans Pro"/>
          <w:b/>
          <w:bCs/>
          <w:sz w:val="24"/>
          <w:szCs w:val="24"/>
        </w:rPr>
      </w:pPr>
      <w:r>
        <w:rPr>
          <w:rFonts w:ascii="Source Sans Pro" w:hAnsi="Source Sans Pro" w:eastAsia="Source Sans Pro" w:cs="Source Sans Pro"/>
          <w:b/>
          <w:bCs/>
          <w:sz w:val="24"/>
          <w:szCs w:val="24"/>
        </w:rPr>
        <w:t xml:space="preserve">Class Recording </w:t>
      </w:r>
    </w:p>
    <w:p>
      <w:pPr>
        <w:spacing w:line="240" w:lineRule="auto"/>
        <w:rPr>
          <w:rFonts w:ascii="Source Sans Pro" w:hAnsi="Source Sans Pro" w:eastAsia="Source Sans Pro" w:cs="Source Sans Pro"/>
          <w:sz w:val="24"/>
          <w:szCs w:val="24"/>
        </w:rPr>
      </w:pPr>
      <w:r>
        <w:rPr>
          <w:rFonts w:ascii="Source Sans Pro" w:hAnsi="Source Sans Pro" w:eastAsia="Source Sans Pro" w:cs="Source Sans Pro"/>
          <w:sz w:val="24"/>
          <w:szCs w:val="24"/>
        </w:rPr>
        <w:t xml:space="preserve">Lectures or other class meetings for this course may be recorded by the College using media platforms. Such recordings may be available for educational use by other students enrolled in the class (including both for instruction and as a review tool), the course instructor(s), and other College officials who support course instruction. Students’ voices or images may be captured on the recordings, and by enrolling in this course you are consenting to such recording for these purposes.  </w:t>
      </w:r>
    </w:p>
    <w:p/>
    <w:sectPr>
      <w:headerReference r:id="rId6" w:type="first"/>
      <w:headerReference r:id="rId5" w:type="default"/>
      <w:footerReference r:id="rId7" w:type="default"/>
      <w:pgSz w:w="12240" w:h="15840"/>
      <w:pgMar w:top="1440" w:right="1008" w:bottom="1440" w:left="1008" w:header="720" w:footer="576"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Gothic">
    <w:altName w:val="Century Gothic"/>
    <w:panose1 w:val="020B0604020202020204"/>
    <w:charset w:val="00"/>
    <w:family w:val="swiss"/>
    <w:pitch w:val="default"/>
    <w:sig w:usb0="00000000" w:usb1="00000000" w:usb2="00000000" w:usb3="00000000" w:csb0="00000001" w:csb1="00000000"/>
  </w:font>
  <w:font w:name="Source Sans Pro">
    <w:altName w:val="Yu Gothic UI"/>
    <w:panose1 w:val="020B0503030403020204"/>
    <w:charset w:val="00"/>
    <w:family w:val="swiss"/>
    <w:pitch w:val="default"/>
    <w:sig w:usb0="00000000" w:usb1="00000000" w:usb2="00000000" w:usb3="00000000" w:csb0="0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10260" w:type="dxa"/>
      <w:tblInd w:w="0" w:type="dxa"/>
      <w:tblLayout w:type="fixed"/>
      <w:tblCellMar>
        <w:top w:w="0" w:type="dxa"/>
        <w:left w:w="108" w:type="dxa"/>
        <w:bottom w:w="0" w:type="dxa"/>
        <w:right w:w="108" w:type="dxa"/>
      </w:tblCellMar>
    </w:tblPr>
    <w:tblGrid>
      <w:gridCol w:w="3120"/>
      <w:gridCol w:w="6240"/>
      <w:gridCol w:w="900"/>
    </w:tblGrid>
    <w:tr>
      <w:tblPrEx>
        <w:tblCellMar>
          <w:top w:w="0" w:type="dxa"/>
          <w:left w:w="108" w:type="dxa"/>
          <w:bottom w:w="0" w:type="dxa"/>
          <w:right w:w="108" w:type="dxa"/>
        </w:tblCellMar>
      </w:tblPrEx>
      <w:trPr>
        <w:trHeight w:val="300" w:hRule="atLeast"/>
      </w:trPr>
      <w:tc>
        <w:tcPr>
          <w:tcW w:w="3120" w:type="dxa"/>
        </w:tcPr>
        <w:p>
          <w:pPr>
            <w:pStyle w:val="11"/>
            <w:ind w:left="-115"/>
          </w:pPr>
          <w:r>
            <w:t>Last updated: 9/23/2023</w:t>
          </w:r>
        </w:p>
      </w:tc>
      <w:tc>
        <w:tcPr>
          <w:tcW w:w="6240" w:type="dxa"/>
        </w:tcPr>
        <w:p>
          <w:pPr>
            <w:pStyle w:val="10"/>
          </w:pPr>
        </w:p>
      </w:tc>
      <w:tc>
        <w:tcPr>
          <w:tcW w:w="900" w:type="dxa"/>
        </w:tcPr>
        <w:p>
          <w:pPr>
            <w:pStyle w:val="11"/>
            <w:ind w:right="-115"/>
            <w:jc w:val="right"/>
          </w:pPr>
          <w:r>
            <w:t xml:space="preserve">Page </w:t>
          </w:r>
          <w:r>
            <w:fldChar w:fldCharType="begin"/>
          </w:r>
          <w:r>
            <w:instrText xml:space="preserve">PAGE</w:instrText>
          </w:r>
          <w:r>
            <w:fldChar w:fldCharType="separate"/>
          </w:r>
          <w:r>
            <w:t>2</w:t>
          </w:r>
          <w:r>
            <w:fldChar w:fldCharType="end"/>
          </w:r>
        </w:p>
      </w:tc>
    </w:tr>
  </w:tb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after="0"/>
      <w:jc w:val="left"/>
    </w:pPr>
    <w:r>
      <w:tab/>
    </w:r>
    <w:r>
      <w:tab/>
    </w:r>
    <w:r>
      <w:tab/>
    </w:r>
    <w:r>
      <w:tab/>
    </w:r>
    <w:r>
      <w:tab/>
    </w:r>
    <w:r>
      <w:tab/>
    </w:r>
  </w:p>
  <w:p>
    <w:pPr>
      <w:pStyle w:val="11"/>
      <w:pBdr>
        <w:bottom w:val="thinThickSmallGap" w:color="323E4F" w:themeColor="text2" w:themeShade="BF" w:sz="24" w:space="1"/>
      </w:pBdr>
      <w:tabs>
        <w:tab w:val="right" w:pos="9900"/>
        <w:tab w:val="clear" w:pos="4680"/>
        <w:tab w:val="clear" w:pos="9360"/>
      </w:tabs>
      <w:rPr>
        <w:rFonts w:cstheme="minorHAnsi"/>
        <w:b/>
        <w:szCs w:val="24"/>
      </w:rPr>
    </w:pPr>
    <w:r>
      <w:rPr>
        <w:rFonts w:ascii="Calibri" w:hAnsi="Calibri" w:eastAsiaTheme="majorEastAsia" w:cstheme="majorBidi"/>
        <w:b/>
        <w:kern w:val="2"/>
        <w:sz w:val="28"/>
        <w:szCs w:val="28"/>
        <w14:ligatures w14:val="standardContextual"/>
      </w:rPr>
      <w:t>DAT 670 Advanced Data Analytics</w:t>
    </w:r>
    <w:r>
      <w:rPr>
        <w:rFonts w:cstheme="minorHAnsi"/>
        <w:b/>
        <w:szCs w:val="24"/>
      </w:rPr>
      <w:tab/>
    </w:r>
    <w:r>
      <w:rPr>
        <w:rFonts w:cstheme="minorHAnsi"/>
        <w:b/>
        <w:szCs w:val="24"/>
      </w:rPr>
      <w:t xml:space="preserve">4 </w:t>
    </w:r>
    <w:r>
      <w:rPr>
        <w:rFonts w:cstheme="minorHAnsi"/>
        <w:b/>
        <w:sz w:val="24"/>
        <w:szCs w:val="24"/>
      </w:rPr>
      <w:t>Credits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right" w:pos="10080"/>
      </w:tabs>
      <w:spacing w:after="0"/>
      <w:jc w:val="left"/>
    </w:pPr>
    <w:r>
      <w:drawing>
        <wp:inline distT="0" distB="0" distL="0" distR="0">
          <wp:extent cx="2673350" cy="506730"/>
          <wp:effectExtent l="0" t="0" r="0" b="7620"/>
          <wp:docPr id="495058688" name="Picture 495058688" descr="University of New Hampshire College of Professional Studies logo" title="UNH C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58688" name="Picture 495058688" descr="University of New Hampshire College of Professional Studies logo" title="UNH CPS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05537" cy="512925"/>
                  </a:xfrm>
                  <a:prstGeom prst="rect">
                    <a:avLst/>
                  </a:prstGeom>
                </pic:spPr>
              </pic:pic>
            </a:graphicData>
          </a:graphic>
        </wp:inline>
      </w:drawing>
    </w:r>
    <w:r>
      <w:tab/>
    </w:r>
    <w:r>
      <w:tab/>
    </w:r>
    <w:r>
      <w:rPr>
        <w:b/>
        <w:bCs w:val="0"/>
        <w:sz w:val="28"/>
        <w:szCs w:val="28"/>
      </w:rPr>
      <w:t>Course Syllabus</w:t>
    </w:r>
  </w:p>
  <w:p>
    <w:pPr>
      <w:pStyle w:val="11"/>
      <w:pBdr>
        <w:bottom w:val="thinThickSmallGap" w:color="323E4F" w:themeColor="text2" w:themeShade="BF" w:sz="24" w:space="1"/>
      </w:pBdr>
      <w:tabs>
        <w:tab w:val="right" w:pos="10080"/>
        <w:tab w:val="clear" w:pos="4680"/>
        <w:tab w:val="clear" w:pos="9360"/>
      </w:tabs>
      <w:rPr>
        <w:rFonts w:ascii="Calibri" w:hAnsi="Calibri" w:eastAsiaTheme="majorEastAsia" w:cstheme="majorBidi"/>
        <w:b/>
        <w:kern w:val="2"/>
        <w:sz w:val="28"/>
        <w:szCs w:val="28"/>
        <w14:ligatures w14:val="standardContextual"/>
      </w:rPr>
    </w:pPr>
    <w:r>
      <w:rPr>
        <w:rFonts w:ascii="Calibri" w:hAnsi="Calibri" w:eastAsiaTheme="majorEastAsia" w:cstheme="majorBidi"/>
        <w:b/>
        <w:kern w:val="2"/>
        <w:sz w:val="28"/>
        <w:szCs w:val="28"/>
        <w14:ligatures w14:val="standardContextual"/>
      </w:rPr>
      <w:t>DAT 670 Introduction to Data Analytics</w:t>
    </w:r>
    <w:r>
      <w:rPr>
        <w:rFonts w:cstheme="minorHAnsi"/>
        <w:b/>
        <w:szCs w:val="24"/>
      </w:rPr>
      <w:tab/>
    </w:r>
    <w:r>
      <w:rPr>
        <w:rFonts w:cstheme="minorHAnsi"/>
        <w:b/>
        <w:sz w:val="24"/>
        <w:szCs w:val="24"/>
      </w:rPr>
      <w:t>4 Credits</w:t>
    </w: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569E8"/>
    <w:multiLevelType w:val="multilevel"/>
    <w:tmpl w:val="031569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F5304D6"/>
    <w:multiLevelType w:val="multilevel"/>
    <w:tmpl w:val="3F5304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5B47C76"/>
    <w:multiLevelType w:val="multilevel"/>
    <w:tmpl w:val="65B47C76"/>
    <w:lvl w:ilvl="0" w:tentative="0">
      <w:start w:val="1"/>
      <w:numFmt w:val="decimal"/>
      <w:lvlText w:val="%1."/>
      <w:lvlJc w:val="left"/>
      <w:pPr>
        <w:ind w:left="1125" w:hanging="76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OxNDY2NzSwMDY3M7ZU0lEKTi0uzszPAykwrQUA3/SopCwAAAA="/>
  </w:docVars>
  <w:rsids>
    <w:rsidRoot w:val="76EA49CA"/>
    <w:rsid w:val="00000482"/>
    <w:rsid w:val="00005833"/>
    <w:rsid w:val="00005AFE"/>
    <w:rsid w:val="00012458"/>
    <w:rsid w:val="00016D2E"/>
    <w:rsid w:val="00023511"/>
    <w:rsid w:val="00025057"/>
    <w:rsid w:val="00034F23"/>
    <w:rsid w:val="00035F37"/>
    <w:rsid w:val="000449EC"/>
    <w:rsid w:val="0004729D"/>
    <w:rsid w:val="00051E96"/>
    <w:rsid w:val="000523A9"/>
    <w:rsid w:val="00057509"/>
    <w:rsid w:val="000612F5"/>
    <w:rsid w:val="000628BA"/>
    <w:rsid w:val="00067E84"/>
    <w:rsid w:val="00070CC2"/>
    <w:rsid w:val="00073728"/>
    <w:rsid w:val="00074774"/>
    <w:rsid w:val="00075076"/>
    <w:rsid w:val="000A2320"/>
    <w:rsid w:val="000A358E"/>
    <w:rsid w:val="000A3A69"/>
    <w:rsid w:val="000A496A"/>
    <w:rsid w:val="000C4784"/>
    <w:rsid w:val="000C4BBF"/>
    <w:rsid w:val="000D6E08"/>
    <w:rsid w:val="001034CA"/>
    <w:rsid w:val="00104BC6"/>
    <w:rsid w:val="00105BD7"/>
    <w:rsid w:val="00111E97"/>
    <w:rsid w:val="001260B8"/>
    <w:rsid w:val="00132A9E"/>
    <w:rsid w:val="00133D90"/>
    <w:rsid w:val="00136962"/>
    <w:rsid w:val="00147C57"/>
    <w:rsid w:val="0015141F"/>
    <w:rsid w:val="00154C8E"/>
    <w:rsid w:val="00155204"/>
    <w:rsid w:val="00160B50"/>
    <w:rsid w:val="001824F5"/>
    <w:rsid w:val="00184A3E"/>
    <w:rsid w:val="00185267"/>
    <w:rsid w:val="0019333E"/>
    <w:rsid w:val="00194611"/>
    <w:rsid w:val="001960A7"/>
    <w:rsid w:val="001A2167"/>
    <w:rsid w:val="001A4A92"/>
    <w:rsid w:val="001B4DB5"/>
    <w:rsid w:val="001B59E4"/>
    <w:rsid w:val="001B7243"/>
    <w:rsid w:val="001D0B33"/>
    <w:rsid w:val="001D7E69"/>
    <w:rsid w:val="001E0141"/>
    <w:rsid w:val="001E4A58"/>
    <w:rsid w:val="001F4301"/>
    <w:rsid w:val="001F4931"/>
    <w:rsid w:val="00216692"/>
    <w:rsid w:val="002310F7"/>
    <w:rsid w:val="00231C06"/>
    <w:rsid w:val="00233429"/>
    <w:rsid w:val="0024473E"/>
    <w:rsid w:val="0025238C"/>
    <w:rsid w:val="002555DF"/>
    <w:rsid w:val="00265371"/>
    <w:rsid w:val="00266843"/>
    <w:rsid w:val="002769A5"/>
    <w:rsid w:val="00284157"/>
    <w:rsid w:val="002978EE"/>
    <w:rsid w:val="002A71F6"/>
    <w:rsid w:val="002B5BC9"/>
    <w:rsid w:val="002C076E"/>
    <w:rsid w:val="002D2683"/>
    <w:rsid w:val="002D2C68"/>
    <w:rsid w:val="002E3C29"/>
    <w:rsid w:val="002E7E21"/>
    <w:rsid w:val="00316BE9"/>
    <w:rsid w:val="003172FA"/>
    <w:rsid w:val="0032373F"/>
    <w:rsid w:val="00332285"/>
    <w:rsid w:val="00334EA5"/>
    <w:rsid w:val="003365AC"/>
    <w:rsid w:val="0034751A"/>
    <w:rsid w:val="0035629C"/>
    <w:rsid w:val="00361A38"/>
    <w:rsid w:val="00364AE7"/>
    <w:rsid w:val="00382D35"/>
    <w:rsid w:val="003853D3"/>
    <w:rsid w:val="00391757"/>
    <w:rsid w:val="00391FBE"/>
    <w:rsid w:val="00391FE7"/>
    <w:rsid w:val="003B2305"/>
    <w:rsid w:val="003B4FB5"/>
    <w:rsid w:val="003C4BC0"/>
    <w:rsid w:val="003D0812"/>
    <w:rsid w:val="003D3C2D"/>
    <w:rsid w:val="003D58B2"/>
    <w:rsid w:val="003E2E0D"/>
    <w:rsid w:val="003E57DB"/>
    <w:rsid w:val="003E61A4"/>
    <w:rsid w:val="003F063E"/>
    <w:rsid w:val="003F2653"/>
    <w:rsid w:val="004050F8"/>
    <w:rsid w:val="004113F8"/>
    <w:rsid w:val="00411ACC"/>
    <w:rsid w:val="00412192"/>
    <w:rsid w:val="004146AF"/>
    <w:rsid w:val="00420B77"/>
    <w:rsid w:val="00427836"/>
    <w:rsid w:val="00446B14"/>
    <w:rsid w:val="00460DA5"/>
    <w:rsid w:val="004646EA"/>
    <w:rsid w:val="00467A7F"/>
    <w:rsid w:val="00475D77"/>
    <w:rsid w:val="00483583"/>
    <w:rsid w:val="00484820"/>
    <w:rsid w:val="00494210"/>
    <w:rsid w:val="004A67D0"/>
    <w:rsid w:val="004B1DCA"/>
    <w:rsid w:val="004C3CBE"/>
    <w:rsid w:val="004E411B"/>
    <w:rsid w:val="004E5ED2"/>
    <w:rsid w:val="004F1956"/>
    <w:rsid w:val="00507F07"/>
    <w:rsid w:val="00521038"/>
    <w:rsid w:val="0052759A"/>
    <w:rsid w:val="0054110D"/>
    <w:rsid w:val="00546572"/>
    <w:rsid w:val="0055295E"/>
    <w:rsid w:val="0056471D"/>
    <w:rsid w:val="00565BF9"/>
    <w:rsid w:val="005717F8"/>
    <w:rsid w:val="005748F9"/>
    <w:rsid w:val="005809CB"/>
    <w:rsid w:val="005822A5"/>
    <w:rsid w:val="005A081E"/>
    <w:rsid w:val="005A34EB"/>
    <w:rsid w:val="005A4D73"/>
    <w:rsid w:val="005A746F"/>
    <w:rsid w:val="005B0F0A"/>
    <w:rsid w:val="005C7236"/>
    <w:rsid w:val="005D0CA7"/>
    <w:rsid w:val="005D1FC7"/>
    <w:rsid w:val="005D3484"/>
    <w:rsid w:val="005D52C2"/>
    <w:rsid w:val="005D792E"/>
    <w:rsid w:val="005E1499"/>
    <w:rsid w:val="005E65F7"/>
    <w:rsid w:val="005E7BBF"/>
    <w:rsid w:val="00603B52"/>
    <w:rsid w:val="00605B3D"/>
    <w:rsid w:val="0060788B"/>
    <w:rsid w:val="0061006F"/>
    <w:rsid w:val="00615095"/>
    <w:rsid w:val="00620962"/>
    <w:rsid w:val="006240F6"/>
    <w:rsid w:val="00627B20"/>
    <w:rsid w:val="00631C34"/>
    <w:rsid w:val="00631F00"/>
    <w:rsid w:val="00640EE5"/>
    <w:rsid w:val="006506A7"/>
    <w:rsid w:val="006539C1"/>
    <w:rsid w:val="00655CF9"/>
    <w:rsid w:val="00664004"/>
    <w:rsid w:val="006665CE"/>
    <w:rsid w:val="006666B7"/>
    <w:rsid w:val="00666D4E"/>
    <w:rsid w:val="006714CB"/>
    <w:rsid w:val="00671DB8"/>
    <w:rsid w:val="00681B87"/>
    <w:rsid w:val="00686CF2"/>
    <w:rsid w:val="00696E6C"/>
    <w:rsid w:val="00697778"/>
    <w:rsid w:val="006A61F8"/>
    <w:rsid w:val="006B0699"/>
    <w:rsid w:val="006B2420"/>
    <w:rsid w:val="006C1F81"/>
    <w:rsid w:val="006C63BF"/>
    <w:rsid w:val="006C6541"/>
    <w:rsid w:val="006E3C47"/>
    <w:rsid w:val="006E512F"/>
    <w:rsid w:val="007030C6"/>
    <w:rsid w:val="00716764"/>
    <w:rsid w:val="00723C72"/>
    <w:rsid w:val="007257CF"/>
    <w:rsid w:val="00741516"/>
    <w:rsid w:val="00742922"/>
    <w:rsid w:val="00744689"/>
    <w:rsid w:val="0074685E"/>
    <w:rsid w:val="0075206C"/>
    <w:rsid w:val="00755836"/>
    <w:rsid w:val="007676B0"/>
    <w:rsid w:val="0077622A"/>
    <w:rsid w:val="00780887"/>
    <w:rsid w:val="00783116"/>
    <w:rsid w:val="007932E1"/>
    <w:rsid w:val="00794173"/>
    <w:rsid w:val="00794A13"/>
    <w:rsid w:val="00796A35"/>
    <w:rsid w:val="00797EC2"/>
    <w:rsid w:val="007A4E4C"/>
    <w:rsid w:val="007B24B5"/>
    <w:rsid w:val="007B5049"/>
    <w:rsid w:val="007B7E5E"/>
    <w:rsid w:val="007C041E"/>
    <w:rsid w:val="007C13AE"/>
    <w:rsid w:val="007C3E1B"/>
    <w:rsid w:val="007D6448"/>
    <w:rsid w:val="007E1B2E"/>
    <w:rsid w:val="007F1FE0"/>
    <w:rsid w:val="008064F8"/>
    <w:rsid w:val="00811189"/>
    <w:rsid w:val="0081210E"/>
    <w:rsid w:val="0082177E"/>
    <w:rsid w:val="00825053"/>
    <w:rsid w:val="008271E5"/>
    <w:rsid w:val="008314CB"/>
    <w:rsid w:val="00841F00"/>
    <w:rsid w:val="00842253"/>
    <w:rsid w:val="0085062D"/>
    <w:rsid w:val="00866EAD"/>
    <w:rsid w:val="008767A7"/>
    <w:rsid w:val="00883903"/>
    <w:rsid w:val="0089647F"/>
    <w:rsid w:val="00896DA9"/>
    <w:rsid w:val="00897923"/>
    <w:rsid w:val="00897948"/>
    <w:rsid w:val="008A58F2"/>
    <w:rsid w:val="008B6DD2"/>
    <w:rsid w:val="008C286C"/>
    <w:rsid w:val="008D0FB5"/>
    <w:rsid w:val="008D3BE4"/>
    <w:rsid w:val="008D629E"/>
    <w:rsid w:val="008D7998"/>
    <w:rsid w:val="008E28CD"/>
    <w:rsid w:val="008E5CD3"/>
    <w:rsid w:val="008E6ED1"/>
    <w:rsid w:val="008F07B2"/>
    <w:rsid w:val="008F2663"/>
    <w:rsid w:val="008F4AD8"/>
    <w:rsid w:val="008F677D"/>
    <w:rsid w:val="009013A9"/>
    <w:rsid w:val="0090235E"/>
    <w:rsid w:val="00912579"/>
    <w:rsid w:val="00920CB0"/>
    <w:rsid w:val="00923037"/>
    <w:rsid w:val="009260C3"/>
    <w:rsid w:val="009309EB"/>
    <w:rsid w:val="0093942A"/>
    <w:rsid w:val="0095125C"/>
    <w:rsid w:val="009550A0"/>
    <w:rsid w:val="00972365"/>
    <w:rsid w:val="00983B54"/>
    <w:rsid w:val="00984D59"/>
    <w:rsid w:val="00985184"/>
    <w:rsid w:val="00987DA1"/>
    <w:rsid w:val="0099166D"/>
    <w:rsid w:val="00991EC7"/>
    <w:rsid w:val="009A0AE0"/>
    <w:rsid w:val="009A1472"/>
    <w:rsid w:val="009B114E"/>
    <w:rsid w:val="009B126C"/>
    <w:rsid w:val="009B140D"/>
    <w:rsid w:val="009B6A1B"/>
    <w:rsid w:val="009D5EAE"/>
    <w:rsid w:val="009E4117"/>
    <w:rsid w:val="009E6755"/>
    <w:rsid w:val="00A0234F"/>
    <w:rsid w:val="00A03CA7"/>
    <w:rsid w:val="00A16FC2"/>
    <w:rsid w:val="00A22C2C"/>
    <w:rsid w:val="00A25105"/>
    <w:rsid w:val="00A4239C"/>
    <w:rsid w:val="00A44321"/>
    <w:rsid w:val="00A44517"/>
    <w:rsid w:val="00A5101C"/>
    <w:rsid w:val="00A53EAE"/>
    <w:rsid w:val="00A60C76"/>
    <w:rsid w:val="00A675B7"/>
    <w:rsid w:val="00A67863"/>
    <w:rsid w:val="00A71CA7"/>
    <w:rsid w:val="00A74F4E"/>
    <w:rsid w:val="00A80BB5"/>
    <w:rsid w:val="00A94671"/>
    <w:rsid w:val="00A94A5C"/>
    <w:rsid w:val="00AA4BD4"/>
    <w:rsid w:val="00AA6D47"/>
    <w:rsid w:val="00AB29CC"/>
    <w:rsid w:val="00AB5AC5"/>
    <w:rsid w:val="00AC0007"/>
    <w:rsid w:val="00AD1082"/>
    <w:rsid w:val="00AD7DAC"/>
    <w:rsid w:val="00AF005B"/>
    <w:rsid w:val="00AF788D"/>
    <w:rsid w:val="00B140CA"/>
    <w:rsid w:val="00B430EF"/>
    <w:rsid w:val="00B445A3"/>
    <w:rsid w:val="00B57795"/>
    <w:rsid w:val="00B60E58"/>
    <w:rsid w:val="00B70243"/>
    <w:rsid w:val="00B776DA"/>
    <w:rsid w:val="00B77EC2"/>
    <w:rsid w:val="00B97278"/>
    <w:rsid w:val="00BA22F8"/>
    <w:rsid w:val="00BB17E4"/>
    <w:rsid w:val="00BB4FFB"/>
    <w:rsid w:val="00BD59E5"/>
    <w:rsid w:val="00BD6E55"/>
    <w:rsid w:val="00BE4F63"/>
    <w:rsid w:val="00C023AF"/>
    <w:rsid w:val="00C02808"/>
    <w:rsid w:val="00C055FE"/>
    <w:rsid w:val="00C05E7E"/>
    <w:rsid w:val="00C121E5"/>
    <w:rsid w:val="00C13762"/>
    <w:rsid w:val="00C1426A"/>
    <w:rsid w:val="00C3635A"/>
    <w:rsid w:val="00C400D9"/>
    <w:rsid w:val="00C50419"/>
    <w:rsid w:val="00C63056"/>
    <w:rsid w:val="00C63DF3"/>
    <w:rsid w:val="00C70E5D"/>
    <w:rsid w:val="00C75C89"/>
    <w:rsid w:val="00C82D0F"/>
    <w:rsid w:val="00C90A39"/>
    <w:rsid w:val="00C913DA"/>
    <w:rsid w:val="00CA1A03"/>
    <w:rsid w:val="00CA77F0"/>
    <w:rsid w:val="00CB0C12"/>
    <w:rsid w:val="00CB615F"/>
    <w:rsid w:val="00CC03BA"/>
    <w:rsid w:val="00CD6862"/>
    <w:rsid w:val="00CF0384"/>
    <w:rsid w:val="00CF4295"/>
    <w:rsid w:val="00CF5423"/>
    <w:rsid w:val="00CF7941"/>
    <w:rsid w:val="00D1187C"/>
    <w:rsid w:val="00D16D8A"/>
    <w:rsid w:val="00D16DB7"/>
    <w:rsid w:val="00D20133"/>
    <w:rsid w:val="00D20A3D"/>
    <w:rsid w:val="00D22429"/>
    <w:rsid w:val="00D23F8A"/>
    <w:rsid w:val="00D30929"/>
    <w:rsid w:val="00D30D9D"/>
    <w:rsid w:val="00D3307A"/>
    <w:rsid w:val="00D33288"/>
    <w:rsid w:val="00D35463"/>
    <w:rsid w:val="00D419AC"/>
    <w:rsid w:val="00D5270B"/>
    <w:rsid w:val="00D5422A"/>
    <w:rsid w:val="00D6440C"/>
    <w:rsid w:val="00D74C49"/>
    <w:rsid w:val="00D7A2F4"/>
    <w:rsid w:val="00D8304C"/>
    <w:rsid w:val="00D87DDB"/>
    <w:rsid w:val="00D95CD9"/>
    <w:rsid w:val="00DA7E36"/>
    <w:rsid w:val="00DB5ECA"/>
    <w:rsid w:val="00DC37BE"/>
    <w:rsid w:val="00DD7671"/>
    <w:rsid w:val="00DE4CED"/>
    <w:rsid w:val="00DF2313"/>
    <w:rsid w:val="00DF7375"/>
    <w:rsid w:val="00DF7AC1"/>
    <w:rsid w:val="00E02B44"/>
    <w:rsid w:val="00E02F2C"/>
    <w:rsid w:val="00E0389C"/>
    <w:rsid w:val="00E153C9"/>
    <w:rsid w:val="00E20E24"/>
    <w:rsid w:val="00E260B3"/>
    <w:rsid w:val="00E30394"/>
    <w:rsid w:val="00E3143C"/>
    <w:rsid w:val="00E36C31"/>
    <w:rsid w:val="00E457A3"/>
    <w:rsid w:val="00E51EF5"/>
    <w:rsid w:val="00E54417"/>
    <w:rsid w:val="00E80310"/>
    <w:rsid w:val="00E82302"/>
    <w:rsid w:val="00E9185C"/>
    <w:rsid w:val="00E94623"/>
    <w:rsid w:val="00EC0982"/>
    <w:rsid w:val="00EC410F"/>
    <w:rsid w:val="00EC509B"/>
    <w:rsid w:val="00EC5C7F"/>
    <w:rsid w:val="00ED7E0F"/>
    <w:rsid w:val="00EE0955"/>
    <w:rsid w:val="00EE4ED6"/>
    <w:rsid w:val="00EF3919"/>
    <w:rsid w:val="00EF7862"/>
    <w:rsid w:val="00F00398"/>
    <w:rsid w:val="00F0534A"/>
    <w:rsid w:val="00F06795"/>
    <w:rsid w:val="00F171C6"/>
    <w:rsid w:val="00F43628"/>
    <w:rsid w:val="00F46197"/>
    <w:rsid w:val="00F54449"/>
    <w:rsid w:val="00F556EA"/>
    <w:rsid w:val="00F563CA"/>
    <w:rsid w:val="00F60F33"/>
    <w:rsid w:val="00F612EA"/>
    <w:rsid w:val="00F83AE3"/>
    <w:rsid w:val="00F95EF1"/>
    <w:rsid w:val="00F9751E"/>
    <w:rsid w:val="00F979CE"/>
    <w:rsid w:val="00FA25B6"/>
    <w:rsid w:val="00FA2EE3"/>
    <w:rsid w:val="00FB1B13"/>
    <w:rsid w:val="00FC745E"/>
    <w:rsid w:val="00FD7095"/>
    <w:rsid w:val="00FE5BFD"/>
    <w:rsid w:val="00FF5B1E"/>
    <w:rsid w:val="012FC8F7"/>
    <w:rsid w:val="017C7CBC"/>
    <w:rsid w:val="01BED90C"/>
    <w:rsid w:val="01DCC5A1"/>
    <w:rsid w:val="0215187D"/>
    <w:rsid w:val="021E0302"/>
    <w:rsid w:val="02562F6B"/>
    <w:rsid w:val="0320462C"/>
    <w:rsid w:val="037DFFB9"/>
    <w:rsid w:val="03C87E57"/>
    <w:rsid w:val="03E21E33"/>
    <w:rsid w:val="053BBC6E"/>
    <w:rsid w:val="064DF8D3"/>
    <w:rsid w:val="06A05EFD"/>
    <w:rsid w:val="06E17019"/>
    <w:rsid w:val="06EE7ECD"/>
    <w:rsid w:val="0753F65C"/>
    <w:rsid w:val="0785E21E"/>
    <w:rsid w:val="08362B50"/>
    <w:rsid w:val="083BBDD5"/>
    <w:rsid w:val="0941D9A6"/>
    <w:rsid w:val="09726DC7"/>
    <w:rsid w:val="09E736F9"/>
    <w:rsid w:val="09E7A352"/>
    <w:rsid w:val="0A1486B6"/>
    <w:rsid w:val="0A54AB0F"/>
    <w:rsid w:val="0A7113A1"/>
    <w:rsid w:val="0A76F410"/>
    <w:rsid w:val="0AEA4319"/>
    <w:rsid w:val="0B73D020"/>
    <w:rsid w:val="0BE7324D"/>
    <w:rsid w:val="0BFB93C0"/>
    <w:rsid w:val="0C3A3425"/>
    <w:rsid w:val="0C6FA118"/>
    <w:rsid w:val="0D22B7BB"/>
    <w:rsid w:val="0D392678"/>
    <w:rsid w:val="0DAAEA8D"/>
    <w:rsid w:val="0DAE7029"/>
    <w:rsid w:val="0E6616AF"/>
    <w:rsid w:val="0E7E5860"/>
    <w:rsid w:val="0F33A54E"/>
    <w:rsid w:val="0F8077AC"/>
    <w:rsid w:val="10686391"/>
    <w:rsid w:val="10887AEF"/>
    <w:rsid w:val="10BAA370"/>
    <w:rsid w:val="10DBD013"/>
    <w:rsid w:val="114ADBFD"/>
    <w:rsid w:val="13051BFD"/>
    <w:rsid w:val="13D2B876"/>
    <w:rsid w:val="13F16F2E"/>
    <w:rsid w:val="14484422"/>
    <w:rsid w:val="1455CC40"/>
    <w:rsid w:val="1474883E"/>
    <w:rsid w:val="14A26BD7"/>
    <w:rsid w:val="14D6FB2F"/>
    <w:rsid w:val="1549F55B"/>
    <w:rsid w:val="158813BD"/>
    <w:rsid w:val="15D1BF1C"/>
    <w:rsid w:val="15EEB583"/>
    <w:rsid w:val="1646B308"/>
    <w:rsid w:val="1651C21C"/>
    <w:rsid w:val="1663E20C"/>
    <w:rsid w:val="179033FF"/>
    <w:rsid w:val="183B6019"/>
    <w:rsid w:val="186B29DA"/>
    <w:rsid w:val="193ED513"/>
    <w:rsid w:val="1944B55F"/>
    <w:rsid w:val="1947647D"/>
    <w:rsid w:val="1956248D"/>
    <w:rsid w:val="19B2C588"/>
    <w:rsid w:val="1A820686"/>
    <w:rsid w:val="1B22F798"/>
    <w:rsid w:val="1B8E24E4"/>
    <w:rsid w:val="1BF8FFF9"/>
    <w:rsid w:val="1C05439D"/>
    <w:rsid w:val="1C0609C4"/>
    <w:rsid w:val="1C1F3E8E"/>
    <w:rsid w:val="1D8D47B2"/>
    <w:rsid w:val="1DA2569B"/>
    <w:rsid w:val="1DF2E2B0"/>
    <w:rsid w:val="1DFBED37"/>
    <w:rsid w:val="1E005EE1"/>
    <w:rsid w:val="1E09118A"/>
    <w:rsid w:val="1E6B33FA"/>
    <w:rsid w:val="1EABBC91"/>
    <w:rsid w:val="1EECCC42"/>
    <w:rsid w:val="1EECE0CC"/>
    <w:rsid w:val="1F3C633F"/>
    <w:rsid w:val="1F3CE45F"/>
    <w:rsid w:val="1F56DF50"/>
    <w:rsid w:val="1F6445B2"/>
    <w:rsid w:val="205C01FD"/>
    <w:rsid w:val="2128949E"/>
    <w:rsid w:val="2137FFA3"/>
    <w:rsid w:val="22290BB3"/>
    <w:rsid w:val="224D164A"/>
    <w:rsid w:val="2302BBCD"/>
    <w:rsid w:val="235C5874"/>
    <w:rsid w:val="2385D83C"/>
    <w:rsid w:val="23DE2D01"/>
    <w:rsid w:val="247D6442"/>
    <w:rsid w:val="24F7D4D1"/>
    <w:rsid w:val="25047D8C"/>
    <w:rsid w:val="256DBB29"/>
    <w:rsid w:val="2584B70C"/>
    <w:rsid w:val="25B7FF83"/>
    <w:rsid w:val="261FEA02"/>
    <w:rsid w:val="270EE118"/>
    <w:rsid w:val="27147537"/>
    <w:rsid w:val="2734B47F"/>
    <w:rsid w:val="2747F644"/>
    <w:rsid w:val="2769AEBE"/>
    <w:rsid w:val="276A1B15"/>
    <w:rsid w:val="2805DB56"/>
    <w:rsid w:val="2872BC0A"/>
    <w:rsid w:val="288BCB69"/>
    <w:rsid w:val="28CA1D28"/>
    <w:rsid w:val="28E3C6A5"/>
    <w:rsid w:val="2934635F"/>
    <w:rsid w:val="2A6E024D"/>
    <w:rsid w:val="2A92A501"/>
    <w:rsid w:val="2ADF8E67"/>
    <w:rsid w:val="2C01BDEA"/>
    <w:rsid w:val="2C0F23C3"/>
    <w:rsid w:val="2C1B6767"/>
    <w:rsid w:val="2D139225"/>
    <w:rsid w:val="2D1D2E7F"/>
    <w:rsid w:val="2D6F892D"/>
    <w:rsid w:val="2DC040D1"/>
    <w:rsid w:val="2E9EB717"/>
    <w:rsid w:val="3014A29B"/>
    <w:rsid w:val="307DA374"/>
    <w:rsid w:val="30C0E82F"/>
    <w:rsid w:val="3106B5CA"/>
    <w:rsid w:val="31F401F2"/>
    <w:rsid w:val="32C9F9C8"/>
    <w:rsid w:val="34710ABC"/>
    <w:rsid w:val="350DF89B"/>
    <w:rsid w:val="351192C1"/>
    <w:rsid w:val="354135AB"/>
    <w:rsid w:val="35B173ED"/>
    <w:rsid w:val="35FAA86C"/>
    <w:rsid w:val="363959DD"/>
    <w:rsid w:val="36B6DF34"/>
    <w:rsid w:val="36FC22F5"/>
    <w:rsid w:val="370CEB7E"/>
    <w:rsid w:val="37160401"/>
    <w:rsid w:val="378CAB27"/>
    <w:rsid w:val="38066393"/>
    <w:rsid w:val="3823FD5B"/>
    <w:rsid w:val="38DA691E"/>
    <w:rsid w:val="39A25C84"/>
    <w:rsid w:val="3A184D04"/>
    <w:rsid w:val="3AFA3784"/>
    <w:rsid w:val="3B82598B"/>
    <w:rsid w:val="3B8A704C"/>
    <w:rsid w:val="3BE20716"/>
    <w:rsid w:val="3CAE2FBC"/>
    <w:rsid w:val="3D0B3483"/>
    <w:rsid w:val="3D0C25C7"/>
    <w:rsid w:val="3D24BD7D"/>
    <w:rsid w:val="3D3BC8B2"/>
    <w:rsid w:val="3D6C1D28"/>
    <w:rsid w:val="3DA48511"/>
    <w:rsid w:val="3DB1C1BA"/>
    <w:rsid w:val="3DBDAE59"/>
    <w:rsid w:val="3E330C08"/>
    <w:rsid w:val="3EB2F5A0"/>
    <w:rsid w:val="3F00E887"/>
    <w:rsid w:val="3FB8CA7A"/>
    <w:rsid w:val="3FEB022C"/>
    <w:rsid w:val="4038BDD8"/>
    <w:rsid w:val="403E647A"/>
    <w:rsid w:val="40853F8F"/>
    <w:rsid w:val="40AD403D"/>
    <w:rsid w:val="41355DAF"/>
    <w:rsid w:val="413E201C"/>
    <w:rsid w:val="4152575A"/>
    <w:rsid w:val="418D4AAE"/>
    <w:rsid w:val="41A85843"/>
    <w:rsid w:val="41CE0231"/>
    <w:rsid w:val="41F200B1"/>
    <w:rsid w:val="420D2168"/>
    <w:rsid w:val="429F3331"/>
    <w:rsid w:val="42EB60B9"/>
    <w:rsid w:val="430EA529"/>
    <w:rsid w:val="434D8C71"/>
    <w:rsid w:val="43701974"/>
    <w:rsid w:val="437B674B"/>
    <w:rsid w:val="4486BC0C"/>
    <w:rsid w:val="44C299ED"/>
    <w:rsid w:val="4599D9BD"/>
    <w:rsid w:val="45E9CC09"/>
    <w:rsid w:val="46518BF7"/>
    <w:rsid w:val="46A17354"/>
    <w:rsid w:val="4728979E"/>
    <w:rsid w:val="4735AA1E"/>
    <w:rsid w:val="4752BFDD"/>
    <w:rsid w:val="47D6C720"/>
    <w:rsid w:val="47DC629C"/>
    <w:rsid w:val="47DFF505"/>
    <w:rsid w:val="47E570D9"/>
    <w:rsid w:val="4860BE6B"/>
    <w:rsid w:val="4870C0E5"/>
    <w:rsid w:val="48AECFCF"/>
    <w:rsid w:val="48BD107E"/>
    <w:rsid w:val="48EB9904"/>
    <w:rsid w:val="495B2CCD"/>
    <w:rsid w:val="4965D6B0"/>
    <w:rsid w:val="496835C4"/>
    <w:rsid w:val="49803C42"/>
    <w:rsid w:val="4A06777D"/>
    <w:rsid w:val="4A734CCB"/>
    <w:rsid w:val="4B34580B"/>
    <w:rsid w:val="4B838BE8"/>
    <w:rsid w:val="4B9B4B6F"/>
    <w:rsid w:val="4BF08BF1"/>
    <w:rsid w:val="4BF64D6D"/>
    <w:rsid w:val="4C9DFE1A"/>
    <w:rsid w:val="4D1028B2"/>
    <w:rsid w:val="4D1DF373"/>
    <w:rsid w:val="4D7AAED4"/>
    <w:rsid w:val="4DEE9DAD"/>
    <w:rsid w:val="4E191389"/>
    <w:rsid w:val="4ED2F441"/>
    <w:rsid w:val="4F2F57F5"/>
    <w:rsid w:val="500C51A3"/>
    <w:rsid w:val="50532BBD"/>
    <w:rsid w:val="50559435"/>
    <w:rsid w:val="507600F6"/>
    <w:rsid w:val="50B9E1B4"/>
    <w:rsid w:val="50F6EA8B"/>
    <w:rsid w:val="513958CB"/>
    <w:rsid w:val="52203A59"/>
    <w:rsid w:val="525B869A"/>
    <w:rsid w:val="5277C54D"/>
    <w:rsid w:val="529F1409"/>
    <w:rsid w:val="530DF62B"/>
    <w:rsid w:val="533CC251"/>
    <w:rsid w:val="538D34F7"/>
    <w:rsid w:val="538E6FEA"/>
    <w:rsid w:val="546036CB"/>
    <w:rsid w:val="547ADBA7"/>
    <w:rsid w:val="54DB712D"/>
    <w:rsid w:val="54DE469F"/>
    <w:rsid w:val="552C08BE"/>
    <w:rsid w:val="55666586"/>
    <w:rsid w:val="5595405D"/>
    <w:rsid w:val="5677418E"/>
    <w:rsid w:val="56BBFA0D"/>
    <w:rsid w:val="5712145E"/>
    <w:rsid w:val="572C7D61"/>
    <w:rsid w:val="575C63F8"/>
    <w:rsid w:val="5771755C"/>
    <w:rsid w:val="57C97822"/>
    <w:rsid w:val="58EB4ECD"/>
    <w:rsid w:val="59011D01"/>
    <w:rsid w:val="59093196"/>
    <w:rsid w:val="59D399BE"/>
    <w:rsid w:val="59D5166B"/>
    <w:rsid w:val="5A641E23"/>
    <w:rsid w:val="5A8F3B63"/>
    <w:rsid w:val="5A9B79E0"/>
    <w:rsid w:val="5B159904"/>
    <w:rsid w:val="5BEAAD06"/>
    <w:rsid w:val="5C177D72"/>
    <w:rsid w:val="5CA714F2"/>
    <w:rsid w:val="5D0A783E"/>
    <w:rsid w:val="5DA340B3"/>
    <w:rsid w:val="5E0EF385"/>
    <w:rsid w:val="5E9075BD"/>
    <w:rsid w:val="5F000BF1"/>
    <w:rsid w:val="5FA9A777"/>
    <w:rsid w:val="5FFDDCB8"/>
    <w:rsid w:val="60F739C5"/>
    <w:rsid w:val="6113A606"/>
    <w:rsid w:val="613D7D8C"/>
    <w:rsid w:val="615B6D91"/>
    <w:rsid w:val="61658C43"/>
    <w:rsid w:val="61991CDF"/>
    <w:rsid w:val="61DBB6A4"/>
    <w:rsid w:val="626E67C6"/>
    <w:rsid w:val="626F8CF3"/>
    <w:rsid w:val="640A3827"/>
    <w:rsid w:val="640F93C6"/>
    <w:rsid w:val="6479089B"/>
    <w:rsid w:val="6493A343"/>
    <w:rsid w:val="64E240D6"/>
    <w:rsid w:val="654539B8"/>
    <w:rsid w:val="654FD857"/>
    <w:rsid w:val="6626EA70"/>
    <w:rsid w:val="66875F83"/>
    <w:rsid w:val="66CE5275"/>
    <w:rsid w:val="67492E8C"/>
    <w:rsid w:val="677E36A4"/>
    <w:rsid w:val="678F86AC"/>
    <w:rsid w:val="67B85521"/>
    <w:rsid w:val="682363EB"/>
    <w:rsid w:val="683210A1"/>
    <w:rsid w:val="68D35EDF"/>
    <w:rsid w:val="69187EAD"/>
    <w:rsid w:val="6957B473"/>
    <w:rsid w:val="69BE1296"/>
    <w:rsid w:val="69E84697"/>
    <w:rsid w:val="69F64BF8"/>
    <w:rsid w:val="6A1FFD89"/>
    <w:rsid w:val="6AA27622"/>
    <w:rsid w:val="6AADFF11"/>
    <w:rsid w:val="6BD32563"/>
    <w:rsid w:val="6C18961D"/>
    <w:rsid w:val="6C49CF72"/>
    <w:rsid w:val="6C6B8498"/>
    <w:rsid w:val="6CABB7FC"/>
    <w:rsid w:val="6D58C722"/>
    <w:rsid w:val="6D67F5F0"/>
    <w:rsid w:val="6DB4667E"/>
    <w:rsid w:val="6DB9D035"/>
    <w:rsid w:val="6DFEF0C0"/>
    <w:rsid w:val="6F2E689A"/>
    <w:rsid w:val="6F817034"/>
    <w:rsid w:val="6FB3C145"/>
    <w:rsid w:val="6FDCE55C"/>
    <w:rsid w:val="6FEB1C62"/>
    <w:rsid w:val="70956C55"/>
    <w:rsid w:val="71060E49"/>
    <w:rsid w:val="7151FF31"/>
    <w:rsid w:val="71A4A052"/>
    <w:rsid w:val="71D51625"/>
    <w:rsid w:val="71D87F39"/>
    <w:rsid w:val="726118C8"/>
    <w:rsid w:val="727871E7"/>
    <w:rsid w:val="73091401"/>
    <w:rsid w:val="749C04A7"/>
    <w:rsid w:val="74BFC054"/>
    <w:rsid w:val="74D2287F"/>
    <w:rsid w:val="75005226"/>
    <w:rsid w:val="75A9DEFC"/>
    <w:rsid w:val="75FE49A1"/>
    <w:rsid w:val="76485776"/>
    <w:rsid w:val="76EA49CA"/>
    <w:rsid w:val="76FBA420"/>
    <w:rsid w:val="7872975C"/>
    <w:rsid w:val="78BF7AD6"/>
    <w:rsid w:val="78C56BB5"/>
    <w:rsid w:val="796F75CA"/>
    <w:rsid w:val="79D0DDE8"/>
    <w:rsid w:val="79DD459C"/>
    <w:rsid w:val="7A1C0550"/>
    <w:rsid w:val="7A4E8B65"/>
    <w:rsid w:val="7B7915FD"/>
    <w:rsid w:val="7BAD283A"/>
    <w:rsid w:val="7C052B55"/>
    <w:rsid w:val="7C3AB7C6"/>
    <w:rsid w:val="7C707700"/>
    <w:rsid w:val="7CA3BB3B"/>
    <w:rsid w:val="7DD885E6"/>
    <w:rsid w:val="7DD93C40"/>
    <w:rsid w:val="7E0D745C"/>
    <w:rsid w:val="7EA6CADD"/>
    <w:rsid w:val="7ECBD978"/>
    <w:rsid w:val="7EDED4E4"/>
    <w:rsid w:val="7FE4335A"/>
    <w:rsid w:val="7FF3E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widowControl w:val="0"/>
      <w:autoSpaceDE w:val="0"/>
      <w:autoSpaceDN w:val="0"/>
      <w:adjustRightInd w:val="0"/>
      <w:spacing w:before="120" w:after="120"/>
      <w:jc w:val="right"/>
      <w:outlineLvl w:val="0"/>
    </w:pPr>
    <w:rPr>
      <w:rFonts w:cs="CenturyGothic"/>
      <w:bCs/>
      <w:kern w:val="2"/>
      <w14:ligatures w14:val="standardContextual"/>
    </w:rPr>
  </w:style>
  <w:style w:type="paragraph" w:styleId="3">
    <w:name w:val="heading 2"/>
    <w:basedOn w:val="1"/>
    <w:next w:val="1"/>
    <w:link w:val="28"/>
    <w:unhideWhenUsed/>
    <w:qFormat/>
    <w:uiPriority w:val="9"/>
    <w:pPr>
      <w:keepNext/>
      <w:keepLines/>
      <w:spacing w:after="0"/>
      <w:outlineLvl w:val="1"/>
    </w:pPr>
    <w:rPr>
      <w:rFonts w:ascii="Calibri" w:hAnsi="Calibri" w:eastAsiaTheme="majorEastAsia" w:cstheme="majorBidi"/>
      <w:b/>
      <w:kern w:val="2"/>
      <w:szCs w:val="26"/>
      <w14:ligatures w14:val="standardContextua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uiPriority w:val="99"/>
    <w:rPr>
      <w:sz w:val="16"/>
      <w:szCs w:val="16"/>
    </w:rPr>
  </w:style>
  <w:style w:type="paragraph" w:styleId="7">
    <w:name w:val="annotation text"/>
    <w:basedOn w:val="1"/>
    <w:link w:val="20"/>
    <w:unhideWhenUsed/>
    <w:uiPriority w:val="99"/>
    <w:pPr>
      <w:spacing w:line="240" w:lineRule="auto"/>
    </w:pPr>
    <w:rPr>
      <w:sz w:val="20"/>
      <w:szCs w:val="20"/>
    </w:rPr>
  </w:style>
  <w:style w:type="paragraph" w:styleId="8">
    <w:name w:val="annotation subject"/>
    <w:basedOn w:val="7"/>
    <w:next w:val="7"/>
    <w:link w:val="21"/>
    <w:semiHidden/>
    <w:unhideWhenUsed/>
    <w:uiPriority w:val="99"/>
    <w:rPr>
      <w:b/>
      <w:bCs/>
    </w:rPr>
  </w:style>
  <w:style w:type="character" w:styleId="9">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17"/>
    <w:unhideWhenUsed/>
    <w:uiPriority w:val="99"/>
    <w:pPr>
      <w:tabs>
        <w:tab w:val="center" w:pos="4680"/>
        <w:tab w:val="right" w:pos="9360"/>
      </w:tabs>
      <w:spacing w:after="0" w:line="240" w:lineRule="auto"/>
    </w:pPr>
  </w:style>
  <w:style w:type="paragraph" w:styleId="11">
    <w:name w:val="header"/>
    <w:basedOn w:val="1"/>
    <w:link w:val="16"/>
    <w:unhideWhenUsed/>
    <w:uiPriority w:val="99"/>
    <w:pPr>
      <w:tabs>
        <w:tab w:val="center" w:pos="4680"/>
        <w:tab w:val="right" w:pos="9360"/>
      </w:tabs>
      <w:spacing w:after="0" w:line="240" w:lineRule="auto"/>
    </w:pPr>
  </w:style>
  <w:style w:type="character" w:styleId="12">
    <w:name w:val="Hyperlink"/>
    <w:basedOn w:val="4"/>
    <w:unhideWhenUsed/>
    <w:uiPriority w:val="99"/>
    <w:rPr>
      <w:color w:val="0563C1"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4">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5">
    <w:name w:val="List Paragraph"/>
    <w:basedOn w:val="1"/>
    <w:qFormat/>
    <w:uiPriority w:val="34"/>
    <w:pPr>
      <w:ind w:left="720"/>
      <w:contextualSpacing/>
    </w:pPr>
  </w:style>
  <w:style w:type="character" w:customStyle="1" w:styleId="16">
    <w:name w:val="Header Char"/>
    <w:basedOn w:val="4"/>
    <w:link w:val="11"/>
    <w:uiPriority w:val="99"/>
  </w:style>
  <w:style w:type="character" w:customStyle="1" w:styleId="17">
    <w:name w:val="Footer Char"/>
    <w:basedOn w:val="4"/>
    <w:link w:val="10"/>
    <w:uiPriority w:val="99"/>
  </w:style>
  <w:style w:type="character" w:customStyle="1" w:styleId="18">
    <w:name w:val="Mention"/>
    <w:basedOn w:val="4"/>
    <w:unhideWhenUsed/>
    <w:uiPriority w:val="99"/>
    <w:rPr>
      <w:color w:val="2B579A"/>
      <w:shd w:val="clear" w:color="auto" w:fill="E6E6E6"/>
    </w:rPr>
  </w:style>
  <w:style w:type="table" w:customStyle="1" w:styleId="19">
    <w:name w:val="Grid Table Light"/>
    <w:basedOn w:val="5"/>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0">
    <w:name w:val="Comment Text Char"/>
    <w:basedOn w:val="4"/>
    <w:link w:val="7"/>
    <w:uiPriority w:val="99"/>
    <w:rPr>
      <w:sz w:val="20"/>
      <w:szCs w:val="20"/>
    </w:rPr>
  </w:style>
  <w:style w:type="character" w:customStyle="1" w:styleId="21">
    <w:name w:val="Comment Subject Char"/>
    <w:basedOn w:val="20"/>
    <w:link w:val="8"/>
    <w:semiHidden/>
    <w:uiPriority w:val="99"/>
    <w:rPr>
      <w:b/>
      <w:bCs/>
      <w:sz w:val="20"/>
      <w:szCs w:val="20"/>
    </w:rPr>
  </w:style>
  <w:style w:type="character" w:customStyle="1" w:styleId="22">
    <w:name w:val="Unresolved Mention"/>
    <w:basedOn w:val="4"/>
    <w:unhideWhenUsed/>
    <w:uiPriority w:val="99"/>
    <w:rPr>
      <w:color w:val="605E5C"/>
      <w:shd w:val="clear" w:color="auto" w:fill="E1DFDD"/>
    </w:rPr>
  </w:style>
  <w:style w:type="character" w:customStyle="1" w:styleId="23">
    <w:name w:val="normaltextrun"/>
    <w:basedOn w:val="4"/>
    <w:uiPriority w:val="1"/>
  </w:style>
  <w:style w:type="character" w:customStyle="1" w:styleId="24">
    <w:name w:val="eop"/>
    <w:basedOn w:val="4"/>
    <w:uiPriority w:val="1"/>
  </w:style>
  <w:style w:type="character" w:customStyle="1" w:styleId="25">
    <w:name w:val="ui-provider"/>
    <w:basedOn w:val="4"/>
    <w:uiPriority w:val="0"/>
  </w:style>
  <w:style w:type="paragraph" w:customStyle="1" w:styleId="26">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27">
    <w:name w:val="Heading 1 Char"/>
    <w:basedOn w:val="4"/>
    <w:link w:val="2"/>
    <w:uiPriority w:val="9"/>
    <w:rPr>
      <w:rFonts w:cs="CenturyGothic"/>
      <w:bCs/>
      <w:kern w:val="2"/>
      <w14:ligatures w14:val="standardContextual"/>
    </w:rPr>
  </w:style>
  <w:style w:type="character" w:customStyle="1" w:styleId="28">
    <w:name w:val="Heading 2 Char"/>
    <w:basedOn w:val="4"/>
    <w:link w:val="3"/>
    <w:uiPriority w:val="9"/>
    <w:rPr>
      <w:rFonts w:ascii="Calibri" w:hAnsi="Calibri" w:eastAsiaTheme="majorEastAsia" w:cstheme="majorBidi"/>
      <w:b/>
      <w:kern w:val="2"/>
      <w:szCs w:val="26"/>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CFFB4C58C5424F9A16E74B903C3E35" ma:contentTypeVersion="5" ma:contentTypeDescription="Create a new document." ma:contentTypeScope="" ma:versionID="de55947c68120b85b29721cc9ba343bb">
  <xsd:schema xmlns:xsd="http://www.w3.org/2001/XMLSchema" xmlns:xs="http://www.w3.org/2001/XMLSchema" xmlns:p="http://schemas.microsoft.com/office/2006/metadata/properties" xmlns:ns2="34a1faa6-e962-4e08-9bc3-28eb127dd202" xmlns:ns3="c2e86e14-a0d2-49bd-9d1e-577979dba2b3" targetNamespace="http://schemas.microsoft.com/office/2006/metadata/properties" ma:root="true" ma:fieldsID="fceabb1aab154c1e75ea23f1f0a41959" ns2:_="" ns3:_="">
    <xsd:import namespace="34a1faa6-e962-4e08-9bc3-28eb127dd202"/>
    <xsd:import namespace="c2e86e14-a0d2-49bd-9d1e-577979dba2b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a1faa6-e962-4e08-9bc3-28eb127dd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e86e14-a0d2-49bd-9d1e-577979dba2b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CC055-D5C8-4D04-A92D-41C6D32847FA}">
  <ds:schemaRefs/>
</ds:datastoreItem>
</file>

<file path=customXml/itemProps2.xml><?xml version="1.0" encoding="utf-8"?>
<ds:datastoreItem xmlns:ds="http://schemas.openxmlformats.org/officeDocument/2006/customXml" ds:itemID="{AEC8743F-C671-456D-9684-F75E2E3380BC}">
  <ds:schemaRefs/>
</ds:datastoreItem>
</file>

<file path=customXml/itemProps3.xml><?xml version="1.0" encoding="utf-8"?>
<ds:datastoreItem xmlns:ds="http://schemas.openxmlformats.org/officeDocument/2006/customXml" ds:itemID="{4384A403-59DE-49B0-BE7E-9EE649721895}">
  <ds:schemaRefs/>
</ds:datastoreItem>
</file>

<file path=customXml/itemProps4.xml><?xml version="1.0" encoding="utf-8"?>
<ds:datastoreItem xmlns:ds="http://schemas.openxmlformats.org/officeDocument/2006/customXml" ds:itemID="{4C6EA6A8-820E-4A33-89EA-B2EE4C3FCB05}">
  <ds:schemaRefs/>
</ds:datastoreItem>
</file>

<file path=docProps/app.xml><?xml version="1.0" encoding="utf-8"?>
<Properties xmlns="http://schemas.openxmlformats.org/officeDocument/2006/extended-properties" xmlns:vt="http://schemas.openxmlformats.org/officeDocument/2006/docPropsVTypes">
  <Template>Normal.dotm</Template>
  <Pages>8</Pages>
  <Words>2672</Words>
  <Characters>15236</Characters>
  <Lines>126</Lines>
  <Paragraphs>35</Paragraphs>
  <TotalTime>184</TotalTime>
  <ScaleCrop>false</ScaleCrop>
  <LinksUpToDate>false</LinksUpToDate>
  <CharactersWithSpaces>17873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2023-09-23T11:13:00Z</dcterms:created>
  <dc:creator>Melanie Gianferante</dc:creator>
  <cp:lastModifiedBy>google1596494966</cp:lastModifiedBy>
  <dcterms:modified xsi:type="dcterms:W3CDTF">2023-10-25T13:41:51Z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0x010100A4CFFB4C58C5424F9A16E74B903C3E35</vt:lpwstr>
  </property>
  <property fmtid="{D5CDD505-2E9C-101B-9397-08002B2CF9AE}" pid="3" name="KSOProductBuildVer">
    <vt:lpwstr>1033-12.2.0.13266</vt:lpwstr>
  </property>
  <property fmtid="{D5CDD505-2E9C-101B-9397-08002B2CF9AE}" pid="4" name="ICV">
    <vt:lpwstr>FCCC5964F6C54DB4AE2053D6F21DE08E_12</vt:lpwstr>
  </property>
</Properties>
</file>