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OUTCOMES AND EVIDENCE</w:t>
      </w:r>
    </w:p>
    <w:p>
      <w:pPr>
        <w:pStyle w:val="Title"/>
      </w:pPr>
      <w:r>
        <w:t>Memory V1 and V2</w:t>
      </w:r>
    </w:p>
    <w:p>
      <w:pPr>
        <w:pStyle w:val="Subtitle"/>
      </w:pPr>
      <w:r>
        <w:t>What changes for the user</w:t>
      </w:r>
    </w:p>
    <w:p>
      <w:r>
        <w:t>Private Memory V2 gives a Crew Member its own working memory for chat, Crew assignments and scheduled Agent work. New members start with unique empty V2 memory when the setup supports it. Existing members keep their current Global or named V1 memory until the owner chooses and confirms private memory. This also applies to the member selected as the default agent.</w:t>
      </w:r>
    </w:p>
    <w:p>
      <w:pPr>
        <w:spacing w:after="100"/>
      </w:pPr>
      <w:r>
        <w:rPr>
          <w:color w:val="7C3AED"/>
          <w:sz w:val="18"/>
        </w:rPr>
        <w:t xml:space="preserve">Implementation candidate f3f901e1. Historical retrieval and scoped UI evidence are separate. Current checks and reviews remain incomplete; this is not release approval.</w:t>
      </w:r>
    </w:p>
    <w:p>
      <w:pPr>
        <w:pStyle w:val="Heading2"/>
      </w:pPr>
      <w:r>
        <w:t>Memory that belongs to a member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931"/>
        <w:gridCol w:w="4421"/>
      </w:tblGrid>
      <w:tr>
        <w:trPr>
          <w:tblHeader/>
          <w:cantSplit/>
        </w:trPr>
        <w:tc>
          <w:tcPr>
            <w:tcW w:type="dxa" w:w="1800"/>
            <w:vAlign w:val="center"/>
            <w:tcMar>
              <w:top w:w="95" w:type="dxa"/>
              <w:left w:w="115" w:type="dxa"/>
              <w:bottom w:w="95" w:type="dxa"/>
              <w:right w:w="115" w:type="dxa"/>
            </w:tcMar>
            <w:shd w:fill="211D25"/>
          </w:tcPr>
          <w:p>
            <w:pPr>
              <w:spacing w:after="0" w:line="252" w:lineRule="auto"/>
            </w:pPr>
            <w:r>
              <w:rPr>
                <w:rFonts w:ascii="Segoe UI" w:hAnsi="Segoe UI"/>
                <w:b/>
                <w:color w:val="FFFFFF"/>
                <w:sz w:val="20"/>
              </w:rPr>
              <w:t>User need</w:t>
            </w:r>
          </w:p>
        </w:tc>
        <w:tc>
          <w:tcPr>
            <w:tcW w:type="dxa" w:w="3931"/>
            <w:vAlign w:val="center"/>
            <w:tcMar>
              <w:top w:w="95" w:type="dxa"/>
              <w:left w:w="115" w:type="dxa"/>
              <w:bottom w:w="95" w:type="dxa"/>
              <w:right w:w="115" w:type="dxa"/>
            </w:tcMar>
            <w:shd w:fill="211D25"/>
          </w:tcPr>
          <w:p>
            <w:pPr>
              <w:spacing w:after="0" w:line="252" w:lineRule="auto"/>
            </w:pPr>
            <w:r>
              <w:rPr>
                <w:rFonts w:ascii="Segoe UI" w:hAnsi="Segoe UI"/>
                <w:b/>
                <w:color w:val="FFFFFF"/>
                <w:sz w:val="20"/>
              </w:rPr>
              <w:t>Memory V1</w:t>
            </w:r>
          </w:p>
        </w:tc>
        <w:tc>
          <w:tcPr>
            <w:tcW w:type="dxa" w:w="4421"/>
            <w:vAlign w:val="center"/>
            <w:tcMar>
              <w:top w:w="95" w:type="dxa"/>
              <w:left w:w="115" w:type="dxa"/>
              <w:bottom w:w="95" w:type="dxa"/>
              <w:right w:w="115" w:type="dxa"/>
            </w:tcMar>
            <w:shd w:fill="211D25"/>
          </w:tcPr>
          <w:p>
            <w:pPr>
              <w:spacing w:after="0" w:line="252" w:lineRule="auto"/>
            </w:pPr>
            <w:r>
              <w:rPr>
                <w:rFonts w:ascii="Segoe UI" w:hAnsi="Segoe UI"/>
                <w:b/>
                <w:color w:val="FFFFFF"/>
                <w:sz w:val="20"/>
              </w:rPr>
              <w:t>Private Memory V2</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Keep work in context</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Global and named stores continue to support existing work and V1 members.</w:t>
            </w:r>
          </w:p>
        </w:tc>
        <w:tc>
          <w:tcPr>
            <w:tcW w:type="dxa" w:w="4421"/>
            <w:vAlign w:val="center"/>
            <w:tcMar>
              <w:top w:w="95" w:type="dxa"/>
              <w:left w:w="115" w:type="dxa"/>
              <w:bottom w:w="95" w:type="dxa"/>
              <w:right w:w="115" w:type="dxa"/>
            </w:tcMar>
            <w:shd w:fill="FFFFFF"/>
          </w:tcPr>
          <w:p>
            <w:pPr>
              <w:spacing w:after="0" w:line="252" w:lineRule="auto"/>
            </w:pPr>
            <w:r>
              <w:drawing>
                <wp:inline xmlns:a="http://schemas.openxmlformats.org/drawingml/2006/main" xmlns:pic="http://schemas.openxmlformats.org/drawingml/2006/picture">
                  <wp:extent cx="210312" cy="210312"/>
                  <wp:docPr id="1" name="Picture 1" descr="Research Crew member with glasses"/>
                  <wp:cNvGraphicFramePr>
                    <a:graphicFrameLocks noChangeAspect="1"/>
                  </wp:cNvGraphicFramePr>
                  <a:graphic>
                    <a:graphicData uri="http://schemas.openxmlformats.org/drawingml/2006/picture">
                      <pic:pic>
                        <pic:nvPicPr>
                          <pic:cNvPr id="0" name="member-research.png"/>
                          <pic:cNvPicPr/>
                        </pic:nvPicPr>
                        <pic:blipFill>
                          <a:blip r:embed="rId11"/>
                          <a:stretch>
                            <a:fillRect/>
                          </a:stretch>
                        </pic:blipFill>
                        <pic:spPr>
                          <a:xfrm>
                            <a:off x="0" y="0"/>
                            <a:ext cx="210312" cy="210312"/>
                          </a:xfrm>
                          <a:prstGeom prst="rect"/>
                        </pic:spPr>
                      </pic:pic>
                    </a:graphicData>
                  </a:graphic>
                </wp:inline>
              </w:drawing>
            </w:r>
            <w:r>
              <w:t xml:space="preserve">  </w:t>
            </w:r>
            <w:r>
              <w:drawing>
                <wp:inline xmlns:a="http://schemas.openxmlformats.org/drawingml/2006/main" xmlns:pic="http://schemas.openxmlformats.org/drawingml/2006/picture">
                  <wp:extent cx="210312" cy="210312"/>
                  <wp:docPr id="2" name="Picture 2" descr="Delivery Crew member with a hard hat"/>
                  <wp:cNvGraphicFramePr>
                    <a:graphicFrameLocks noChangeAspect="1"/>
                  </wp:cNvGraphicFramePr>
                  <a:graphic>
                    <a:graphicData uri="http://schemas.openxmlformats.org/drawingml/2006/picture">
                      <pic:pic>
                        <pic:nvPicPr>
                          <pic:cNvPr id="0" name="member-build.png"/>
                          <pic:cNvPicPr/>
                        </pic:nvPicPr>
                        <pic:blipFill>
                          <a:blip r:embed="rId12"/>
                          <a:stretch>
                            <a:fillRect/>
                          </a:stretch>
                        </pic:blipFill>
                        <pic:spPr>
                          <a:xfrm>
                            <a:off x="0" y="0"/>
                            <a:ext cx="210312" cy="210312"/>
                          </a:xfrm>
                          <a:prstGeom prst="rect"/>
                        </pic:spPr>
                      </pic:pic>
                    </a:graphicData>
                  </a:graphic>
                </wp:inline>
              </w:drawing>
            </w:r>
            <w:r>
              <w:t xml:space="preserve">  </w:t>
            </w:r>
            <w:r>
              <w:drawing>
                <wp:inline xmlns:a="http://schemas.openxmlformats.org/drawingml/2006/main" xmlns:pic="http://schemas.openxmlformats.org/drawingml/2006/picture">
                  <wp:extent cx="210312" cy="210312"/>
                  <wp:docPr id="3" name="Picture 3" descr="Communications Crew member with headphones"/>
                  <wp:cNvGraphicFramePr>
                    <a:graphicFrameLocks noChangeAspect="1"/>
                  </wp:cNvGraphicFramePr>
                  <a:graphic>
                    <a:graphicData uri="http://schemas.openxmlformats.org/drawingml/2006/picture">
                      <pic:pic>
                        <pic:nvPicPr>
                          <pic:cNvPr id="0" name="member-write.png"/>
                          <pic:cNvPicPr/>
                        </pic:nvPicPr>
                        <pic:blipFill>
                          <a:blip r:embed="rId13"/>
                          <a:stretch>
                            <a:fillRect/>
                          </a:stretch>
                        </pic:blipFill>
                        <pic:spPr>
                          <a:xfrm>
                            <a:off x="0" y="0"/>
                            <a:ext cx="210312" cy="210312"/>
                          </a:xfrm>
                          <a:prstGeom prst="rect"/>
                        </pic:spPr>
                      </pic:pic>
                    </a:graphicData>
                  </a:graphic>
                </wp:inline>
              </w:drawing>
            </w:r>
            <w:r>
              <w:t xml:space="preserve">  </w:t>
            </w:r>
            <w:r>
              <w:br/>
            </w:r>
            <w:r>
              <w:rPr>
                <w:rFonts w:ascii="Segoe UI" w:hAnsi="Segoe UI"/>
                <w:b w:val="0"/>
                <w:color w:val="000000"/>
                <w:sz w:val="20"/>
              </w:rPr>
              <w:t>Each member owns separate memory, identified by its native Crew avatar.</w:t>
            </w:r>
          </w:p>
        </w:tc>
      </w:tr>
      <w:tr>
        <w:trPr>
          <w:cantSplit/>
        </w:trPr>
        <w:tc>
          <w:tcPr>
            <w:tcW w:type="dxa" w:w="1800"/>
            <w:vAlign w:val="center"/>
            <w:tcMar>
              <w:top w:w="95" w:type="dxa"/>
              <w:left w:w="115" w:type="dxa"/>
              <w:bottom w:w="95" w:type="dxa"/>
              <w:right w:w="115" w:type="dxa"/>
            </w:tcMar>
            <w:shd w:fill="F5F4F7"/>
          </w:tcPr>
          <w:p>
            <w:pPr>
              <w:spacing w:after="0" w:line="252" w:lineRule="auto"/>
            </w:pPr>
            <w:r>
              <w:rPr>
                <w:rFonts w:ascii="Segoe UI" w:hAnsi="Segoe UI"/>
                <w:b/>
                <w:color w:val="000000"/>
                <w:sz w:val="20"/>
              </w:rPr>
              <w:t>Bring guidance forward</w:t>
            </w:r>
          </w:p>
        </w:tc>
        <w:tc>
          <w:tcPr>
            <w:tcW w:type="dxa" w:w="393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Existing session-start guidance and automatic learning continue.</w:t>
            </w:r>
          </w:p>
        </w:tc>
        <w:tc>
          <w:tcPr>
            <w:tcW w:type="dxa" w:w="442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Essential guidance returns every turn. Relevant facts and lessons are recalled when requested.</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Return to older work</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Existing age and record-capacity rules continue.</w:t>
            </w:r>
          </w:p>
        </w:tc>
        <w:tc>
          <w:tcPr>
            <w:tcW w:type="dxa" w:w="442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No age decay or automatic removal for age, capacity or revision count. Fact validity and explicit forgetting still apply.</w:t>
            </w:r>
          </w:p>
        </w:tc>
      </w:tr>
      <w:tr>
        <w:trPr>
          <w:cantSplit/>
        </w:trPr>
        <w:tc>
          <w:tcPr>
            <w:tcW w:type="dxa" w:w="1800"/>
            <w:vAlign w:val="center"/>
            <w:tcMar>
              <w:top w:w="95" w:type="dxa"/>
              <w:left w:w="115" w:type="dxa"/>
              <w:bottom w:w="95" w:type="dxa"/>
              <w:right w:w="115" w:type="dxa"/>
            </w:tcMar>
            <w:shd w:fill="F5F4F7"/>
          </w:tcPr>
          <w:p>
            <w:pPr>
              <w:spacing w:after="0" w:line="252" w:lineRule="auto"/>
            </w:pPr>
            <w:r>
              <w:rPr>
                <w:rFonts w:ascii="Segoe UI" w:hAnsi="Segoe UI"/>
                <w:b/>
                <w:color w:val="000000"/>
                <w:sz w:val="20"/>
              </w:rPr>
              <w:t>Correct what was learned</w:t>
            </w:r>
          </w:p>
        </w:tc>
        <w:tc>
          <w:tcPr>
            <w:tcW w:type="dxa" w:w="393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Existing conflict rules continue. History keeps the latest 20 accepted revisions of each record; proposals remain.</w:t>
            </w:r>
          </w:p>
        </w:tc>
        <w:tc>
          <w:tcPr>
            <w:tcW w:type="dxa" w:w="442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Uncertain automatic corrections become proposals. The owner previews edits and forgetting.</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Reuse useful knowledge</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Knowledge remains in its current store.</w:t>
            </w:r>
          </w:p>
        </w:tc>
        <w:tc>
          <w:tcPr>
            <w:tcW w:type="dxa" w:w="442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Copy memories brings selected records into a member store and keeps their source information.</w:t>
            </w:r>
          </w:p>
        </w:tc>
      </w:tr>
    </w:tbl>
    <w:p>
      <w:pPr>
        <w:spacing w:line="20" w:lineRule="exact" w:after="180"/>
      </w:pPr>
    </w:p>
    <w:p>
      <w:r>
        <w:t xml:space="preserve">The owner chooses starting knowledge and controls later corrections. V2 does not automatically move V1 data or combine members into one memory. Automatic learning remains distinguishable from an explicit owner instruction in both versions.</w:t>
      </w:r>
    </w:p>
    <w:p>
      <w:pPr>
        <w:spacing w:after="100"/>
      </w:pPr>
      <w:r>
        <w:rPr>
          <w:color w:val="5E5966"/>
          <w:sz w:val="18"/>
        </w:rPr>
        <w:t>V1 keeps current records while trimming older accepted revision history. Export older history you need before upgrading. V2 does not automatically trim that history. Neither policy guarantees a maximum total storage size.</w:t>
      </w:r>
    </w:p>
    <w:p>
      <w:pPr>
        <w:keepNext/>
        <w:pageBreakBefore/>
        <w:spacing w:after="80"/>
      </w:pPr>
      <w:r>
        <w:rPr>
          <w:b/>
          <w:color w:val="7C3AED"/>
          <w:sz w:val="18"/>
        </w:rPr>
        <w:t>02   /   MEMORY V2</w:t>
      </w:r>
    </w:p>
    <w:p>
      <w:pPr>
        <w:pStyle w:val="Heading1"/>
        <w:spacing w:before="0"/>
      </w:pPr>
      <w:r>
        <w:t>From setup to everyday use</w:t>
      </w:r>
    </w:p>
    <w:p>
      <w:r>
        <w:rPr>
          <w:b/>
        </w:rPr>
        <w:t xml:space="preserve">1  Choose when to start. </w:t>
      </w:r>
      <w:r>
        <w:t>Existing V1 members can keep working. To opt in, open Crew Manager, choose the member, then Workspace, Memory and Create private memory. Finish or stop the member’s work and child tasks first. The confirmation explains that memory starts empty, the next chat is fresh and the member cannot switch back to V1. Old data and conversations remain.</w:t>
      </w:r>
    </w:p>
    <w:p>
      <w:r>
        <w:rPr>
          <w:b/>
        </w:rPr>
        <w:t xml:space="preserve">2  Choose starting knowledge. </w:t>
      </w:r>
      <w:r>
        <w:t>Start empty or use Copy memories for up to 50 selected records from Global, a named store or another member. Source records and existing destination records stay in place.</w:t>
      </w:r>
    </w:p>
    <w:p>
      <w:r>
        <w:rPr>
          <w:b/>
        </w:rPr>
        <w:t xml:space="preserve">3  Work with one member or a Crew. </w:t>
      </w:r>
      <w:r>
        <w:t>With Crew Mode off, chat directly with a member. With Crew Mode on, the coordinator assigns work and combines findings. Existing conversations and schedules keep their recorded memory identity; opting in does not convert them.</w:t>
      </w:r>
    </w:p>
    <w:p>
      <w:r>
        <w:rPr>
          <w:b/>
        </w:rPr>
        <w:t xml:space="preserve">4  Review and correct. </w:t>
      </w:r>
      <w:r>
        <w:t>In Memories, inspect Facts, Lessons and Experiences and their sources. Edit selected records, then review every preview page and pending proposal before Apply. Profile holds essential guidance. Forgetting removes a record from recall; it has no direct Undo.</w:t>
      </w:r>
    </w:p>
    <w:p>
      <w:r>
        <w:rPr>
          <w:b/>
        </w:rPr>
        <w:t xml:space="preserve">5  Keep a recovery path. </w:t>
      </w:r>
      <w:r>
        <w:t>Active V2 members have automatic backups. V1 backups are manual. Whole-memory restore takes effect after restart. Deleting a member keeps its old data; recreating the name starts fresh. Archived memory has no direct reattachment option.</w:t>
      </w:r>
    </w:p>
    <w:p>
      <w:pPr>
        <w:pStyle w:val="Heading2"/>
      </w:pPr>
      <w:r>
        <w:t>Start with a supported pilot</w:t>
      </w:r>
    </w:p>
    <w:p>
      <w:r>
        <w:t xml:space="preserve">Private execution requires Linux or WSL, or supported macOS isolation. Native Windows and public Codex ACP are unsupported; macOS Kiro requires internal delegation off. Unavailable memory pauses affected work. The gateway owner can run kirocrew doctor to inspect setup problems.</w:t>
      </w:r>
    </w:p>
    <w:p>
      <w:r>
        <w:t xml:space="preserve">During a setup or storage incident, pause new private memories and V1 opt-ins. Existing work keeps its normal checks; admitted work is not cancelled. Assign an owner for backups, disk use and recovery. Reverting the single feature commit also removes shared V1 repairs and needs a separate recovery plan.</w:t>
      </w:r>
    </w:p>
    <w:p>
      <w:pPr>
        <w:spacing w:after="100"/>
      </w:pPr>
      <w:r>
        <w:rPr>
          <w:color w:val="5E5966"/>
          <w:sz w:val="18"/>
        </w:rPr>
        <w:t xml:space="preserve">Historical 44546 retrieval found relevant records for 49 of 50 authored English topics. The same corpus informed calibration; there was no held-out set or V1/V2 A/B. Newer b38 UI receipts show 10 memory scenarios passing without retry. Neither establishes better answers, teamwork or lower cost. Sources and limits: source-evidence-manifest.json.</w:t>
      </w:r>
    </w:p>
    <w:sectPr w:rsidR="00FC693F" w:rsidRPr="0006063C" w:rsidSect="00034616">
      <w:headerReference w:type="default" r:id="rId9"/>
      <w:footerReference w:type="default" r:id="rId10"/>
      <w:pgSz w:w="12240" w:h="15840"/>
      <w:pgMar w:top="1152"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V1 and V2 comparison   /   Candidate f3f901e1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CANDIDATE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Segoe UI" w:hAnsi="Segoe UI" w:eastAsia="Segoe UI"/>
      <w:b w:val="0"/>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v1 v2 comparison candidate f3f901e1</dc:title>
  <dc:subject>Kiro Crew Memory V2 candidate f3f901e143490e07acad12fec9fd391d08711a01; historical retrieval and scoped b38 UI evidence; current checks incomplete; not release approval</dc:subject>
  <dc:creator>Independent implementation review</dc:creator>
  <cp:keywords>Memory V1, Memory V2, executive review</cp:keywords>
  <dc:description>English Kiro Crew report revised against implementation candidate f3f901e143490e07acad12fec9fd391d08711a01. Not release approval.</dc:description>
  <cp:lastModifiedBy/>
  <cp:revision>1</cp:revision>
  <dcterms:created xsi:type="dcterms:W3CDTF">2013-12-23T23:15:00Z</dcterms:created>
  <dcterms:modified xsi:type="dcterms:W3CDTF">2013-12-23T23:15:00Z</dcterms:modified>
  <cp:category/>
</cp:coreProperties>
</file>