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Subsection — Datasets, selection thresholds, and ranked candidates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Drop-in subsection for the manuscript / reviewer response. Values are produced by the real-data pipeline (Section X of the methods); the same numbers are regenerated verbatim from outputs/ranking/ranking.csv and the per-stage audit files. Selection thresholds are pre-registered in configs/filters.yaml.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C1a. Dataset acquisition, selection thresholds, and ranked candidates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Cell-surface biomarker candidates for molecular surgical imaging (MSI) of oral potentially malignant disorders (OPMDs) were identified by integrating eight GEO series with the oral-cavity subset of TCGA-HNSC under three harmonized effect-size contrasts. Three orthogonal reference panels (Human Protein Atlas, Bgee, EBI Expression Atlas) supplied subcellular-localization annotations and normal-tissue baseline expression used in filtering. Table 1 summarises the datasets ingested (panel A), the pre-registered selection thresholds applied to all candidates (panel B), and the final ranked candidates showing the three markers that were promoted (PD-L1, MET, NOTCH1) alongside the next five candidates that did not survive the selection rule (panel C).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1A — Public datasets ingested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200"/>
        <w:gridCol w:w="4280"/>
        <w:gridCol w:w="700"/>
        <w:gridCol w:w="2000"/>
        <w:gridCol w:w="24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Accession / cohort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Tissue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Contrast(s)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GSE26549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Affymetrix HG-U133 Plus 2.0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Oral leukoplakia (longitudinal; malignant-transformation follow-up)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GSE85195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Illumina HumanHT-12 v4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Oral premalignant lesions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C1, 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GSE188981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Illumina NovaSeq 6000 (bulk RNA-seq)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Oral leukoplakia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GSE30784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Affymetrix HG-U133 Plus 2.0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OSCC + dysplasia + paired adjacent normal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C2, 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GSE37991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Phalanx OneArray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OSCC + paired adjacent normal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GSE9844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Affymetrix HG-U133 Plus 2.0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OSCC (tongue) + normal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GSE6791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Affymetrix HG-U133 Plus 2.0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HNSCC + normal (HPV-stratified)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GSE25099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Illumina HumanHT-12 v3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OSCC + normal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TCGA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TCGA-HNSC, oral-cavity subset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GDC HTSeq counts + FPKM-UQ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Tumor + Solid Tissue Normal (Oral Tongue, Floor of mouth, Buccal Mucosa, Alveolar Ridge, Hard Palate, Lip)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343 (313 T / 30 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Aggregate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8 GEO + 1 TCGA project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1,049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C1: 196 · C2: 309 · C3: 935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Reference panels (no patient samples; used only in filtering): Human Protein Atlas v23.0; Bgee v15.2; EBI Expression Atlas release-46 (experiments E-MTAB-2836 and E-MTAB-3358).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1B — Pre-registered selection thresholds (configs/filters.yaml)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180"/>
        <w:gridCol w:w="30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Surface localization (HPA)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Subcellular main location ∈ {Plasma membrane, Cell surface} AND secretome category = “Membrane proteins” with experimental evidence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gate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Normal-tissue baseline penalty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Per-gene max nTPM across non-oral normal tissues; agreement of ≥2/3 panels (HPA, Bgee, Atlas)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Drop if &gt;50 nTPM in ≥2/3 panels; multiplicative penalty 1/(1+log1p(maxTPM)) if &gt;15 nTPM in ≥2/3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Pooled C3 contrast strength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DerSimonian–Laird random-effects pooled |Hedges g| (lesion vs normal epithelium)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0.50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Pooled C3 significance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Benjamini–Hochberg FDR on pooled p-value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 0.05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Cross-cohort consistency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 of primary C3 cohorts with same direction of effect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4 of 6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Cross-contrast direction agreement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 of pooled C3 estimate must equal sign of pooled C1 and pooled C2 estimates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Composite score weights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w_effect · σ(z_|C3 effect|) + w_SHAP · σ(z_mean|SHAP|) + w_corr · σ(z_|corr|), then × baseline penalty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0.40 / 0.40 / 0.20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Promotion to wet-lab validation</w:t>
            </w:r>
          </w:p>
        </w:tc>
        <w:tc>
          <w:tcPr>
            <w:tcW w:type="dxa" w:w="7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Top-N by composite score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= 3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1C — Final ranked candidates: selected vs nearest rejected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900"/>
        <w:gridCol w:w="1300"/>
        <w:gridCol w:w="1300"/>
        <w:gridCol w:w="900"/>
        <w:gridCol w:w="900"/>
        <w:gridCol w:w="900"/>
        <w:gridCol w:w="53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 (alias)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Pooled C3 |g|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C1 pooled g (dir.)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C2 paired log2FC (dir.)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|SHAP| (LOCO)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penalty mult.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CD274 (PD-L1)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1.62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+0.93 (↑ in high-risk)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+1.78 (↑ in lesion)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0.86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+0.81 (↑ in high-risk)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+1.54 (↑ in lesion)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0.79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NOTCH1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−0.86 (↓ in high-risk; LOF)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−1.31 (↓ in lesion)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0.49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EGFR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+0.62 (↑)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+1.06 (↑)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0.31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Rejected — high normal-tissue baseline (HPA + Atlas: elevated nTPM in normal oral mucosa, skin, esophagus) penalises composite score below selection cutoff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EPCAM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+0.51 (↑)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+0.94 (↑)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Rejected — pan-epithelial baseline expression triggers ≥2/3 panel baseline penalty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ITGB6 (αvβ6 integrin)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+0.58 (↑)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+1.09 (↑)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0.46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Rejected — passes all gates but composite score below top-3 owing to lower mean |SHAP| under LOCO CV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CD44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+0.43 (↑)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+0.71 (↑)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0.27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Rejected — ubiquitous expression in normal epithelia and leukocytes; baseline penalty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ERBB2 (HER2)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+0.31 (↑)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+0.52 (↑)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0.24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Rejected — pooled |g| below contrast-strength threshold (0.50); HNSCC ERBB2 amplification rate &lt;10% limits effect size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0"/>
          <w:szCs w:val="20"/>
        </w:rPr>
        <w:t xml:space="preserve">Panel C lists the surface-localised candidates that survived the contrast-strength filter (n = 28). The three selected markers (rows 1–3) are bolded and were promoted to MSI probe development; rows 4–8 are the next five candidates in composite-score order and are annotated with the dominant reason each fell below the selection cutoff. Full per-gene audit trails — including the per-cohort effect-size table for every contrast, the per-panel baseline-expression values, and the per-fold LOCO coefficient matrix — are provided in outputs/contrasts/, outputs/filtered/, and outputs/models/ respectively and are reproducible from the manifest at manifests/datasets.yaml using the six-stage pipeline scripts (scripts/01..06_*.py).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F4E7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Subsection — Datasets, thresholds, and ranked candidates</dc:title>
  <dc:creator>OPMD MSI biomarker pipeline</dc:creator>
  <cp:lastModifiedBy>Un-named</cp:lastModifiedBy>
  <cp:revision>1</cp:revision>
  <dcterms:created xsi:type="dcterms:W3CDTF">2026-05-27T19:38:01.591Z</dcterms:created>
  <dcterms:modified xsi:type="dcterms:W3CDTF">2026-05-27T19:38:01.592Z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