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CA53" w14:textId="13D9B088" w:rsidR="0082161C" w:rsidRPr="004C7085" w:rsidRDefault="0082161C" w:rsidP="004C7085">
      <w:pPr>
        <w:jc w:val="both"/>
        <w:rPr>
          <w:rFonts w:ascii="Times New Roman" w:hAnsi="Times New Roman" w:cs="Times New Roman"/>
          <w:b/>
          <w:bCs/>
          <w:sz w:val="32"/>
          <w:szCs w:val="32"/>
          <w:u w:val="single"/>
        </w:rPr>
      </w:pPr>
      <w:r w:rsidRPr="004C7085">
        <w:rPr>
          <w:rFonts w:ascii="Times New Roman" w:hAnsi="Times New Roman" w:cs="Times New Roman"/>
          <w:b/>
          <w:bCs/>
          <w:sz w:val="32"/>
          <w:szCs w:val="32"/>
          <w:u w:val="single"/>
        </w:rPr>
        <w:t>Auditoría de Arquitectura y Usabilidad SIGER</w:t>
      </w:r>
    </w:p>
    <w:p w14:paraId="37D5DD2B" w14:textId="2930B16F" w:rsidR="0082161C" w:rsidRPr="004C7085" w:rsidRDefault="004C7085" w:rsidP="004C7085">
      <w:pPr>
        <w:jc w:val="both"/>
        <w:rPr>
          <w:rFonts w:ascii="Times New Roman" w:hAnsi="Times New Roman" w:cs="Times New Roman"/>
          <w:i/>
          <w:iCs/>
          <w:sz w:val="28"/>
          <w:szCs w:val="28"/>
        </w:rPr>
      </w:pPr>
      <w:r w:rsidRPr="004C7085">
        <w:rPr>
          <w:rFonts w:ascii="Times New Roman" w:hAnsi="Times New Roman" w:cs="Times New Roman"/>
          <w:i/>
          <w:iCs/>
          <w:sz w:val="28"/>
          <w:szCs w:val="28"/>
        </w:rPr>
        <w:t>Estado crítico de los sistemas de la DDN</w:t>
      </w:r>
    </w:p>
    <w:p w14:paraId="4A9BD5A0" w14:textId="77777777" w:rsidR="004C7085" w:rsidRPr="004C7085" w:rsidRDefault="004C7085" w:rsidP="004C7085">
      <w:pPr>
        <w:pStyle w:val="NormalWeb"/>
        <w:jc w:val="both"/>
        <w:rPr>
          <w:b/>
          <w:bCs/>
        </w:rPr>
      </w:pPr>
      <w:r w:rsidRPr="004C7085">
        <w:rPr>
          <w:b/>
          <w:bCs/>
        </w:rPr>
        <w:t>1. Resumen Ejecutivo</w:t>
      </w:r>
    </w:p>
    <w:p w14:paraId="48A1032B" w14:textId="77777777" w:rsidR="004C7085" w:rsidRDefault="004C7085" w:rsidP="004C7085">
      <w:pPr>
        <w:pStyle w:val="NormalWeb"/>
        <w:jc w:val="both"/>
      </w:pPr>
      <w:r w:rsidRPr="004C7085">
        <w:rPr>
          <w:b/>
          <w:bCs/>
        </w:rPr>
        <w:t>1.1. Propósito del Documento</w:t>
      </w:r>
      <w:r w:rsidRPr="004C7085">
        <w:t xml:space="preserve"> </w:t>
      </w:r>
    </w:p>
    <w:p w14:paraId="575F2737" w14:textId="5B28D5DA" w:rsidR="004C7085" w:rsidRPr="004C7085" w:rsidRDefault="004C7085" w:rsidP="004C7085">
      <w:pPr>
        <w:pStyle w:val="NormalWeb"/>
        <w:ind w:firstLine="708"/>
        <w:jc w:val="both"/>
      </w:pPr>
      <w:r w:rsidRPr="004C7085">
        <w:t>El presente informe expone los resultados de la auditoría técnica de arquitectura, rendimiento y usabilidad aplicada al ecosistema de software legado de la Defensoría de la Niñez (incluyendo SIGER y sistemas paralelos). El objetivo es dictaminar la viabilidad técnica de someter dicha infraestructura a un proceso de refactorización o mejora continua, de cara a los desafíos operativos e institucionales actuales.</w:t>
      </w:r>
    </w:p>
    <w:p w14:paraId="73775CEC" w14:textId="77777777" w:rsidR="004C7085" w:rsidRDefault="004C7085" w:rsidP="004C7085">
      <w:pPr>
        <w:pStyle w:val="NormalWeb"/>
        <w:jc w:val="both"/>
      </w:pPr>
      <w:r w:rsidRPr="004C7085">
        <w:rPr>
          <w:b/>
          <w:bCs/>
        </w:rPr>
        <w:t>1.2. Veredicto Técnico Central: Inviabilidad de Refactorización</w:t>
      </w:r>
      <w:r w:rsidRPr="004C7085">
        <w:t xml:space="preserve"> </w:t>
      </w:r>
    </w:p>
    <w:p w14:paraId="78704118" w14:textId="6403739E" w:rsidR="004C7085" w:rsidRPr="004C7085" w:rsidRDefault="004C7085" w:rsidP="004C7085">
      <w:pPr>
        <w:pStyle w:val="NormalWeb"/>
        <w:ind w:firstLine="708"/>
        <w:jc w:val="both"/>
      </w:pPr>
      <w:r w:rsidRPr="004C7085">
        <w:t xml:space="preserve">Tras un análisis exhaustivo del comportamiento estructural del sistema, se concluye que la refactorización del código actual es técnicamente inviable. El ecosistema opera bajo un modelo de monolitos altamente acoplados, construidos sobre estándares tecnológicos obsoletos (HTML 4.01, uso masivo de </w:t>
      </w:r>
      <w:r w:rsidRPr="004C7085">
        <w:rPr>
          <w:i/>
          <w:iCs/>
        </w:rPr>
        <w:t>framesets</w:t>
      </w:r>
      <w:r w:rsidRPr="004C7085">
        <w:t xml:space="preserve"> y renderizado síncrono bloqueante).</w:t>
      </w:r>
    </w:p>
    <w:p w14:paraId="057E26F0" w14:textId="77777777" w:rsidR="004C7085" w:rsidRPr="004C7085" w:rsidRDefault="004C7085" w:rsidP="004C7085">
      <w:pPr>
        <w:pStyle w:val="NormalWeb"/>
        <w:ind w:firstLine="708"/>
        <w:jc w:val="both"/>
      </w:pPr>
      <w:r w:rsidRPr="004C7085">
        <w:t>Invertir recursos (HH) en parchar o intentar modernizar este código base representa un riesgo financiero y operativo injustificable. La alta deuda técnica introducida por el proveedor original garantiza que cualquier modificación profunda detonará fallos en cascada, caídas de servicio (</w:t>
      </w:r>
      <w:r w:rsidRPr="004C7085">
        <w:rPr>
          <w:i/>
          <w:iCs/>
        </w:rPr>
        <w:t>Timeouts</w:t>
      </w:r>
      <w:r w:rsidRPr="004C7085">
        <w:t>) y corrupción de la base de datos. El sistema no admite escalabilidad ni integración con herramientas modernas de inteligencia de negocios.</w:t>
      </w:r>
    </w:p>
    <w:p w14:paraId="11B0167E" w14:textId="77777777" w:rsidR="004C7085" w:rsidRDefault="004C7085" w:rsidP="004C7085">
      <w:pPr>
        <w:pStyle w:val="NormalWeb"/>
        <w:jc w:val="both"/>
      </w:pPr>
      <w:r w:rsidRPr="004C7085">
        <w:rPr>
          <w:b/>
          <w:bCs/>
        </w:rPr>
        <w:t>1.3. Impacto Crítico en la Misión Institucional</w:t>
      </w:r>
      <w:r w:rsidRPr="004C7085">
        <w:t xml:space="preserve"> </w:t>
      </w:r>
    </w:p>
    <w:p w14:paraId="53A88A58" w14:textId="4534B27C" w:rsidR="004C7085" w:rsidRPr="004C7085" w:rsidRDefault="004C7085" w:rsidP="004C7085">
      <w:pPr>
        <w:pStyle w:val="NormalWeb"/>
        <w:ind w:firstLine="708"/>
        <w:jc w:val="both"/>
      </w:pPr>
      <w:r w:rsidRPr="004C7085">
        <w:t>Más allá de las deficiencias a nivel de código, el diseño del sistema entra en conflicto directo con la misión de la Defensoría. El software actual opera como una herramienta genérica de "Mesa de Ayuda" basada en métricas de vanidad, careciendo de validaciones de negocio estrictas. Esto permite la existencia masiva de registros críticos "Sin Información" y normaliza el incumplimiento de plazos (SLAs) mediante cálculos estadísticos deficientes. El sistema actual es reactivo, carece de alertas tempranas y entorpece la prevención activa de vulneraciones de derechos de los Niños, Niñas y Adolescentes (NNA).</w:t>
      </w:r>
    </w:p>
    <w:p w14:paraId="7F9E098B" w14:textId="77777777" w:rsidR="004C7085" w:rsidRDefault="004C7085" w:rsidP="004C7085">
      <w:pPr>
        <w:pStyle w:val="NormalWeb"/>
        <w:jc w:val="both"/>
        <w:rPr>
          <w:b/>
          <w:bCs/>
        </w:rPr>
      </w:pPr>
      <w:r w:rsidRPr="004C7085">
        <w:rPr>
          <w:b/>
          <w:bCs/>
        </w:rPr>
        <w:t xml:space="preserve">1.4. Recomendación Estratégica: Reingeniería Total </w:t>
      </w:r>
    </w:p>
    <w:p w14:paraId="102B563B" w14:textId="39E3D2E4" w:rsidR="004C7085" w:rsidRDefault="004C7085" w:rsidP="004C7085">
      <w:pPr>
        <w:pStyle w:val="NormalWeb"/>
        <w:ind w:firstLine="708"/>
        <w:jc w:val="both"/>
      </w:pPr>
      <w:r w:rsidRPr="004C7085">
        <w:t xml:space="preserve">Para garantizar la continuidad operativa y dotar a la institución de una plataforma robusta y segura, se dictamina abandonar los esfuerzos de rescate del software legado. La estrategia recomendada es la adopción de una nueva </w:t>
      </w:r>
      <w:r w:rsidRPr="004C7085">
        <w:rPr>
          <w:b/>
          <w:bCs/>
        </w:rPr>
        <w:t>arquitectura distribuida (microservicios)</w:t>
      </w:r>
      <w:r w:rsidRPr="004C7085">
        <w:t>, desarrollada desde cero.</w:t>
      </w:r>
    </w:p>
    <w:p w14:paraId="4B2137C2" w14:textId="77777777" w:rsidR="004C7085" w:rsidRPr="004C7085" w:rsidRDefault="004C7085" w:rsidP="004C7085">
      <w:pPr>
        <w:pStyle w:val="NormalWeb"/>
        <w:jc w:val="both"/>
      </w:pPr>
    </w:p>
    <w:p w14:paraId="67F06A8B" w14:textId="77777777" w:rsidR="004C7085" w:rsidRPr="004C7085" w:rsidRDefault="004C7085" w:rsidP="004C7085">
      <w:pPr>
        <w:pStyle w:val="NormalWeb"/>
        <w:ind w:firstLine="708"/>
        <w:jc w:val="both"/>
      </w:pPr>
      <w:r w:rsidRPr="004C7085">
        <w:lastRenderedPageBreak/>
        <w:t xml:space="preserve">Para asegurar el éxito de esta nueva infraestructura, el desarrollo estará precedido por un </w:t>
      </w:r>
      <w:r w:rsidRPr="004C7085">
        <w:rPr>
          <w:b/>
          <w:bCs/>
        </w:rPr>
        <w:t>Levantamiento Nacional de Requerimientos</w:t>
      </w:r>
      <w:r w:rsidRPr="004C7085">
        <w:t xml:space="preserve"> transversal a todas las sedes y departamentos. Esta fase estratégica permitirá diseñar flujos de trabajo basados en las necesidades orgánicas reales de los funcionarios, unificando la operación bajo un único Sistema de Diseño y eliminando la fragmentación tecnológica actual.</w:t>
      </w:r>
    </w:p>
    <w:p w14:paraId="684F854B" w14:textId="77777777" w:rsidR="004C7085" w:rsidRPr="004C7085" w:rsidRDefault="004C7085" w:rsidP="004C7085">
      <w:pPr>
        <w:pStyle w:val="NormalWeb"/>
        <w:jc w:val="both"/>
        <w:rPr>
          <w:b/>
          <w:bCs/>
        </w:rPr>
      </w:pPr>
      <w:r w:rsidRPr="004C7085">
        <w:rPr>
          <w:b/>
          <w:bCs/>
        </w:rPr>
        <w:t>2. Diagnóstico del Ecosistema de Software Actual (La Deuda Técnica)</w:t>
      </w:r>
    </w:p>
    <w:p w14:paraId="53EE6044" w14:textId="77777777" w:rsidR="004C7085" w:rsidRDefault="004C7085" w:rsidP="004C7085">
      <w:pPr>
        <w:pStyle w:val="NormalWeb"/>
        <w:jc w:val="both"/>
        <w:rPr>
          <w:b/>
          <w:bCs/>
        </w:rPr>
      </w:pPr>
      <w:r w:rsidRPr="004C7085">
        <w:rPr>
          <w:b/>
          <w:bCs/>
        </w:rPr>
        <w:t>2.1. Fragmentación y Silos de Información</w:t>
      </w:r>
    </w:p>
    <w:p w14:paraId="4DB96BE8" w14:textId="412BE5A4" w:rsidR="004C7085" w:rsidRPr="004C7085" w:rsidRDefault="004C7085" w:rsidP="004C7085">
      <w:pPr>
        <w:pStyle w:val="NormalWeb"/>
        <w:ind w:firstLine="708"/>
        <w:jc w:val="both"/>
      </w:pPr>
      <w:r w:rsidRPr="004C7085">
        <w:t xml:space="preserve"> La infraestructura tecnológica actual de la Defensoría de la Niñez se sostiene sobre un ecosistema altamente fragmentado, compuesto por múltiples sistemas monolíticos desconectados entre sí (tales como SIGER, Persomático</w:t>
      </w:r>
      <w:r>
        <w:t>,</w:t>
      </w:r>
      <w:r w:rsidRPr="004C7085">
        <w:t xml:space="preserve"> Dockflow</w:t>
      </w:r>
      <w:r>
        <w:t xml:space="preserve">, </w:t>
      </w:r>
      <w:proofErr w:type="spellStart"/>
      <w:r>
        <w:t>etc</w:t>
      </w:r>
      <w:proofErr w:type="spellEnd"/>
      <w:r w:rsidRPr="004C7085">
        <w:t>). Esta arquitectura de silos impide la trazabilidad transversal de los datos y obliga a los funcionarios a operar en entornos aislados, duplicando esfuerzos y generando inconsistencias en la información. Al carecer de un bus de integración o una arquitectura orientada a servicios, el cruce de información vital depende de procesos manuales o extracciones crudas, anulando cualquier capacidad de Inteligencia de Negocios (BI) en tiempo real.</w:t>
      </w:r>
    </w:p>
    <w:p w14:paraId="75F7EEB1" w14:textId="77777777" w:rsidR="004C7085" w:rsidRDefault="004C7085" w:rsidP="004C7085">
      <w:pPr>
        <w:pStyle w:val="NormalWeb"/>
        <w:jc w:val="both"/>
        <w:rPr>
          <w:b/>
          <w:bCs/>
        </w:rPr>
      </w:pPr>
      <w:r w:rsidRPr="004C7085">
        <w:rPr>
          <w:b/>
          <w:bCs/>
        </w:rPr>
        <w:t>2.2. Obsolescencia Estructural y Tecnológica</w:t>
      </w:r>
    </w:p>
    <w:p w14:paraId="5D6D7F11" w14:textId="4C15A8C2" w:rsidR="004C7085" w:rsidRPr="004C7085" w:rsidRDefault="004C7085" w:rsidP="004C7085">
      <w:pPr>
        <w:pStyle w:val="NormalWeb"/>
        <w:ind w:firstLine="360"/>
        <w:jc w:val="both"/>
      </w:pPr>
      <w:r w:rsidRPr="004C7085">
        <w:t xml:space="preserve"> El análisis de la capa de presentación de SIGER revela una arquitectura estática fundamentada en estándares deprecados hace más de una década. Las deficiencias estructurales más críticas incluyen:</w:t>
      </w:r>
    </w:p>
    <w:p w14:paraId="4CB09C92" w14:textId="438D02CC" w:rsidR="004C7085" w:rsidRPr="004C7085" w:rsidRDefault="004C7085" w:rsidP="004C7085">
      <w:pPr>
        <w:pStyle w:val="NormalWeb"/>
        <w:numPr>
          <w:ilvl w:val="0"/>
          <w:numId w:val="8"/>
        </w:numPr>
        <w:jc w:val="both"/>
      </w:pPr>
      <w:r w:rsidRPr="004C7085">
        <w:rPr>
          <w:b/>
          <w:bCs/>
        </w:rPr>
        <w:t>Dependencia de Framesets (HTML 4.01):</w:t>
      </w:r>
      <w:r w:rsidRPr="004C7085">
        <w:t xml:space="preserve"> El sistema encapsula sus vistas en hasta cuatro niveles de </w:t>
      </w:r>
      <w:r w:rsidRPr="004C7085">
        <w:rPr>
          <w:i/>
          <w:iCs/>
        </w:rPr>
        <w:t>frames</w:t>
      </w:r>
      <w:r w:rsidRPr="004C7085">
        <w:t xml:space="preserve"> anidados. Esto destruye la navegación natural del navegador, imposibilita el ruteo directo a casos específicos y genera un consumo excesivo de memoria en los equipos cliente.</w:t>
      </w:r>
    </w:p>
    <w:p w14:paraId="2E736E5F" w14:textId="77777777" w:rsidR="004C7085" w:rsidRPr="004C7085" w:rsidRDefault="004C7085" w:rsidP="004C7085">
      <w:pPr>
        <w:pStyle w:val="NormalWeb"/>
        <w:numPr>
          <w:ilvl w:val="0"/>
          <w:numId w:val="8"/>
        </w:numPr>
        <w:jc w:val="both"/>
      </w:pPr>
      <w:r w:rsidRPr="004C7085">
        <w:rPr>
          <w:b/>
          <w:bCs/>
        </w:rPr>
        <w:t>Renderizado Monolítico Estricto:</w:t>
      </w:r>
      <w:r w:rsidRPr="004C7085">
        <w:t xml:space="preserve"> Se constató la inexistencia de APIs de datos estandarizadas (REST/GraphQL). El servidor procesa y envía páginas HTML completas en cada interacción, impidiendo la separación de responsabilidades entre el </w:t>
      </w:r>
      <w:r w:rsidRPr="004C7085">
        <w:rPr>
          <w:i/>
          <w:iCs/>
        </w:rPr>
        <w:t>Front-end</w:t>
      </w:r>
      <w:r w:rsidRPr="004C7085">
        <w:t xml:space="preserve"> y el </w:t>
      </w:r>
      <w:r w:rsidRPr="004C7085">
        <w:rPr>
          <w:i/>
          <w:iCs/>
        </w:rPr>
        <w:t>Back-end</w:t>
      </w:r>
      <w:r w:rsidRPr="004C7085">
        <w:t>, y bloqueando la futura integración con aplicaciones móviles u otras plataformas institucionales.</w:t>
      </w:r>
    </w:p>
    <w:p w14:paraId="0E4EA9D9" w14:textId="5252907C" w:rsidR="004C7085" w:rsidRPr="003B320D" w:rsidRDefault="004C7085" w:rsidP="004C7085">
      <w:pPr>
        <w:pStyle w:val="NormalWeb"/>
        <w:numPr>
          <w:ilvl w:val="0"/>
          <w:numId w:val="8"/>
        </w:numPr>
        <w:jc w:val="both"/>
      </w:pPr>
      <w:r w:rsidRPr="004C7085">
        <w:rPr>
          <w:b/>
          <w:bCs/>
        </w:rPr>
        <w:t>Antipatrones de Interfaz y Código Muerto:</w:t>
      </w:r>
      <w:r w:rsidRPr="004C7085">
        <w:t xml:space="preserve"> Inyección de librerías modernas sobre estructuras arcaicas ("código espagueti") y presencia de módulos inoperativos expuestos en producción, evidenciando una severa deficiencia en los controles de calidad (QA) y gestión de entregables del proveedor original.</w:t>
      </w:r>
    </w:p>
    <w:p w14:paraId="72FC96BE" w14:textId="77777777" w:rsidR="004C7085" w:rsidRDefault="004C7085" w:rsidP="004C7085">
      <w:pPr>
        <w:pStyle w:val="NormalWeb"/>
        <w:jc w:val="both"/>
        <w:rPr>
          <w:b/>
          <w:bCs/>
        </w:rPr>
      </w:pPr>
      <w:r w:rsidRPr="004C7085">
        <w:rPr>
          <w:b/>
          <w:bCs/>
        </w:rPr>
        <w:t>2.3. Riesgos Críticos de Seguridad, Rendimiento e Integridad</w:t>
      </w:r>
    </w:p>
    <w:p w14:paraId="3BC4CD9A" w14:textId="77BB997F" w:rsidR="004C7085" w:rsidRPr="004C7085" w:rsidRDefault="004C7085" w:rsidP="003B320D">
      <w:pPr>
        <w:pStyle w:val="NormalWeb"/>
        <w:ind w:firstLine="360"/>
        <w:jc w:val="both"/>
        <w:rPr>
          <w:b/>
          <w:bCs/>
        </w:rPr>
      </w:pPr>
      <w:r w:rsidRPr="004C7085">
        <w:t>La auditoría de caja negra expuso vulnerabilidades que amenazan la continuidad operativa:</w:t>
      </w:r>
    </w:p>
    <w:p w14:paraId="08105A46" w14:textId="77777777" w:rsidR="004C7085" w:rsidRPr="004C7085" w:rsidRDefault="004C7085" w:rsidP="004C7085">
      <w:pPr>
        <w:pStyle w:val="NormalWeb"/>
        <w:numPr>
          <w:ilvl w:val="0"/>
          <w:numId w:val="9"/>
        </w:numPr>
        <w:jc w:val="both"/>
      </w:pPr>
      <w:r w:rsidRPr="004C7085">
        <w:rPr>
          <w:b/>
          <w:bCs/>
        </w:rPr>
        <w:t>Riesgo de Denegación de Servicio (DoS) Interna:</w:t>
      </w:r>
      <w:r w:rsidRPr="004C7085">
        <w:t xml:space="preserve"> Los módulos de exportación de datos masivos operan de manera síncrona y bloqueante en el hilo principal del </w:t>
      </w:r>
      <w:r w:rsidRPr="004C7085">
        <w:lastRenderedPageBreak/>
        <w:t>servidor. Múltiples peticiones simultáneas de descarga de reportes provocarán el colapso de las conexiones a la base de datos o el agotamiento de la memoria (Timeouts masivos).</w:t>
      </w:r>
    </w:p>
    <w:p w14:paraId="7663F449" w14:textId="5F2FEFBB" w:rsidR="004C7085" w:rsidRPr="004C7085" w:rsidRDefault="004C7085" w:rsidP="004C7085">
      <w:pPr>
        <w:pStyle w:val="NormalWeb"/>
        <w:numPr>
          <w:ilvl w:val="0"/>
          <w:numId w:val="9"/>
        </w:numPr>
        <w:jc w:val="both"/>
      </w:pPr>
      <w:r w:rsidRPr="004C7085">
        <w:rPr>
          <w:b/>
          <w:bCs/>
        </w:rPr>
        <w:t>Exposición de Infraestructura:</w:t>
      </w:r>
      <w:r w:rsidRPr="004C7085">
        <w:t xml:space="preserve"> Filtración de direcciones IP internas y puertos de servidores de aplicación directamente en el código fuente del cliente, saltándose las capas de proxy inverso y firewall perimetral recomendadas.</w:t>
      </w:r>
    </w:p>
    <w:p w14:paraId="739F91F2" w14:textId="4D0CCAC0" w:rsidR="004C7085" w:rsidRPr="004C7085" w:rsidRDefault="004C7085" w:rsidP="004C7085">
      <w:pPr>
        <w:pStyle w:val="NormalWeb"/>
        <w:numPr>
          <w:ilvl w:val="0"/>
          <w:numId w:val="9"/>
        </w:numPr>
        <w:jc w:val="both"/>
      </w:pPr>
      <w:r w:rsidRPr="004C7085">
        <w:rPr>
          <w:b/>
          <w:bCs/>
        </w:rPr>
        <w:t>Pobreza en la Integridad de Datos:</w:t>
      </w:r>
      <w:r w:rsidRPr="004C7085">
        <w:t xml:space="preserve"> Ausencia de validaciones de dominio en los formularios críticos. El sistema permite el cruce de entidades incompatibles (Personas Naturales vs. Personas Jurídicas) en campos únicos y acepta el cierre de requerimientos sin capturar datos demográficos mínimos, lo que resulta en bases de datos contaminadas con registros vacíos o nulos.</w:t>
      </w:r>
    </w:p>
    <w:p w14:paraId="0A6A8E6C" w14:textId="77777777" w:rsidR="003B320D" w:rsidRDefault="004C7085" w:rsidP="004C7085">
      <w:pPr>
        <w:pStyle w:val="NormalWeb"/>
        <w:jc w:val="both"/>
      </w:pPr>
      <w:r w:rsidRPr="004C7085">
        <w:rPr>
          <w:b/>
          <w:bCs/>
        </w:rPr>
        <w:t>2.4. Fricción Operativa y Falla Misional</w:t>
      </w:r>
    </w:p>
    <w:p w14:paraId="4BAEF3D0" w14:textId="1BEA667D" w:rsidR="004C7085" w:rsidRPr="004C7085" w:rsidRDefault="004C7085" w:rsidP="003B320D">
      <w:pPr>
        <w:pStyle w:val="NormalWeb"/>
        <w:ind w:firstLine="360"/>
        <w:jc w:val="both"/>
      </w:pPr>
      <w:r w:rsidRPr="004C7085">
        <w:t xml:space="preserve">Desde una perspectiva de valor institucional, la arquitectura actual de SIGER opera como un </w:t>
      </w:r>
      <w:r w:rsidRPr="004C7085">
        <w:rPr>
          <w:i/>
          <w:iCs/>
        </w:rPr>
        <w:t>Helpdesk</w:t>
      </w:r>
      <w:r w:rsidRPr="004C7085">
        <w:t xml:space="preserve"> (Mesa de Ayuda) genérico y no como un Sistema de Protección de la Niñez.</w:t>
      </w:r>
    </w:p>
    <w:p w14:paraId="11CC58FE" w14:textId="77777777" w:rsidR="004C7085" w:rsidRPr="004C7085" w:rsidRDefault="004C7085" w:rsidP="004C7085">
      <w:pPr>
        <w:pStyle w:val="NormalWeb"/>
        <w:numPr>
          <w:ilvl w:val="0"/>
          <w:numId w:val="10"/>
        </w:numPr>
        <w:jc w:val="both"/>
      </w:pPr>
      <w:r w:rsidRPr="004C7085">
        <w:rPr>
          <w:b/>
          <w:bCs/>
        </w:rPr>
        <w:t>Métricas de Vanidad:</w:t>
      </w:r>
      <w:r w:rsidRPr="004C7085">
        <w:t xml:space="preserve"> El módulo estadístico se limita a contabilizar interacciones operativas (papel digital) y es incapaz de generar mapas de riesgo o predecir reincidencias.</w:t>
      </w:r>
    </w:p>
    <w:p w14:paraId="677EC75C" w14:textId="77777777" w:rsidR="004C7085" w:rsidRPr="004C7085" w:rsidRDefault="004C7085" w:rsidP="004C7085">
      <w:pPr>
        <w:pStyle w:val="NormalWeb"/>
        <w:numPr>
          <w:ilvl w:val="0"/>
          <w:numId w:val="10"/>
        </w:numPr>
        <w:jc w:val="both"/>
      </w:pPr>
      <w:r w:rsidRPr="004C7085">
        <w:rPr>
          <w:b/>
          <w:bCs/>
        </w:rPr>
        <w:t>Carencia de Motor de SLAs:</w:t>
      </w:r>
      <w:r w:rsidRPr="004C7085">
        <w:t xml:space="preserve"> El sistema contabiliza retrasos en formato de "días negativos" crudos, normalizando el incumplimiento normativo al no detonar estados de escalamiento o alertas de prioridad institucional. En conclusión, el ecosistema actual no solo presenta un diseño hostil para el usuario final (fricción de interacción), sino que su lógica de software es puramente reactiva, entorpeciendo directamente el rol preventivo y de restitución de derechos que mandata la ley a la Institución.</w:t>
      </w:r>
    </w:p>
    <w:p w14:paraId="1DA3D039" w14:textId="77777777" w:rsidR="001C6EF3" w:rsidRPr="001C6EF3" w:rsidRDefault="001C6EF3" w:rsidP="001C6EF3">
      <w:pPr>
        <w:pStyle w:val="NormalWeb"/>
        <w:jc w:val="both"/>
        <w:rPr>
          <w:b/>
          <w:bCs/>
        </w:rPr>
      </w:pPr>
      <w:r w:rsidRPr="001C6EF3">
        <w:rPr>
          <w:b/>
          <w:bCs/>
        </w:rPr>
        <w:t>3. Análisis de Vulnerabilidades Críticas (El Riesgo Bajo el Paradigma "Zero Trust")</w:t>
      </w:r>
    </w:p>
    <w:p w14:paraId="3077D12E" w14:textId="76E7F771" w:rsidR="001C6EF3" w:rsidRPr="001C6EF3" w:rsidRDefault="001C6EF3" w:rsidP="001C6EF3">
      <w:pPr>
        <w:pStyle w:val="NormalWeb"/>
        <w:ind w:firstLine="708"/>
        <w:jc w:val="both"/>
      </w:pPr>
      <w:r w:rsidRPr="001C6EF3">
        <w:t>El análisis de arquitectura de SIGER revela que el sistema fue construido bajo un modelo de seguridad perimetral obsoleto conocido como castillo con foso, asumiendo erróneamente que por operar dentro de una red privada (VPN) o intranet, la aplicación no requiere mecanismos de defensa propios. Bajo los estándares modernos de ciberseguridad institucional (Confianza Cero), esta presunción es críticamente negligente, ya que la red interna nunca debe considerarse estéril o libre de amenazas.</w:t>
      </w:r>
    </w:p>
    <w:p w14:paraId="7FA0AD92" w14:textId="77777777" w:rsidR="001C6EF3" w:rsidRPr="001C6EF3" w:rsidRDefault="001C6EF3" w:rsidP="001C6EF3">
      <w:pPr>
        <w:pStyle w:val="NormalWeb"/>
        <w:jc w:val="both"/>
      </w:pPr>
      <w:r w:rsidRPr="001C6EF3">
        <w:t>A continuación, se detallan los vectores de ataque a los que la Defensoría de la Niñez está expuesta diariamente, demostrando que la VPN no mitiga el daño de una arquitectura de software deficiente:</w:t>
      </w:r>
    </w:p>
    <w:p w14:paraId="4C7676BD" w14:textId="77777777" w:rsidR="001C6EF3" w:rsidRDefault="001C6EF3" w:rsidP="001C6EF3">
      <w:pPr>
        <w:pStyle w:val="NormalWeb"/>
        <w:jc w:val="both"/>
      </w:pPr>
      <w:r w:rsidRPr="001C6EF3">
        <w:rPr>
          <w:b/>
          <w:bCs/>
        </w:rPr>
        <w:t>3.1. El Vector del Navegador: Ataques desde el Exterior hacia el Interior (XSS y Clickjacking)</w:t>
      </w:r>
      <w:r w:rsidRPr="001C6EF3">
        <w:t xml:space="preserve"> </w:t>
      </w:r>
    </w:p>
    <w:p w14:paraId="522FAE67" w14:textId="3C0CA72E" w:rsidR="001C6EF3" w:rsidRPr="001C6EF3" w:rsidRDefault="001C6EF3" w:rsidP="001C6EF3">
      <w:pPr>
        <w:pStyle w:val="NormalWeb"/>
        <w:ind w:firstLine="360"/>
        <w:jc w:val="both"/>
      </w:pPr>
      <w:r w:rsidRPr="001C6EF3">
        <w:t>Aunque un atacante externo no pueda acceder a la dirección http://192.168.100.9:8080 directamente, el computador del funcionario conectado a la VPN sí puede.</w:t>
      </w:r>
    </w:p>
    <w:p w14:paraId="0A4282B5" w14:textId="1C565257" w:rsidR="001C6EF3" w:rsidRPr="001C6EF3" w:rsidRDefault="001C6EF3" w:rsidP="001C6EF3">
      <w:pPr>
        <w:pStyle w:val="NormalWeb"/>
        <w:numPr>
          <w:ilvl w:val="0"/>
          <w:numId w:val="16"/>
        </w:numPr>
        <w:jc w:val="both"/>
      </w:pPr>
      <w:r w:rsidRPr="001C6EF3">
        <w:rPr>
          <w:b/>
          <w:bCs/>
        </w:rPr>
        <w:lastRenderedPageBreak/>
        <w:t>El Riesgo Operativo:</w:t>
      </w:r>
      <w:r w:rsidRPr="001C6EF3">
        <w:t xml:space="preserve"> Si un funcionario abre un correo electrónico engañoso (Phishing) o navega por una página externa comprometida mientras tiene su sesión de SIGER abierta, esa página maliciosa puede utilizar el navegador del trabajador como puente. Debido a que SIGER carece de Políticas de Seguridad de Contenido (CSP) estrictas y utiliza tecnología obsoleta de marcos (</w:t>
      </w:r>
      <w:r w:rsidRPr="001C6EF3">
        <w:rPr>
          <w:i/>
          <w:iCs/>
        </w:rPr>
        <w:t>frames</w:t>
      </w:r>
      <w:r w:rsidRPr="001C6EF3">
        <w:t>), el atacante puede inyectar código que obligue al navegador del funcionario a ejecutar órdenes en el sistema interno (ej. modificar o borrar requerimientos). El servidor y la VPN permitirán el ataque, ya que la petición proviene de un equipo y una sesión "de confianza".</w:t>
      </w:r>
    </w:p>
    <w:p w14:paraId="702F269F" w14:textId="77777777" w:rsidR="001C6EF3" w:rsidRDefault="001C6EF3" w:rsidP="001C6EF3">
      <w:pPr>
        <w:pStyle w:val="NormalWeb"/>
        <w:jc w:val="both"/>
        <w:rPr>
          <w:b/>
          <w:bCs/>
        </w:rPr>
      </w:pPr>
      <w:r w:rsidRPr="001C6EF3">
        <w:rPr>
          <w:b/>
          <w:bCs/>
        </w:rPr>
        <w:t>3.2. Movimiento Lateral y Falta de Cifrado (Secuestro de Tráfico en Texto Plano)</w:t>
      </w:r>
    </w:p>
    <w:p w14:paraId="349D12B3" w14:textId="5BE9A1F6" w:rsidR="001C6EF3" w:rsidRPr="001C6EF3" w:rsidRDefault="001C6EF3" w:rsidP="001C6EF3">
      <w:pPr>
        <w:pStyle w:val="NormalWeb"/>
        <w:ind w:firstLine="360"/>
        <w:jc w:val="both"/>
      </w:pPr>
      <w:r w:rsidRPr="001C6EF3">
        <w:t>Se constató que el sistema opera exclusivamente bajo el protocolo HTTP (sin cifrado SSL/TLS), transmitiendo datos sensibles directamente a través de puertos de aplicación expuestos.</w:t>
      </w:r>
    </w:p>
    <w:p w14:paraId="08E338AB" w14:textId="5B1B220A" w:rsidR="001C6EF3" w:rsidRPr="001C6EF3" w:rsidRDefault="001C6EF3" w:rsidP="001C6EF3">
      <w:pPr>
        <w:pStyle w:val="NormalWeb"/>
        <w:numPr>
          <w:ilvl w:val="0"/>
          <w:numId w:val="17"/>
        </w:numPr>
        <w:jc w:val="both"/>
      </w:pPr>
      <w:r w:rsidRPr="001C6EF3">
        <w:rPr>
          <w:b/>
          <w:bCs/>
        </w:rPr>
        <w:t>El Riesgo Operativo:</w:t>
      </w:r>
      <w:r w:rsidRPr="001C6EF3">
        <w:t xml:space="preserve"> Si cualquier dispositivo dentro de la VPN se infecta con </w:t>
      </w:r>
      <w:r w:rsidRPr="001C6EF3">
        <w:rPr>
          <w:i/>
          <w:iCs/>
        </w:rPr>
        <w:t>malware,</w:t>
      </w:r>
      <w:r w:rsidRPr="001C6EF3">
        <w:t xml:space="preserve"> por ejemplo, a través de un pendrive USB contaminado o un documento adjunto descargado por otro usuario de la red, ese software malicioso puede realizar un escaneo pasivo de la red interna (</w:t>
      </w:r>
      <w:r w:rsidRPr="001C6EF3">
        <w:rPr>
          <w:i/>
          <w:iCs/>
        </w:rPr>
        <w:t>Packet Sniffing</w:t>
      </w:r>
      <w:r w:rsidRPr="001C6EF3">
        <w:t>). Al no existir túneles cifrados dentro del propio sistema, el atacante podrá capturar credenciales de acceso, contraseñas, RUTs y descripciones detalladas de vulneraciones de los NNA en texto completamente claro. La VPN protege la puerta de entrada, pero el sistema carece de puertas internas.</w:t>
      </w:r>
    </w:p>
    <w:p w14:paraId="02AA6FD3" w14:textId="77777777" w:rsidR="001C6EF3" w:rsidRDefault="001C6EF3" w:rsidP="001C6EF3">
      <w:pPr>
        <w:pStyle w:val="NormalWeb"/>
        <w:jc w:val="both"/>
        <w:rPr>
          <w:b/>
          <w:bCs/>
        </w:rPr>
      </w:pPr>
      <w:r w:rsidRPr="001C6EF3">
        <w:rPr>
          <w:b/>
          <w:bCs/>
        </w:rPr>
        <w:t>3.3. El "Enemigo Interno": Exposición de Identificadores y Vulnerabilidad IDOR</w:t>
      </w:r>
    </w:p>
    <w:p w14:paraId="3788F25B" w14:textId="77777777" w:rsidR="001C6EF3" w:rsidRDefault="001C6EF3" w:rsidP="001C6EF3">
      <w:pPr>
        <w:pStyle w:val="NormalWeb"/>
        <w:ind w:firstLine="360"/>
        <w:jc w:val="both"/>
      </w:pPr>
      <w:r w:rsidRPr="001C6EF3">
        <w:t>La inspección de las rutas de navegación demuestra que SIGER expone las llaves primarias de la base de datos (IDs) directamente en la barra de direcciones web</w:t>
      </w:r>
    </w:p>
    <w:p w14:paraId="1001B138" w14:textId="33B811A0" w:rsidR="001C6EF3" w:rsidRPr="001C6EF3" w:rsidRDefault="001C6EF3" w:rsidP="001C6EF3">
      <w:pPr>
        <w:pStyle w:val="NormalWeb"/>
        <w:ind w:firstLine="360"/>
        <w:jc w:val="both"/>
      </w:pPr>
      <w:r w:rsidRPr="001C6EF3">
        <w:t>(ej. ...TablaDinamica.jsp?id=737...).</w:t>
      </w:r>
    </w:p>
    <w:p w14:paraId="2BF8748E" w14:textId="77777777" w:rsidR="001C6EF3" w:rsidRPr="001C6EF3" w:rsidRDefault="001C6EF3" w:rsidP="001C6EF3">
      <w:pPr>
        <w:pStyle w:val="NormalWeb"/>
        <w:numPr>
          <w:ilvl w:val="0"/>
          <w:numId w:val="18"/>
        </w:numPr>
        <w:jc w:val="both"/>
      </w:pPr>
      <w:r w:rsidRPr="001C6EF3">
        <w:rPr>
          <w:b/>
          <w:bCs/>
        </w:rPr>
        <w:t>El Riesgo Operativo:</w:t>
      </w:r>
      <w:r w:rsidRPr="001C6EF3">
        <w:t xml:space="preserve"> Esta práctica abre la puerta a la vulnerabilidad de Referencia Directa a Objetos Inseguros (IDOR). El sistema confía ciegamente en que, si el usuario está autenticado en la VPN, tiene permiso para realizar la consulta. Esto permite que cualquier funcionario con acceso básico, o incluso estudiantes en práctica, puedan alterar el número en la dirección web (cambiando 737 por 738) para acceder a expedientes altamente confidenciales de otras unidades a los que no tienen autorización.</w:t>
      </w:r>
    </w:p>
    <w:p w14:paraId="510F20E2" w14:textId="77777777" w:rsidR="001C6EF3" w:rsidRDefault="001C6EF3" w:rsidP="001C6EF3">
      <w:pPr>
        <w:pStyle w:val="NormalWeb"/>
        <w:jc w:val="both"/>
      </w:pPr>
      <w:r w:rsidRPr="001C6EF3">
        <w:rPr>
          <w:b/>
          <w:bCs/>
        </w:rPr>
        <w:t>3.4. Conclusión del Riesgo Institucional</w:t>
      </w:r>
    </w:p>
    <w:p w14:paraId="6590C2D6" w14:textId="7D8F7B62" w:rsidR="001C6EF3" w:rsidRDefault="001C6EF3" w:rsidP="001C6EF3">
      <w:pPr>
        <w:pStyle w:val="NormalWeb"/>
        <w:ind w:firstLine="708"/>
        <w:jc w:val="both"/>
      </w:pPr>
      <w:r w:rsidRPr="001C6EF3">
        <w:t xml:space="preserve">La arquitectura de SIGER expone a la Defensoría de la Niñez a brechas masivas de confidencialidad, originadas tanto por amenazas externas que puentean la VPN a través de los usuarios, como por movimientos laterales de </w:t>
      </w:r>
      <w:r w:rsidRPr="001C6EF3">
        <w:rPr>
          <w:i/>
          <w:iCs/>
        </w:rPr>
        <w:t>malware</w:t>
      </w:r>
      <w:r w:rsidRPr="001C6EF3">
        <w:t xml:space="preserve"> o negligencias del propio personal.</w:t>
      </w:r>
      <w:r>
        <w:br w:type="page"/>
      </w:r>
    </w:p>
    <w:p w14:paraId="759C42CD" w14:textId="17099473" w:rsidR="001C6EF3" w:rsidRPr="001C6EF3" w:rsidRDefault="001C6EF3" w:rsidP="001C6EF3">
      <w:pPr>
        <w:pStyle w:val="NormalWeb"/>
        <w:ind w:firstLine="708"/>
        <w:jc w:val="both"/>
      </w:pPr>
      <w:r w:rsidRPr="001C6EF3">
        <w:lastRenderedPageBreak/>
        <w:t>Mantener información de menores vulnerados en un software que carece de cifrado interno y validación de autorizaciones a nivel de recurso constituye un riesgo legal inminente, abriendo flancos para sumarios administrativos y demandas por incumplimiento en el deber de custodia de datos sensibles.</w:t>
      </w:r>
    </w:p>
    <w:p w14:paraId="1F2AC22B" w14:textId="028DF149" w:rsidR="00396B38" w:rsidRPr="00396B38" w:rsidRDefault="00396B38" w:rsidP="00396B38">
      <w:pPr>
        <w:pStyle w:val="NormalWeb"/>
        <w:jc w:val="both"/>
        <w:rPr>
          <w:b/>
          <w:bCs/>
        </w:rPr>
      </w:pPr>
      <w:r w:rsidRPr="00396B38">
        <w:rPr>
          <w:b/>
          <w:bCs/>
        </w:rPr>
        <w:t>4. Evaluación Técnica: Refactorización vs. Reescritura</w:t>
      </w:r>
    </w:p>
    <w:p w14:paraId="4667AB16" w14:textId="77777777" w:rsidR="00396B38" w:rsidRPr="00396B38" w:rsidRDefault="00396B38" w:rsidP="00396B38">
      <w:pPr>
        <w:pStyle w:val="NormalWeb"/>
        <w:ind w:firstLine="708"/>
        <w:jc w:val="both"/>
      </w:pPr>
      <w:r w:rsidRPr="00396B38">
        <w:t>Para determinar el curso de acción estratégico, se evaluó la viabilidad de aplicar un proceso de mejora continua (refactorización) al código fuente legado versus la construcción de un sistema completamente nuevo (</w:t>
      </w:r>
      <w:r w:rsidRPr="00396B38">
        <w:rPr>
          <w:i/>
          <w:iCs/>
        </w:rPr>
        <w:t>Greenfield</w:t>
      </w:r>
      <w:r w:rsidRPr="00396B38">
        <w:t>). El análisis técnico arroja las siguientes conclusiones:</w:t>
      </w:r>
    </w:p>
    <w:p w14:paraId="0E636EF2" w14:textId="77777777" w:rsidR="00396B38" w:rsidRDefault="00396B38" w:rsidP="00396B38">
      <w:pPr>
        <w:pStyle w:val="NormalWeb"/>
        <w:jc w:val="both"/>
        <w:rPr>
          <w:b/>
          <w:bCs/>
        </w:rPr>
      </w:pPr>
      <w:r w:rsidRPr="00396B38">
        <w:rPr>
          <w:b/>
          <w:bCs/>
        </w:rPr>
        <w:t>4.1. El Límite de la Refactorización (Acoplamiento Extremo)</w:t>
      </w:r>
    </w:p>
    <w:p w14:paraId="121B3F11" w14:textId="47DEAABE" w:rsidR="00396B38" w:rsidRPr="00396B38" w:rsidRDefault="00396B38" w:rsidP="00396B38">
      <w:pPr>
        <w:pStyle w:val="NormalWeb"/>
        <w:ind w:firstLine="708"/>
        <w:jc w:val="both"/>
      </w:pPr>
      <w:r w:rsidRPr="00396B38">
        <w:t xml:space="preserve">El código base de SIGER presenta un nivel de acoplamiento extremo entre la capa de presentación visual y la lógica de base de datos. Al no existir una API (Application Programming Interface) que separe el </w:t>
      </w:r>
      <w:r w:rsidRPr="00396B38">
        <w:rPr>
          <w:i/>
          <w:iCs/>
        </w:rPr>
        <w:t>back-end</w:t>
      </w:r>
      <w:r w:rsidRPr="00396B38">
        <w:t xml:space="preserve"> del </w:t>
      </w:r>
      <w:r w:rsidRPr="00396B38">
        <w:rPr>
          <w:i/>
          <w:iCs/>
        </w:rPr>
        <w:t>front-end</w:t>
      </w:r>
      <w:r w:rsidRPr="00396B38">
        <w:t>, el servidor está obligado a renderizar vistas estáticas pesadas mezclando tecnologías obsoletas (HTML 4.01 y framesets) con inyecciones forzadas de código moderno.</w:t>
      </w:r>
    </w:p>
    <w:p w14:paraId="3A4F1B02" w14:textId="77777777" w:rsidR="00396B38" w:rsidRPr="00396B38" w:rsidRDefault="00396B38" w:rsidP="00396B38">
      <w:pPr>
        <w:pStyle w:val="NormalWeb"/>
        <w:ind w:firstLine="708"/>
        <w:jc w:val="both"/>
      </w:pPr>
      <w:r w:rsidRPr="00396B38">
        <w:t>Intentar desacoplar esta arquitectura para modernizar el sistema requeriría desarmar el código por completo. Además, la persistencia de malas prácticas estructurales, como la fragmentación de la reportería estadística en múltiples archivos estáticos independientes (ej. vistas separadas para requerimientos por región, por mes, por sede), hace que cualquier intento de actualización de librerías o diseño rompa el sistema en cascada. La refactorización en este escenario no es una mejora iterativa, es arqueología digital sin retorno de inversión.</w:t>
      </w:r>
    </w:p>
    <w:p w14:paraId="5F83EA0E" w14:textId="77777777" w:rsidR="00396B38" w:rsidRDefault="00396B38" w:rsidP="00396B38">
      <w:pPr>
        <w:pStyle w:val="NormalWeb"/>
        <w:jc w:val="both"/>
      </w:pPr>
      <w:r w:rsidRPr="00396B38">
        <w:rPr>
          <w:b/>
          <w:bCs/>
        </w:rPr>
        <w:t>4.2. Proyección de Eficiencia, Costos (HH) y Tiempos</w:t>
      </w:r>
    </w:p>
    <w:p w14:paraId="07CBFF89" w14:textId="4092EC66" w:rsidR="00396B38" w:rsidRPr="00396B38" w:rsidRDefault="00396B38" w:rsidP="00396B38">
      <w:pPr>
        <w:pStyle w:val="NormalWeb"/>
        <w:ind w:firstLine="360"/>
        <w:jc w:val="both"/>
      </w:pPr>
      <w:r w:rsidRPr="00396B38">
        <w:t>En la gestión de proyectos de desarrollo de software institucional, mantener un sistema monolítico con altos niveles de entropía técnica (deuda técnica acumulada) consume exponencialmente más Horas Hombre (HH) que desarrollar una solución nueva y estructurada.</w:t>
      </w:r>
    </w:p>
    <w:p w14:paraId="3816DC26" w14:textId="77777777" w:rsidR="00396B38" w:rsidRPr="00396B38" w:rsidRDefault="00396B38" w:rsidP="00396B38">
      <w:pPr>
        <w:pStyle w:val="NormalWeb"/>
        <w:numPr>
          <w:ilvl w:val="0"/>
          <w:numId w:val="19"/>
        </w:numPr>
        <w:jc w:val="both"/>
      </w:pPr>
      <w:r w:rsidRPr="00396B38">
        <w:rPr>
          <w:b/>
          <w:bCs/>
        </w:rPr>
        <w:t>Escenario de Refactorización:</w:t>
      </w:r>
      <w:r w:rsidRPr="00396B38">
        <w:t xml:space="preserve"> Cada "parche" de seguridad (como intentar ocultar los identificadores de la base de datos expuestos en las URLs) o cada nueva funcionalidad solicitada por las unidades, requerirá semanas de pruebas de regresión para asegurar que no se haya derribado otro módulo del sistema.</w:t>
      </w:r>
    </w:p>
    <w:p w14:paraId="60086C2E" w14:textId="77777777" w:rsidR="00396B38" w:rsidRDefault="00396B38" w:rsidP="00396B38">
      <w:pPr>
        <w:pStyle w:val="NormalWeb"/>
        <w:numPr>
          <w:ilvl w:val="0"/>
          <w:numId w:val="19"/>
        </w:numPr>
        <w:jc w:val="both"/>
      </w:pPr>
      <w:r w:rsidRPr="00396B38">
        <w:rPr>
          <w:b/>
          <w:bCs/>
        </w:rPr>
        <w:t>Escenario Greenfield (Reescritura):</w:t>
      </w:r>
      <w:r w:rsidRPr="00396B38">
        <w:t xml:space="preserve"> Un desarrollo desde cero bajo una arquitectura de microservicios permitirá a la Defensoría crear componentes reutilizables. Esto reducirá drásticamente los tiempos de despliegue futuro, facilitará la escalabilidad de los servidores y bajará los costos de mantenimiento preventivo a una fracción del gasto actual.</w:t>
      </w:r>
    </w:p>
    <w:p w14:paraId="24C44163" w14:textId="77777777" w:rsidR="00396B38" w:rsidRPr="00396B38" w:rsidRDefault="00396B38" w:rsidP="00396B38">
      <w:pPr>
        <w:pStyle w:val="NormalWeb"/>
        <w:jc w:val="both"/>
      </w:pPr>
    </w:p>
    <w:p w14:paraId="4C68C4A3" w14:textId="77777777" w:rsidR="00396B38" w:rsidRDefault="00396B38" w:rsidP="00396B38">
      <w:pPr>
        <w:pStyle w:val="NormalWeb"/>
        <w:jc w:val="both"/>
        <w:rPr>
          <w:b/>
          <w:bCs/>
        </w:rPr>
      </w:pPr>
      <w:r w:rsidRPr="00396B38">
        <w:rPr>
          <w:b/>
          <w:bCs/>
        </w:rPr>
        <w:lastRenderedPageBreak/>
        <w:t>4.3. Dictamen Final de Inviabilidad Técnica</w:t>
      </w:r>
    </w:p>
    <w:p w14:paraId="3E2AFA67" w14:textId="10DAB3A0" w:rsidR="00396B38" w:rsidRPr="00396B38" w:rsidRDefault="00396B38" w:rsidP="00396B38">
      <w:pPr>
        <w:pStyle w:val="NormalWeb"/>
        <w:ind w:firstLine="708"/>
        <w:jc w:val="both"/>
      </w:pPr>
      <w:r w:rsidRPr="00396B38">
        <w:t>Con base en la evidencia de fallas estructurales, vulnerabilidades de seguridad y el nulo aporte a la prevención de vulneraciones de NNA, se dictamina formalmente que el rescate, actualización o refactorización del ecosistema SIGER es técnicamente inviable y operativamente perjudicial para la institución.</w:t>
      </w:r>
    </w:p>
    <w:p w14:paraId="11D50528" w14:textId="77777777" w:rsidR="00396B38" w:rsidRPr="00396B38" w:rsidRDefault="00396B38" w:rsidP="00396B38">
      <w:pPr>
        <w:pStyle w:val="NormalWeb"/>
        <w:ind w:firstLine="708"/>
        <w:jc w:val="both"/>
      </w:pPr>
      <w:r w:rsidRPr="00396B38">
        <w:t>El esfuerzo en HH requerido para asegurar el tráfico, crear bases de datos íntegras y rediseñar la interfaz supera con creces el esfuerzo de diseñar un sistema nuevo que nazca cumpliendo los estándares de la industria. Se recomienda declarar el sistema legado en estado de "Mantenimiento Crítico Mínimo" (solo soporte para caídas, sin nuevos desarrollos) y reasignar los recursos tecnológicos de la Defensoría hacia la reescritura total de una plataforma moderna y unificada.</w:t>
      </w:r>
    </w:p>
    <w:p w14:paraId="6E743F3D" w14:textId="77777777" w:rsidR="00396B38" w:rsidRPr="00396B38" w:rsidRDefault="00396B38" w:rsidP="00396B38">
      <w:pPr>
        <w:pStyle w:val="NormalWeb"/>
        <w:jc w:val="both"/>
        <w:rPr>
          <w:b/>
          <w:bCs/>
        </w:rPr>
      </w:pPr>
      <w:r w:rsidRPr="00396B38">
        <w:rPr>
          <w:b/>
          <w:bCs/>
        </w:rPr>
        <w:t>5. Estrategia de Reingeniería y Modernización Tecnológica</w:t>
      </w:r>
    </w:p>
    <w:p w14:paraId="7CAAF8F9" w14:textId="77777777" w:rsidR="00396B38" w:rsidRPr="00396B38" w:rsidRDefault="00396B38" w:rsidP="00396B38">
      <w:pPr>
        <w:pStyle w:val="NormalWeb"/>
        <w:ind w:firstLine="708"/>
        <w:jc w:val="both"/>
      </w:pPr>
      <w:r w:rsidRPr="00396B38">
        <w:t>Tras declarar la inviabilidad técnica del ecosistema legado, se propone una hoja de ruta estratégica orientada a la construcción de una plataforma de nueva generación. El objetivo central es abandonar el modelo de "Mesa de Ayuda" estática para dotar a la Defensoría de la Niñez de un ecosistema tecnológico proactivo, seguro y alineado con su mandato legal.</w:t>
      </w:r>
    </w:p>
    <w:p w14:paraId="0B9F8A25" w14:textId="77777777" w:rsidR="00EC770B" w:rsidRDefault="00396B38" w:rsidP="00396B38">
      <w:pPr>
        <w:pStyle w:val="NormalWeb"/>
        <w:jc w:val="both"/>
        <w:rPr>
          <w:b/>
          <w:bCs/>
        </w:rPr>
      </w:pPr>
      <w:r w:rsidRPr="00396B38">
        <w:rPr>
          <w:b/>
          <w:bCs/>
        </w:rPr>
        <w:t>5.1. Cambio de Paradigma: Arquitectura Orientada al Dominio (Microservicios)</w:t>
      </w:r>
    </w:p>
    <w:p w14:paraId="461E655D" w14:textId="02837261" w:rsidR="00396B38" w:rsidRPr="00396B38" w:rsidRDefault="00396B38" w:rsidP="00EC770B">
      <w:pPr>
        <w:pStyle w:val="NormalWeb"/>
        <w:ind w:firstLine="360"/>
        <w:jc w:val="both"/>
      </w:pPr>
      <w:r w:rsidRPr="00396B38">
        <w:t>Para evitar repetir los errores estructurales del sistema anterior (monolitos acoplados), el nuevo desarrollo se fundamentará en una arquitectura distribuida. La institución se modelará tecnológicamente separando sus grandes áreas funcionales (dominios) en servicios independientes:</w:t>
      </w:r>
    </w:p>
    <w:p w14:paraId="172372D6" w14:textId="77777777" w:rsidR="00396B38" w:rsidRPr="00396B38" w:rsidRDefault="00396B38" w:rsidP="00396B38">
      <w:pPr>
        <w:pStyle w:val="NormalWeb"/>
        <w:numPr>
          <w:ilvl w:val="0"/>
          <w:numId w:val="20"/>
        </w:numPr>
        <w:jc w:val="both"/>
      </w:pPr>
      <w:r w:rsidRPr="00396B38">
        <w:rPr>
          <w:b/>
          <w:bCs/>
        </w:rPr>
        <w:t>Módulo de Protección y Restitución de Derechos:</w:t>
      </w:r>
      <w:r w:rsidRPr="00396B38">
        <w:t xml:space="preserve"> Un entorno dedicado exclusivamente al registro, seguimiento y alerta temprana de vulneraciones de NNA, con motores de reglas de negocio estrictos (SLAs reales) y validaciones de datos inflexibles.</w:t>
      </w:r>
    </w:p>
    <w:p w14:paraId="45F92B3F" w14:textId="77777777" w:rsidR="00396B38" w:rsidRPr="00396B38" w:rsidRDefault="00396B38" w:rsidP="00396B38">
      <w:pPr>
        <w:pStyle w:val="NormalWeb"/>
        <w:numPr>
          <w:ilvl w:val="0"/>
          <w:numId w:val="20"/>
        </w:numPr>
        <w:jc w:val="both"/>
      </w:pPr>
      <w:r w:rsidRPr="00396B38">
        <w:rPr>
          <w:b/>
          <w:bCs/>
        </w:rPr>
        <w:t>Módulo de Gestión Institucional y Documental:</w:t>
      </w:r>
      <w:r w:rsidRPr="00396B38">
        <w:t xml:space="preserve"> Un servicio paralelo encargado del flujo administrativo, derivaciones internas y manejo de oficios. Al separar estos dominios, si un área de la plataforma requiere mantención intensiva o experimenta alta carga, el resto de las operaciones críticas de la Defensoría a nivel nacional continuará funcionando sin interrupciones.</w:t>
      </w:r>
    </w:p>
    <w:p w14:paraId="7F453493" w14:textId="77777777" w:rsidR="00EC770B" w:rsidRDefault="00396B38" w:rsidP="00396B38">
      <w:pPr>
        <w:pStyle w:val="NormalWeb"/>
        <w:jc w:val="both"/>
      </w:pPr>
      <w:r w:rsidRPr="00396B38">
        <w:rPr>
          <w:b/>
          <w:bCs/>
        </w:rPr>
        <w:t>5.2. Levantamiento Nacional de Requerimientos (Enfoque de Procesos)</w:t>
      </w:r>
    </w:p>
    <w:p w14:paraId="02FCEFE0" w14:textId="4C9EB2FB" w:rsidR="00396B38" w:rsidRPr="00396B38" w:rsidRDefault="00396B38" w:rsidP="00EC770B">
      <w:pPr>
        <w:pStyle w:val="NormalWeb"/>
        <w:ind w:firstLine="360"/>
        <w:jc w:val="both"/>
      </w:pPr>
      <w:r w:rsidRPr="00396B38">
        <w:t>El diseño del nuevo ecosistema no se basará en calcar las pantallas del sistema antiguo, sino en un proceso intensivo de descubrimiento corporativo. Se ejecutará un levantamiento transversal en todos los departamentos y sedes a nivel nacional, bajo las siguientes directrices:</w:t>
      </w:r>
    </w:p>
    <w:p w14:paraId="3C8B0BA3" w14:textId="77777777" w:rsidR="00396B38" w:rsidRPr="00396B38" w:rsidRDefault="00396B38" w:rsidP="00396B38">
      <w:pPr>
        <w:pStyle w:val="NormalWeb"/>
        <w:numPr>
          <w:ilvl w:val="0"/>
          <w:numId w:val="21"/>
        </w:numPr>
        <w:jc w:val="both"/>
      </w:pPr>
      <w:r w:rsidRPr="00396B38">
        <w:rPr>
          <w:b/>
          <w:bCs/>
        </w:rPr>
        <w:lastRenderedPageBreak/>
        <w:t>Mapeo de Flujos de Trabajo (Workflows):</w:t>
      </w:r>
      <w:r w:rsidRPr="00396B38">
        <w:t xml:space="preserve"> Las entrevistas no se enfocarán en solicitar características de software, sino en documentar el "día a día" del funcionario. El sistema debe adaptarse a la operación real, no obligar al usuario a adaptar su trabajo al sistema.</w:t>
      </w:r>
    </w:p>
    <w:p w14:paraId="3D4A4CF3" w14:textId="77777777" w:rsidR="00396B38" w:rsidRPr="00396B38" w:rsidRDefault="00396B38" w:rsidP="00396B38">
      <w:pPr>
        <w:pStyle w:val="NormalWeb"/>
        <w:numPr>
          <w:ilvl w:val="0"/>
          <w:numId w:val="21"/>
        </w:numPr>
        <w:jc w:val="both"/>
      </w:pPr>
      <w:r w:rsidRPr="00396B38">
        <w:rPr>
          <w:b/>
          <w:bCs/>
        </w:rPr>
        <w:t>Detección de Fricción y "Sistemas en la Sombra" (Shadow IT):</w:t>
      </w:r>
      <w:r w:rsidRPr="00396B38">
        <w:t xml:space="preserve"> Se identificarán todos los procesos que actualmente los usuarios resuelven utilizando planillas de cálculo (Excel) u otras herramientas no oficiales debido a las limitantes del sistema actual. Estas necesidades ocultas formarán el núcleo funcional del nuevo desarrollo.</w:t>
      </w:r>
    </w:p>
    <w:p w14:paraId="3C0FABF2" w14:textId="77777777" w:rsidR="00EC770B" w:rsidRDefault="00396B38" w:rsidP="00396B38">
      <w:pPr>
        <w:pStyle w:val="NormalWeb"/>
        <w:jc w:val="both"/>
        <w:rPr>
          <w:b/>
          <w:bCs/>
        </w:rPr>
      </w:pPr>
      <w:r w:rsidRPr="00396B38">
        <w:rPr>
          <w:b/>
          <w:bCs/>
        </w:rPr>
        <w:t>5.3. Estandarización y Sistema de Diseño Único</w:t>
      </w:r>
    </w:p>
    <w:p w14:paraId="6676E3DC" w14:textId="31163583" w:rsidR="00396B38" w:rsidRPr="00396B38" w:rsidRDefault="00396B38" w:rsidP="00EC770B">
      <w:pPr>
        <w:pStyle w:val="NormalWeb"/>
        <w:ind w:firstLine="708"/>
        <w:jc w:val="both"/>
      </w:pPr>
      <w:r w:rsidRPr="00396B38">
        <w:t>Para erradicar la fragmentación visual actual y reducir drásticamente la curva de aprendizaje de los usuarios, la nueva arquitectura del cliente (</w:t>
      </w:r>
      <w:r w:rsidRPr="00396B38">
        <w:rPr>
          <w:i/>
          <w:iCs/>
        </w:rPr>
        <w:t>Front-end</w:t>
      </w:r>
      <w:r w:rsidRPr="00396B38">
        <w:t>) se construirá utilizando un único Sistema de Diseño institucional. Esto garantiza que todos los módulos futuros compartan la misma lógica de navegación, paleta de componentes, jerarquía de información y accesibilidad estandarizada, acelerando los tiempos de desarrollo de nuevas interfaces.</w:t>
      </w:r>
    </w:p>
    <w:p w14:paraId="6EC6ED23" w14:textId="77777777" w:rsidR="00EC770B" w:rsidRDefault="00396B38" w:rsidP="00396B38">
      <w:pPr>
        <w:pStyle w:val="NormalWeb"/>
        <w:jc w:val="both"/>
      </w:pPr>
      <w:r w:rsidRPr="00396B38">
        <w:rPr>
          <w:b/>
          <w:bCs/>
        </w:rPr>
        <w:t>5.4. Independencia y Soberanía Tecnológica</w:t>
      </w:r>
    </w:p>
    <w:p w14:paraId="44875A6C" w14:textId="19C98CE1" w:rsidR="004C7085" w:rsidRDefault="00396B38" w:rsidP="00EC770B">
      <w:pPr>
        <w:pStyle w:val="NormalWeb"/>
        <w:ind w:firstLine="708"/>
        <w:jc w:val="both"/>
      </w:pPr>
      <w:r w:rsidRPr="00396B38">
        <w:t>La nueva arquitectura exigirá el uso de tecnologías modernas, estables y auditables, separando de forma estricta la capa de interfaz de usuario de las bases de datos a través de APIs de comunicación seguras y cifradas. Este enfoque devuelve el control total de los datos y de la infraestructura a los equipos técnicos de la institución, eliminando la dependencia absoluta frente a proveedores externos de sistemas de caja negra.</w:t>
      </w:r>
    </w:p>
    <w:p w14:paraId="212F4D85" w14:textId="77777777" w:rsidR="00EC770B" w:rsidRPr="00EC770B" w:rsidRDefault="00EC770B" w:rsidP="00EC770B">
      <w:pPr>
        <w:pStyle w:val="NormalWeb"/>
        <w:jc w:val="both"/>
        <w:rPr>
          <w:b/>
          <w:bCs/>
        </w:rPr>
      </w:pPr>
      <w:r w:rsidRPr="00EC770B">
        <w:rPr>
          <w:b/>
          <w:bCs/>
        </w:rPr>
        <w:t>6. Plan de Transición y Mitigación de Riesgos (Estrategia de Migración)</w:t>
      </w:r>
    </w:p>
    <w:p w14:paraId="2EBD9B2B" w14:textId="66312507" w:rsidR="00EC770B" w:rsidRPr="00EC770B" w:rsidRDefault="00EC770B" w:rsidP="00EC770B">
      <w:pPr>
        <w:pStyle w:val="NormalWeb"/>
        <w:ind w:firstLine="708"/>
        <w:jc w:val="both"/>
      </w:pPr>
      <w:r w:rsidRPr="00EC770B">
        <w:t>El reemplazo de un sistema de misión crítica a nivel nacional no puede ejecutarse bajo un modelo de</w:t>
      </w:r>
      <w:r>
        <w:t xml:space="preserve"> </w:t>
      </w:r>
      <w:r w:rsidRPr="00EC770B">
        <w:t>apagón e inicio simultáneo, ya que esto genera un alto riesgo de interrupción operativa y rechazo por parte de los usuarios. Para garantizar una transición segura, fluida y sin pérdida de datos desde el ecosistema legado hacia la nueva plataforma, se implementará una estrategia de migración progresiva.</w:t>
      </w:r>
    </w:p>
    <w:p w14:paraId="21A5C015" w14:textId="77777777" w:rsidR="00EC770B" w:rsidRDefault="00EC770B" w:rsidP="00EC770B">
      <w:pPr>
        <w:pStyle w:val="NormalWeb"/>
        <w:jc w:val="both"/>
      </w:pPr>
      <w:r w:rsidRPr="00EC770B">
        <w:rPr>
          <w:b/>
          <w:bCs/>
        </w:rPr>
        <w:t>6.1. Implementación Gradual mediante el Patrón Estrangulador (</w:t>
      </w:r>
      <w:proofErr w:type="spellStart"/>
      <w:r w:rsidRPr="00EC770B">
        <w:rPr>
          <w:b/>
          <w:bCs/>
          <w:i/>
          <w:iCs/>
        </w:rPr>
        <w:t>Strangler</w:t>
      </w:r>
      <w:proofErr w:type="spellEnd"/>
      <w:r w:rsidRPr="00EC770B">
        <w:rPr>
          <w:b/>
          <w:bCs/>
          <w:i/>
          <w:iCs/>
        </w:rPr>
        <w:t xml:space="preserve"> Fig </w:t>
      </w:r>
      <w:proofErr w:type="spellStart"/>
      <w:r w:rsidRPr="00EC770B">
        <w:rPr>
          <w:b/>
          <w:bCs/>
          <w:i/>
          <w:iCs/>
        </w:rPr>
        <w:t>Pattern</w:t>
      </w:r>
      <w:proofErr w:type="spellEnd"/>
      <w:r w:rsidRPr="00EC770B">
        <w:rPr>
          <w:b/>
          <w:bCs/>
        </w:rPr>
        <w:t>)</w:t>
      </w:r>
      <w:r w:rsidRPr="00EC770B">
        <w:t xml:space="preserve"> </w:t>
      </w:r>
    </w:p>
    <w:p w14:paraId="3AF68EC6" w14:textId="066667B8" w:rsidR="00EC770B" w:rsidRPr="00EC770B" w:rsidRDefault="00EC770B" w:rsidP="00EC770B">
      <w:pPr>
        <w:pStyle w:val="NormalWeb"/>
        <w:ind w:firstLine="360"/>
        <w:jc w:val="both"/>
      </w:pPr>
      <w:r w:rsidRPr="00EC770B">
        <w:t>La transición técnica se regirá por el "Patrón Estrangulador", una metodología estándar en la modernización de arquitecturas monolíticas. El proceso consiste en:</w:t>
      </w:r>
    </w:p>
    <w:p w14:paraId="1FD006B7" w14:textId="77777777" w:rsidR="00EC770B" w:rsidRPr="00EC770B" w:rsidRDefault="00EC770B" w:rsidP="00EC770B">
      <w:pPr>
        <w:pStyle w:val="NormalWeb"/>
        <w:numPr>
          <w:ilvl w:val="0"/>
          <w:numId w:val="22"/>
        </w:numPr>
        <w:jc w:val="both"/>
      </w:pPr>
      <w:r w:rsidRPr="00EC770B">
        <w:rPr>
          <w:b/>
          <w:bCs/>
        </w:rPr>
        <w:t>Desarrollo Perimetral:</w:t>
      </w:r>
      <w:r w:rsidRPr="00EC770B">
        <w:t xml:space="preserve"> Los nuevos módulos funcionales se construirán y desplegarán de forma independiente alrededor del sistema antiguo.</w:t>
      </w:r>
    </w:p>
    <w:p w14:paraId="0A9E6A95" w14:textId="77777777" w:rsidR="00EC770B" w:rsidRPr="00EC770B" w:rsidRDefault="00EC770B" w:rsidP="00EC770B">
      <w:pPr>
        <w:pStyle w:val="NormalWeb"/>
        <w:numPr>
          <w:ilvl w:val="0"/>
          <w:numId w:val="22"/>
        </w:numPr>
        <w:jc w:val="both"/>
      </w:pPr>
      <w:r w:rsidRPr="00EC770B">
        <w:rPr>
          <w:b/>
          <w:bCs/>
        </w:rPr>
        <w:t>Reemplazo Módulo a Módulo:</w:t>
      </w:r>
      <w:r w:rsidRPr="00EC770B">
        <w:t xml:space="preserve"> A medida que un nuevo servicio (por ejemplo, el módulo de ingreso de requerimientos) esté listo y validado, se redirigirá a los usuarios hacia la nueva interfaz para esa tarea específica. El resto de las operaciones continuará temporalmente en el sistema antiguo.</w:t>
      </w:r>
    </w:p>
    <w:p w14:paraId="7A6B9045" w14:textId="77777777" w:rsidR="00EC770B" w:rsidRPr="00EC770B" w:rsidRDefault="00EC770B" w:rsidP="00EC770B">
      <w:pPr>
        <w:pStyle w:val="NormalWeb"/>
        <w:numPr>
          <w:ilvl w:val="0"/>
          <w:numId w:val="22"/>
        </w:numPr>
        <w:jc w:val="both"/>
      </w:pPr>
      <w:r w:rsidRPr="00EC770B">
        <w:rPr>
          <w:b/>
          <w:bCs/>
        </w:rPr>
        <w:lastRenderedPageBreak/>
        <w:t>Estrangulamiento del Monolito:</w:t>
      </w:r>
      <w:r w:rsidRPr="00EC770B">
        <w:t xml:space="preserve"> Progresivamente, la nueva arquitectura absorberá todas las funcionalidades del sistema legado hasta que este último quede sin tráfico y pueda ser desconectado de forma segura.</w:t>
      </w:r>
    </w:p>
    <w:p w14:paraId="79417A4B" w14:textId="77777777" w:rsidR="00EC770B" w:rsidRDefault="00EC770B" w:rsidP="00EC770B">
      <w:pPr>
        <w:pStyle w:val="NormalWeb"/>
        <w:jc w:val="both"/>
      </w:pPr>
      <w:r w:rsidRPr="00EC770B">
        <w:rPr>
          <w:b/>
          <w:bCs/>
        </w:rPr>
        <w:t>6.2. Estrategia de Convivencia Temporal y Sincronización de Datos</w:t>
      </w:r>
    </w:p>
    <w:p w14:paraId="0B8AA579" w14:textId="5733CCB7" w:rsidR="00EC770B" w:rsidRPr="00EC770B" w:rsidRDefault="00EC770B" w:rsidP="00EC770B">
      <w:pPr>
        <w:pStyle w:val="NormalWeb"/>
        <w:ind w:firstLine="360"/>
        <w:jc w:val="both"/>
      </w:pPr>
      <w:r w:rsidRPr="00EC770B">
        <w:t>Durante los meses que dure la transición, el sistema nuevo y el antiguo deberán coexistir de manera transparente para el usuario.</w:t>
      </w:r>
    </w:p>
    <w:p w14:paraId="60FAD6EA" w14:textId="77777777" w:rsidR="00EC770B" w:rsidRPr="00EC770B" w:rsidRDefault="00EC770B" w:rsidP="00EC770B">
      <w:pPr>
        <w:pStyle w:val="NormalWeb"/>
        <w:numPr>
          <w:ilvl w:val="0"/>
          <w:numId w:val="23"/>
        </w:numPr>
        <w:jc w:val="both"/>
      </w:pPr>
      <w:r w:rsidRPr="00EC770B">
        <w:rPr>
          <w:b/>
          <w:bCs/>
        </w:rPr>
        <w:t>Sincronización Bidireccional:</w:t>
      </w:r>
      <w:r w:rsidRPr="00EC770B">
        <w:t xml:space="preserve"> Se desarrollarán </w:t>
      </w:r>
      <w:r w:rsidRPr="00EC770B">
        <w:rPr>
          <w:i/>
          <w:iCs/>
        </w:rPr>
        <w:t>scripts</w:t>
      </w:r>
      <w:r w:rsidRPr="00EC770B">
        <w:t xml:space="preserve"> de migración y sincronización asíncrona (ETL - Extracción, Transformación y Carga) que aseguren que cualquier registro ingresado en la plataforma nueva se refleje en la base de datos antigua, y viceversa. Esto garantiza la integridad referencial y permite auditorías cruzadas sin pérdida de información histórica.</w:t>
      </w:r>
    </w:p>
    <w:p w14:paraId="1213C58C" w14:textId="1CF3A66C" w:rsidR="00EC770B" w:rsidRPr="00EC770B" w:rsidRDefault="00EC770B" w:rsidP="00EC770B">
      <w:pPr>
        <w:pStyle w:val="NormalWeb"/>
        <w:numPr>
          <w:ilvl w:val="0"/>
          <w:numId w:val="23"/>
        </w:numPr>
        <w:jc w:val="both"/>
      </w:pPr>
      <w:r w:rsidRPr="00EC770B">
        <w:rPr>
          <w:b/>
          <w:bCs/>
        </w:rPr>
        <w:t>Saneamiento de Datos:</w:t>
      </w:r>
      <w:r w:rsidRPr="00EC770B">
        <w:t xml:space="preserve"> La migración no será un volcado ciego. Se aprovechará el traspaso para limpiar la "basura digital" (registros huérfanos, fechas mal calculadas y entidades duplicadas) generada por la falta de validaciones del sistema anterior.</w:t>
      </w:r>
    </w:p>
    <w:p w14:paraId="361E9B81" w14:textId="77777777" w:rsidR="00EC770B" w:rsidRDefault="00EC770B" w:rsidP="00EC770B">
      <w:pPr>
        <w:pStyle w:val="NormalWeb"/>
        <w:jc w:val="both"/>
        <w:rPr>
          <w:b/>
          <w:bCs/>
        </w:rPr>
      </w:pPr>
      <w:r w:rsidRPr="00EC770B">
        <w:rPr>
          <w:b/>
          <w:bCs/>
        </w:rPr>
        <w:t>6.3. Gestión del Cambio y Despliegue en Marcha Blanca</w:t>
      </w:r>
    </w:p>
    <w:p w14:paraId="1B8E4CFA" w14:textId="4F407562" w:rsidR="00EC770B" w:rsidRPr="00EC770B" w:rsidRDefault="00EC770B" w:rsidP="00EC770B">
      <w:pPr>
        <w:pStyle w:val="NormalWeb"/>
        <w:ind w:firstLine="360"/>
        <w:jc w:val="both"/>
      </w:pPr>
      <w:r w:rsidRPr="00EC770B">
        <w:t>Para asegurar la adopción tecnológica y mitigar la fricción humana:</w:t>
      </w:r>
    </w:p>
    <w:p w14:paraId="3D2BC061" w14:textId="76E4226A" w:rsidR="00EC770B" w:rsidRPr="00EC770B" w:rsidRDefault="00EC770B" w:rsidP="00EC770B">
      <w:pPr>
        <w:pStyle w:val="NormalWeb"/>
        <w:numPr>
          <w:ilvl w:val="0"/>
          <w:numId w:val="24"/>
        </w:numPr>
        <w:jc w:val="both"/>
      </w:pPr>
      <w:r w:rsidRPr="00EC770B">
        <w:rPr>
          <w:b/>
          <w:bCs/>
        </w:rPr>
        <w:t>Grupos Piloto:</w:t>
      </w:r>
      <w:r w:rsidRPr="00EC770B">
        <w:t xml:space="preserve"> Las nuevas interfaces se liberarán primero a un grupo seleccionado de usuarios clave dentro de las unidades operativas, quienes validarán los flujos en un entorno real.</w:t>
      </w:r>
    </w:p>
    <w:p w14:paraId="52800D7F" w14:textId="77777777" w:rsidR="00EC770B" w:rsidRPr="00EC770B" w:rsidRDefault="00EC770B" w:rsidP="00EC770B">
      <w:pPr>
        <w:pStyle w:val="NormalWeb"/>
        <w:numPr>
          <w:ilvl w:val="0"/>
          <w:numId w:val="24"/>
        </w:numPr>
        <w:jc w:val="both"/>
      </w:pPr>
      <w:r w:rsidRPr="00EC770B">
        <w:rPr>
          <w:b/>
          <w:bCs/>
        </w:rPr>
        <w:t>Capacitación Continua:</w:t>
      </w:r>
      <w:r w:rsidRPr="00EC770B">
        <w:t xml:space="preserve"> El uso de un Sistema de Diseño unificado y estandarizado reducirá drásticamente la curva de aprendizaje, permitiendo que la capacitación se enfoque en los nuevos procesos institucionales y no en "cómo usar los botones".</w:t>
      </w:r>
    </w:p>
    <w:p w14:paraId="56D66D41" w14:textId="77777777" w:rsidR="00EC770B" w:rsidRDefault="00EC770B" w:rsidP="00EC770B">
      <w:pPr>
        <w:pStyle w:val="NormalWeb"/>
        <w:jc w:val="both"/>
      </w:pPr>
      <w:r w:rsidRPr="00EC770B">
        <w:rPr>
          <w:b/>
          <w:bCs/>
        </w:rPr>
        <w:t>6.4. Apagado Definitivo (</w:t>
      </w:r>
      <w:r w:rsidRPr="00EC770B">
        <w:rPr>
          <w:b/>
          <w:bCs/>
          <w:i/>
          <w:iCs/>
        </w:rPr>
        <w:t>Sunset</w:t>
      </w:r>
      <w:r w:rsidRPr="00EC770B">
        <w:rPr>
          <w:b/>
          <w:bCs/>
        </w:rPr>
        <w:t xml:space="preserve"> del Sistema Legado)</w:t>
      </w:r>
    </w:p>
    <w:p w14:paraId="1592AD30" w14:textId="38F52593" w:rsidR="008D2146" w:rsidRDefault="00EC770B" w:rsidP="00EC770B">
      <w:pPr>
        <w:pStyle w:val="NormalWeb"/>
        <w:ind w:firstLine="708"/>
        <w:jc w:val="both"/>
      </w:pPr>
      <w:r w:rsidRPr="00EC770B">
        <w:t>Una vez que el 100% de la carga operativa haya sido absorbida por el nuevo ecosistema y se valide la integridad de la base de datos consolidada, se procederá al apagado programado de los servidores del sistema antiguo. A partir de este hito, la Defensoría de la Niñez operará exclusivamente bajo la nueva arquitectura distribuida, garantizando seguridad, rendimiento y escalabilidad a largo plazo.</w:t>
      </w:r>
    </w:p>
    <w:p w14:paraId="515B5C6A" w14:textId="7454A1CC" w:rsidR="00EC770B" w:rsidRPr="00EC770B" w:rsidRDefault="008D2146" w:rsidP="008D2146">
      <w:pPr>
        <w:rPr>
          <w:rFonts w:ascii="Times New Roman" w:eastAsia="Times New Roman" w:hAnsi="Times New Roman" w:cs="Times New Roman"/>
          <w:kern w:val="0"/>
          <w:lang w:eastAsia="es-CL"/>
          <w14:ligatures w14:val="none"/>
        </w:rPr>
      </w:pPr>
      <w:r>
        <w:br w:type="page"/>
      </w:r>
    </w:p>
    <w:p w14:paraId="7B629D98" w14:textId="7B9D43ED" w:rsidR="008D2146" w:rsidRPr="008D2146" w:rsidRDefault="008D2146" w:rsidP="008D2146">
      <w:pPr>
        <w:pStyle w:val="NormalWeb"/>
        <w:jc w:val="both"/>
        <w:rPr>
          <w:b/>
          <w:bCs/>
        </w:rPr>
      </w:pPr>
      <w:r w:rsidRPr="008D2146">
        <w:rPr>
          <w:b/>
          <w:bCs/>
        </w:rPr>
        <w:lastRenderedPageBreak/>
        <w:t xml:space="preserve">7. </w:t>
      </w:r>
      <w:r w:rsidR="000A2EF1" w:rsidRPr="008D2146">
        <w:rPr>
          <w:b/>
          <w:bCs/>
        </w:rPr>
        <w:t>Conclusione</w:t>
      </w:r>
      <w:r w:rsidR="000A2EF1">
        <w:rPr>
          <w:b/>
          <w:bCs/>
        </w:rPr>
        <w:t>s</w:t>
      </w:r>
    </w:p>
    <w:p w14:paraId="1144BBAB" w14:textId="7253EC7A" w:rsidR="008D2146" w:rsidRPr="008D2146" w:rsidRDefault="008D2146" w:rsidP="008D2146">
      <w:pPr>
        <w:pStyle w:val="NormalWeb"/>
        <w:ind w:firstLine="708"/>
        <w:jc w:val="both"/>
      </w:pPr>
      <w:r w:rsidRPr="008D2146">
        <w:t>Tras el análisis detallado de la infraestructura de software, la arquitectura de datos y los protocolos de seguridad del sistema legado</w:t>
      </w:r>
      <w:r w:rsidR="000A2EF1">
        <w:t xml:space="preserve"> (SIGER)</w:t>
      </w:r>
      <w:r w:rsidRPr="008D2146">
        <w:t xml:space="preserve">, se emite el siguiente </w:t>
      </w:r>
      <w:r w:rsidR="000A2EF1">
        <w:t>informe</w:t>
      </w:r>
      <w:r w:rsidRPr="008D2146">
        <w:t xml:space="preserve"> integral:</w:t>
      </w:r>
    </w:p>
    <w:p w14:paraId="7BAF6FD4" w14:textId="77777777" w:rsidR="008D2146" w:rsidRDefault="008D2146" w:rsidP="008D2146">
      <w:pPr>
        <w:pStyle w:val="NormalWeb"/>
        <w:jc w:val="both"/>
        <w:rPr>
          <w:b/>
          <w:bCs/>
        </w:rPr>
      </w:pPr>
      <w:r w:rsidRPr="008D2146">
        <w:rPr>
          <w:b/>
          <w:bCs/>
        </w:rPr>
        <w:t xml:space="preserve">7.1. Imperativo Ético y </w:t>
      </w:r>
      <w:r w:rsidRPr="008D2146">
        <w:rPr>
          <w:b/>
          <w:bCs/>
        </w:rPr>
        <w:t>Misional</w:t>
      </w:r>
      <w:r w:rsidRPr="008D2146">
        <w:rPr>
          <w:b/>
          <w:bCs/>
        </w:rPr>
        <w:t>: De la Reacción a la Protección Efectiva</w:t>
      </w:r>
      <w:r>
        <w:rPr>
          <w:b/>
          <w:bCs/>
        </w:rPr>
        <w:t xml:space="preserve"> </w:t>
      </w:r>
    </w:p>
    <w:p w14:paraId="14E054E2" w14:textId="2C8328C0" w:rsidR="008D2146" w:rsidRPr="008D2146" w:rsidRDefault="000A2EF1" w:rsidP="000A2EF1">
      <w:pPr>
        <w:pStyle w:val="NormalWeb"/>
        <w:ind w:firstLine="708"/>
        <w:jc w:val="both"/>
        <w:rPr>
          <w:b/>
          <w:bCs/>
        </w:rPr>
      </w:pPr>
      <w:r w:rsidRPr="008D2146">
        <w:t xml:space="preserve">El sistema actual falla en su labor de seguimiento y </w:t>
      </w:r>
      <w:r>
        <w:t>monitoreo</w:t>
      </w:r>
      <w:r w:rsidRPr="008D2146">
        <w:t xml:space="preserve">, al no permitir un levantamiento de alertas </w:t>
      </w:r>
      <w:r>
        <w:t xml:space="preserve">preventivas y </w:t>
      </w:r>
      <w:r w:rsidRPr="008D2146">
        <w:t>efica</w:t>
      </w:r>
      <w:r>
        <w:t>z</w:t>
      </w:r>
      <w:r w:rsidRPr="008D2146">
        <w:t xml:space="preserve"> para activar procedimientos</w:t>
      </w:r>
      <w:r>
        <w:t xml:space="preserve">, en casos </w:t>
      </w:r>
      <w:r w:rsidRPr="008D2146">
        <w:t>reforzados</w:t>
      </w:r>
      <w:r>
        <w:t>. En este marco, l</w:t>
      </w:r>
      <w:r w:rsidR="008D2146" w:rsidRPr="008D2146">
        <w:t>a Ley 21.430 establece que el objeto del sistema es la garantía y protección integral de los derechos de los niños, niñas y adolescentes</w:t>
      </w:r>
      <w:r>
        <w:t xml:space="preserve"> (NNA) desde un enfoque preventivo</w:t>
      </w:r>
      <w:r w:rsidR="008D2146" w:rsidRPr="008D2146">
        <w:t xml:space="preserve">. </w:t>
      </w:r>
      <w:r>
        <w:t xml:space="preserve">El </w:t>
      </w:r>
      <w:r w:rsidR="008D2146" w:rsidRPr="008D2146">
        <w:t xml:space="preserve">software </w:t>
      </w:r>
      <w:r>
        <w:t xml:space="preserve">institucional </w:t>
      </w:r>
      <w:r w:rsidR="008D2146" w:rsidRPr="008D2146">
        <w:t xml:space="preserve">opera </w:t>
      </w:r>
      <w:r>
        <w:t xml:space="preserve">como un archivador </w:t>
      </w:r>
      <w:r w:rsidR="008D2146" w:rsidRPr="008D2146">
        <w:t xml:space="preserve">reactivo e </w:t>
      </w:r>
      <w:r w:rsidR="00935658" w:rsidRPr="008D2146">
        <w:t xml:space="preserve">ineficiente </w:t>
      </w:r>
      <w:r w:rsidR="00935658">
        <w:t>con</w:t>
      </w:r>
      <w:r>
        <w:t xml:space="preserve"> el enfoque de derechos y su lógica </w:t>
      </w:r>
      <w:r w:rsidR="008D2146" w:rsidRPr="008D2146">
        <w:t>contraviene el deber del Estado de adoptar todas las medidas administrativas necesarias.</w:t>
      </w:r>
      <w:r>
        <w:t xml:space="preserve"> El interés superior del Niño demanda una lógica donde la evaluación integral de la información pase de un simple archivo a</w:t>
      </w:r>
      <w:r w:rsidR="008D2146" w:rsidRPr="008D2146">
        <w:t xml:space="preserve"> </w:t>
      </w:r>
      <w:r>
        <w:t>u</w:t>
      </w:r>
      <w:r w:rsidR="008D2146" w:rsidRPr="008D2146">
        <w:t xml:space="preserve">n </w:t>
      </w:r>
      <w:r>
        <w:t>sistema integral de evaluación de todos los elementos de interés de uno o varios Niño</w:t>
      </w:r>
      <w:r w:rsidR="00935658">
        <w:t>s</w:t>
      </w:r>
      <w:r>
        <w:t xml:space="preserve"> en una situación concreta</w:t>
      </w:r>
      <w:r w:rsidR="00935658">
        <w:t>. La lógica de su operatividad en términos informáticos requiere operativizar la voz de los niños en el sistema de gestión de requerimientos, comprendiendo la participación como eje central para la adopción de acciones institucionales lo que hoy en día no es posible con SIGER.</w:t>
      </w:r>
      <w:r w:rsidR="008D2146" w:rsidRPr="008D2146">
        <w:t xml:space="preserve"> </w:t>
      </w:r>
      <w:r w:rsidR="00935658">
        <w:t>Es indispensable</w:t>
      </w:r>
      <w:r w:rsidR="008D2146" w:rsidRPr="008D2146">
        <w:t xml:space="preserve"> para cumplir con el principio del Interés Superior del Niño, </w:t>
      </w:r>
      <w:r w:rsidR="00935658">
        <w:t>tener un instrumento informático que cumpla con modernizar a la Defensoría de los Derechos de la Niñez.</w:t>
      </w:r>
    </w:p>
    <w:p w14:paraId="309942EB" w14:textId="77777777" w:rsidR="008D2146" w:rsidRDefault="008D2146" w:rsidP="008D2146">
      <w:pPr>
        <w:pStyle w:val="NormalWeb"/>
        <w:jc w:val="both"/>
      </w:pPr>
      <w:r w:rsidRPr="008D2146">
        <w:rPr>
          <w:b/>
          <w:bCs/>
        </w:rPr>
        <w:t>7.2. Responsabilidad Legal y Administrativa: El Riesgo de la Negligencia</w:t>
      </w:r>
      <w:r w:rsidRPr="008D2146">
        <w:t xml:space="preserve"> </w:t>
      </w:r>
    </w:p>
    <w:p w14:paraId="7D2519B2" w14:textId="72E92D77" w:rsidR="008D2146" w:rsidRPr="008D2146" w:rsidRDefault="008D2146" w:rsidP="006E4DA0">
      <w:pPr>
        <w:pStyle w:val="NormalWeb"/>
        <w:jc w:val="both"/>
      </w:pPr>
      <w:r w:rsidRPr="008D2146">
        <w:t xml:space="preserve">La normativa vigente </w:t>
      </w:r>
      <w:r w:rsidR="00935658">
        <w:t>en su artículo 33, 34 y 64 de la ley 21.430</w:t>
      </w:r>
      <w:r w:rsidRPr="008D2146">
        <w:t xml:space="preserve"> respecto al deber de reserva y confidencialidad en el tratamiento de información de </w:t>
      </w:r>
      <w:r w:rsidR="00935658">
        <w:t>NNA es el marco orientador.</w:t>
      </w:r>
      <w:r w:rsidRPr="008D2146">
        <w:t xml:space="preserve"> </w:t>
      </w:r>
      <w:r w:rsidR="00935658">
        <w:t>Esto, por cuanto el sistema actual en su arquitectura</w:t>
      </w:r>
      <w:r w:rsidRPr="008D2146">
        <w:t xml:space="preserve"> presenta brechas de seguridad críticas (como la exposición de identificadores en URLs y la falta de cifrado interno) que vulneran gravemente este deber.</w:t>
      </w:r>
      <w:r w:rsidR="006E4DA0">
        <w:t xml:space="preserve"> </w:t>
      </w:r>
      <w:r w:rsidR="006E4DA0" w:rsidRPr="006E4DA0">
        <w:t>SIGER</w:t>
      </w:r>
      <w:r w:rsidR="006E4DA0">
        <w:t>, el sistema</w:t>
      </w:r>
      <w:r w:rsidR="006E4DA0" w:rsidRPr="008D2146">
        <w:t xml:space="preserve"> oculta la realidad mediante "registros fantasmas" o métricas incompletas</w:t>
      </w:r>
      <w:r w:rsidR="006E4DA0">
        <w:t>, lo que</w:t>
      </w:r>
      <w:r w:rsidR="006E4DA0" w:rsidRPr="008D2146">
        <w:t xml:space="preserve"> impide el cumplimiento de este deber legal, exponiendo a la Institución y a su personal</w:t>
      </w:r>
      <w:r w:rsidR="006E4DA0">
        <w:t xml:space="preserve"> a eventuales</w:t>
      </w:r>
      <w:r w:rsidR="006E4DA0" w:rsidRPr="008D2146">
        <w:t xml:space="preserve"> sanciones </w:t>
      </w:r>
      <w:r w:rsidR="006E4DA0">
        <w:t>por posible incumplimiento de la Ley Marco</w:t>
      </w:r>
      <w:r w:rsidR="006E4DA0" w:rsidRPr="008D2146">
        <w:t>.</w:t>
      </w:r>
      <w:r w:rsidR="006E4DA0">
        <w:t xml:space="preserve"> Este fenómeno en la arquitectura se explica en el punto </w:t>
      </w:r>
      <w:r w:rsidR="006E4DA0" w:rsidRPr="004C7085">
        <w:rPr>
          <w:b/>
          <w:bCs/>
        </w:rPr>
        <w:t>2.4. Fricción Operativa y Falla Misional</w:t>
      </w:r>
      <w:r w:rsidR="006E4DA0">
        <w:t xml:space="preserve">. </w:t>
      </w:r>
      <w:r w:rsidRPr="008D2146">
        <w:t>Asimismo,</w:t>
      </w:r>
      <w:r w:rsidR="006E4DA0">
        <w:t xml:space="preserve"> este sistema de registros tensiona la obligación de</w:t>
      </w:r>
      <w:r w:rsidRPr="008D2146">
        <w:t xml:space="preserve"> los funcionarios públicos </w:t>
      </w:r>
      <w:r w:rsidR="006E4DA0">
        <w:t>respecto a denunciar toda situación que</w:t>
      </w:r>
      <w:r w:rsidRPr="008D2146">
        <w:t xml:space="preserve"> amenace los derechos de los </w:t>
      </w:r>
      <w:r w:rsidRPr="008D2146">
        <w:t>NNA</w:t>
      </w:r>
      <w:r>
        <w:t>.</w:t>
      </w:r>
      <w:r w:rsidRPr="008D2146">
        <w:t xml:space="preserve"> </w:t>
      </w:r>
    </w:p>
    <w:p w14:paraId="185ED9E7" w14:textId="77777777" w:rsidR="008D2146" w:rsidRDefault="008D2146" w:rsidP="008D2146">
      <w:pPr>
        <w:pStyle w:val="NormalWeb"/>
        <w:jc w:val="both"/>
      </w:pPr>
      <w:r w:rsidRPr="008D2146">
        <w:rPr>
          <w:b/>
          <w:bCs/>
        </w:rPr>
        <w:t>7.3. Soberanía Tecnológica y Eficiencia en el Gasto Público</w:t>
      </w:r>
    </w:p>
    <w:p w14:paraId="5AC1D312" w14:textId="77777777" w:rsidR="00CB6612" w:rsidRDefault="008D2146" w:rsidP="008D2146">
      <w:pPr>
        <w:pStyle w:val="NormalWeb"/>
        <w:ind w:firstLine="708"/>
        <w:jc w:val="both"/>
      </w:pPr>
      <w:r w:rsidRPr="008D2146">
        <w:t xml:space="preserve">El Estado tiene la obligación de asegurar </w:t>
      </w:r>
      <w:r w:rsidR="006E4DA0">
        <w:t xml:space="preserve">y garantizar el goce de los derechos fundamentales, de conformidad al bloque constitucional de Derechos Humanos y en </w:t>
      </w:r>
      <w:r w:rsidR="006E4DA0" w:rsidRPr="008D2146">
        <w:t>aplicación</w:t>
      </w:r>
      <w:r w:rsidRPr="008D2146">
        <w:t xml:space="preserve"> </w:t>
      </w:r>
      <w:r w:rsidR="006E4DA0">
        <w:t xml:space="preserve">de los principios orientadores de la ley 18.575 (responsabilidad, </w:t>
      </w:r>
      <w:r w:rsidRPr="008D2146">
        <w:t>efi</w:t>
      </w:r>
      <w:r w:rsidR="006E4DA0">
        <w:t>ciencia</w:t>
      </w:r>
      <w:r w:rsidRPr="008D2146">
        <w:t>, efic</w:t>
      </w:r>
      <w:r w:rsidR="006E4DA0">
        <w:t>acia)</w:t>
      </w:r>
      <w:r w:rsidRPr="008D2146">
        <w:t xml:space="preserve"> </w:t>
      </w:r>
      <w:r w:rsidR="006E4DA0">
        <w:t xml:space="preserve">implicando un uso coherente de los recursos públicos. </w:t>
      </w:r>
      <w:r w:rsidR="00CB6612">
        <w:t>En este contexto, la Defensoría no debiera continuar</w:t>
      </w:r>
      <w:r w:rsidRPr="008D2146">
        <w:t xml:space="preserve"> financiando el soporte de una estructura monolítica, obsoleta y fragmentada</w:t>
      </w:r>
      <w:r w:rsidR="00CB6612">
        <w:t>, que</w:t>
      </w:r>
      <w:r w:rsidRPr="008D2146">
        <w:t xml:space="preserve"> representa una gestión ineficiente de los activos institucionales. </w:t>
      </w:r>
    </w:p>
    <w:p w14:paraId="1357B954" w14:textId="599E1ABB" w:rsidR="008D2146" w:rsidRPr="008D2146" w:rsidRDefault="00CB6612" w:rsidP="008D2146">
      <w:pPr>
        <w:pStyle w:val="NormalWeb"/>
        <w:ind w:firstLine="708"/>
        <w:jc w:val="both"/>
      </w:pPr>
      <w:r>
        <w:lastRenderedPageBreak/>
        <w:t>Por lo tanto, s</w:t>
      </w:r>
      <w:r w:rsidR="006E4DA0">
        <w:t>e propone</w:t>
      </w:r>
      <w:r w:rsidR="008D2146" w:rsidRPr="008D2146">
        <w:t xml:space="preserve"> </w:t>
      </w:r>
      <w:r>
        <w:t>una</w:t>
      </w:r>
      <w:r w:rsidR="008D2146" w:rsidRPr="008D2146">
        <w:t xml:space="preserve"> reingeniería </w:t>
      </w:r>
      <w:r>
        <w:t xml:space="preserve">robusta bajo el Marco de una </w:t>
      </w:r>
      <w:r w:rsidR="008D2146" w:rsidRPr="008D2146">
        <w:t>arquitectura soberana y de propiedad institucional</w:t>
      </w:r>
      <w:r>
        <w:t>, lo que permite a la</w:t>
      </w:r>
      <w:r w:rsidR="008D2146" w:rsidRPr="008D2146">
        <w:t xml:space="preserve"> Defensoría </w:t>
      </w:r>
      <w:r>
        <w:t>responder a</w:t>
      </w:r>
      <w:r w:rsidR="008D2146" w:rsidRPr="008D2146">
        <w:t xml:space="preserve"> la </w:t>
      </w:r>
      <w:r>
        <w:t>lógica de moderniación de su propio Plan Estratégico Institucional, otorgando en su diseño la</w:t>
      </w:r>
      <w:r w:rsidR="008D2146" w:rsidRPr="008D2146">
        <w:t xml:space="preserve"> escalabilidad necesaria para </w:t>
      </w:r>
      <w:r>
        <w:t xml:space="preserve">enfrentar </w:t>
      </w:r>
      <w:r w:rsidR="008D2146" w:rsidRPr="008D2146">
        <w:t xml:space="preserve">los desafíos futuros </w:t>
      </w:r>
      <w:r>
        <w:t>de la institución, con pertinencia territorial y de acuerdo a las necesidades de cada unidad, que respondan rápidamente a los cambios socioculturales, fortaleciendo el rol garante de la institución profundizando su mandato de supervigilante con enfoque transversal y sistémico.</w:t>
      </w:r>
    </w:p>
    <w:p w14:paraId="0780F072" w14:textId="77777777" w:rsidR="00A66286" w:rsidRDefault="00A66286" w:rsidP="008D2146">
      <w:pPr>
        <w:pStyle w:val="NormalWeb"/>
        <w:jc w:val="both"/>
        <w:rPr>
          <w:b/>
          <w:bCs/>
        </w:rPr>
      </w:pPr>
    </w:p>
    <w:p w14:paraId="276D8224" w14:textId="07B71EE6" w:rsidR="008D2146" w:rsidRPr="008D2146" w:rsidRDefault="00CB6612" w:rsidP="008D2146">
      <w:pPr>
        <w:pStyle w:val="NormalWeb"/>
        <w:jc w:val="both"/>
      </w:pPr>
      <w:r>
        <w:rPr>
          <w:b/>
          <w:bCs/>
        </w:rPr>
        <w:t>Recomendación</w:t>
      </w:r>
      <w:r w:rsidR="008D2146" w:rsidRPr="008D2146">
        <w:rPr>
          <w:b/>
          <w:bCs/>
        </w:rPr>
        <w:t xml:space="preserve"> Final:</w:t>
      </w:r>
    </w:p>
    <w:p w14:paraId="2F266284" w14:textId="435434BE" w:rsidR="008D2146" w:rsidRPr="008D2146" w:rsidRDefault="00CB6612" w:rsidP="005E75A1">
      <w:pPr>
        <w:pStyle w:val="NormalWeb"/>
        <w:ind w:firstLine="708"/>
        <w:jc w:val="both"/>
      </w:pPr>
      <w:r>
        <w:t>Con base en los hallazgos detectados y las ventanas de oportunidad de las que hoy tiene la institución, s</w:t>
      </w:r>
      <w:r w:rsidR="008D2146" w:rsidRPr="008D2146">
        <w:t xml:space="preserve">e recomienda el cese inmediato de cualquier proyecto de refactorización sobre el sistema SIGER. La vía técnica y legalmente responsable </w:t>
      </w:r>
      <w:r w:rsidR="005E75A1">
        <w:t xml:space="preserve">identificada a través de la aplicación de un enfoque transversal de derechos desde el prisma de la informática </w:t>
      </w:r>
      <w:r w:rsidR="008D2146" w:rsidRPr="008D2146">
        <w:t xml:space="preserve">es el inicio del Levantamiento Nacional de Requerimientos </w:t>
      </w:r>
      <w:r w:rsidR="005E75A1">
        <w:t xml:space="preserve">Inter unidades y sedes operativas regionales </w:t>
      </w:r>
      <w:r w:rsidR="008D2146" w:rsidRPr="008D2146">
        <w:t xml:space="preserve">para el diseño de un ecosistema digital nuevo, seguro y centrado en el NNA. </w:t>
      </w:r>
      <w:r w:rsidR="005E75A1">
        <w:t>E</w:t>
      </w:r>
      <w:r w:rsidR="008D2146" w:rsidRPr="008D2146">
        <w:t>sta decisión</w:t>
      </w:r>
      <w:r w:rsidR="005E75A1">
        <w:t>, de no considerarla,</w:t>
      </w:r>
      <w:r w:rsidR="008D2146" w:rsidRPr="008D2146">
        <w:t xml:space="preserve"> no solo aumenta la deuda técnica</w:t>
      </w:r>
      <w:r w:rsidR="005E75A1">
        <w:t xml:space="preserve"> institucional</w:t>
      </w:r>
      <w:r w:rsidR="008D2146" w:rsidRPr="008D2146">
        <w:t xml:space="preserve">, sino que perpetúa una vulneración </w:t>
      </w:r>
      <w:r w:rsidR="005E75A1">
        <w:t>estructural basada en l</w:t>
      </w:r>
      <w:r w:rsidR="008D2146" w:rsidRPr="008D2146">
        <w:t xml:space="preserve">a </w:t>
      </w:r>
      <w:r w:rsidR="005E75A1">
        <w:t xml:space="preserve">deficiencia en </w:t>
      </w:r>
      <w:r w:rsidR="008D2146" w:rsidRPr="008D2146">
        <w:t xml:space="preserve">integridad y protección </w:t>
      </w:r>
      <w:r w:rsidR="005E75A1">
        <w:t>de datos y su ponderación. Cumplir con esta recomendación implica aumentar de manera sostenida la capacidad de análisis e incidencia que la Defensoría se encuentra mandatada a ejercer.</w:t>
      </w:r>
    </w:p>
    <w:p w14:paraId="62A1EA48" w14:textId="77777777" w:rsidR="00EC770B" w:rsidRPr="004C7085" w:rsidRDefault="00EC770B" w:rsidP="00EC770B">
      <w:pPr>
        <w:pStyle w:val="NormalWeb"/>
        <w:jc w:val="both"/>
      </w:pPr>
    </w:p>
    <w:sectPr w:rsidR="00EC770B" w:rsidRPr="004C70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D81"/>
    <w:multiLevelType w:val="multilevel"/>
    <w:tmpl w:val="959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75C6"/>
    <w:multiLevelType w:val="multilevel"/>
    <w:tmpl w:val="EC3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275C"/>
    <w:multiLevelType w:val="hybridMultilevel"/>
    <w:tmpl w:val="6186ABE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651336"/>
    <w:multiLevelType w:val="multilevel"/>
    <w:tmpl w:val="559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5840"/>
    <w:multiLevelType w:val="multilevel"/>
    <w:tmpl w:val="CDC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24043"/>
    <w:multiLevelType w:val="multilevel"/>
    <w:tmpl w:val="FD1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B20B4"/>
    <w:multiLevelType w:val="multilevel"/>
    <w:tmpl w:val="936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57C0"/>
    <w:multiLevelType w:val="multilevel"/>
    <w:tmpl w:val="2F30D36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50E1CC4"/>
    <w:multiLevelType w:val="hybridMultilevel"/>
    <w:tmpl w:val="BC4C44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80B2D94"/>
    <w:multiLevelType w:val="multilevel"/>
    <w:tmpl w:val="92A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F3F59"/>
    <w:multiLevelType w:val="multilevel"/>
    <w:tmpl w:val="CF2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A31C0"/>
    <w:multiLevelType w:val="multilevel"/>
    <w:tmpl w:val="BD3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97C69"/>
    <w:multiLevelType w:val="multilevel"/>
    <w:tmpl w:val="3E3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50602"/>
    <w:multiLevelType w:val="multilevel"/>
    <w:tmpl w:val="5A84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51DCB"/>
    <w:multiLevelType w:val="multilevel"/>
    <w:tmpl w:val="66C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52699"/>
    <w:multiLevelType w:val="multilevel"/>
    <w:tmpl w:val="EDF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A0C4C"/>
    <w:multiLevelType w:val="multilevel"/>
    <w:tmpl w:val="F14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60E9B"/>
    <w:multiLevelType w:val="multilevel"/>
    <w:tmpl w:val="FCD2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964EB"/>
    <w:multiLevelType w:val="multilevel"/>
    <w:tmpl w:val="AC20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54706"/>
    <w:multiLevelType w:val="multilevel"/>
    <w:tmpl w:val="DCEE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46374"/>
    <w:multiLevelType w:val="multilevel"/>
    <w:tmpl w:val="54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F1642"/>
    <w:multiLevelType w:val="multilevel"/>
    <w:tmpl w:val="71A4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A355C"/>
    <w:multiLevelType w:val="multilevel"/>
    <w:tmpl w:val="90F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F6986"/>
    <w:multiLevelType w:val="multilevel"/>
    <w:tmpl w:val="218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22692">
    <w:abstractNumId w:val="21"/>
  </w:num>
  <w:num w:numId="2" w16cid:durableId="1118842693">
    <w:abstractNumId w:val="18"/>
  </w:num>
  <w:num w:numId="3" w16cid:durableId="76557791">
    <w:abstractNumId w:val="16"/>
  </w:num>
  <w:num w:numId="4" w16cid:durableId="1745562426">
    <w:abstractNumId w:val="2"/>
  </w:num>
  <w:num w:numId="5" w16cid:durableId="361977872">
    <w:abstractNumId w:val="8"/>
  </w:num>
  <w:num w:numId="6" w16cid:durableId="1925456889">
    <w:abstractNumId w:val="22"/>
  </w:num>
  <w:num w:numId="7" w16cid:durableId="873269489">
    <w:abstractNumId w:val="7"/>
  </w:num>
  <w:num w:numId="8" w16cid:durableId="1916090162">
    <w:abstractNumId w:val="11"/>
  </w:num>
  <w:num w:numId="9" w16cid:durableId="961309416">
    <w:abstractNumId w:val="14"/>
  </w:num>
  <w:num w:numId="10" w16cid:durableId="359938479">
    <w:abstractNumId w:val="1"/>
  </w:num>
  <w:num w:numId="11" w16cid:durableId="626816080">
    <w:abstractNumId w:val="5"/>
  </w:num>
  <w:num w:numId="12" w16cid:durableId="401146445">
    <w:abstractNumId w:val="20"/>
  </w:num>
  <w:num w:numId="13" w16cid:durableId="824513414">
    <w:abstractNumId w:val="0"/>
  </w:num>
  <w:num w:numId="14" w16cid:durableId="1034159563">
    <w:abstractNumId w:val="10"/>
  </w:num>
  <w:num w:numId="15" w16cid:durableId="1243829935">
    <w:abstractNumId w:val="17"/>
  </w:num>
  <w:num w:numId="16" w16cid:durableId="348025447">
    <w:abstractNumId w:val="13"/>
  </w:num>
  <w:num w:numId="17" w16cid:durableId="1910264622">
    <w:abstractNumId w:val="6"/>
  </w:num>
  <w:num w:numId="18" w16cid:durableId="352922135">
    <w:abstractNumId w:val="12"/>
  </w:num>
  <w:num w:numId="19" w16cid:durableId="210270061">
    <w:abstractNumId w:val="4"/>
  </w:num>
  <w:num w:numId="20" w16cid:durableId="243145034">
    <w:abstractNumId w:val="9"/>
  </w:num>
  <w:num w:numId="21" w16cid:durableId="976642798">
    <w:abstractNumId w:val="19"/>
  </w:num>
  <w:num w:numId="22" w16cid:durableId="2062826279">
    <w:abstractNumId w:val="15"/>
  </w:num>
  <w:num w:numId="23" w16cid:durableId="83380008">
    <w:abstractNumId w:val="3"/>
  </w:num>
  <w:num w:numId="24" w16cid:durableId="3149135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1C"/>
    <w:rsid w:val="000A2EF1"/>
    <w:rsid w:val="001C6EF3"/>
    <w:rsid w:val="00396B38"/>
    <w:rsid w:val="003B320D"/>
    <w:rsid w:val="003E44C4"/>
    <w:rsid w:val="00487197"/>
    <w:rsid w:val="004C7085"/>
    <w:rsid w:val="004F6860"/>
    <w:rsid w:val="005E75A1"/>
    <w:rsid w:val="006E4DA0"/>
    <w:rsid w:val="0082161C"/>
    <w:rsid w:val="008D2146"/>
    <w:rsid w:val="00935658"/>
    <w:rsid w:val="00A14DA1"/>
    <w:rsid w:val="00A66286"/>
    <w:rsid w:val="00CB6612"/>
    <w:rsid w:val="00E4658C"/>
    <w:rsid w:val="00EC770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D9A5"/>
  <w15:chartTrackingRefBased/>
  <w15:docId w15:val="{73554398-AB22-4FBE-ABD8-F07523C9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16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6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6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6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6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16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6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6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61C"/>
    <w:rPr>
      <w:rFonts w:eastAsiaTheme="majorEastAsia" w:cstheme="majorBidi"/>
      <w:color w:val="272727" w:themeColor="text1" w:themeTint="D8"/>
    </w:rPr>
  </w:style>
  <w:style w:type="paragraph" w:styleId="Ttulo">
    <w:name w:val="Title"/>
    <w:basedOn w:val="Normal"/>
    <w:next w:val="Normal"/>
    <w:link w:val="TtuloCar"/>
    <w:uiPriority w:val="10"/>
    <w:qFormat/>
    <w:rsid w:val="00821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6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61C"/>
    <w:pPr>
      <w:spacing w:before="160"/>
      <w:jc w:val="center"/>
    </w:pPr>
    <w:rPr>
      <w:i/>
      <w:iCs/>
      <w:color w:val="404040" w:themeColor="text1" w:themeTint="BF"/>
    </w:rPr>
  </w:style>
  <w:style w:type="character" w:customStyle="1" w:styleId="CitaCar">
    <w:name w:val="Cita Car"/>
    <w:basedOn w:val="Fuentedeprrafopredeter"/>
    <w:link w:val="Cita"/>
    <w:uiPriority w:val="29"/>
    <w:rsid w:val="0082161C"/>
    <w:rPr>
      <w:i/>
      <w:iCs/>
      <w:color w:val="404040" w:themeColor="text1" w:themeTint="BF"/>
    </w:rPr>
  </w:style>
  <w:style w:type="paragraph" w:styleId="Prrafodelista">
    <w:name w:val="List Paragraph"/>
    <w:basedOn w:val="Normal"/>
    <w:uiPriority w:val="34"/>
    <w:qFormat/>
    <w:rsid w:val="0082161C"/>
    <w:pPr>
      <w:ind w:left="720"/>
      <w:contextualSpacing/>
    </w:pPr>
  </w:style>
  <w:style w:type="character" w:styleId="nfasisintenso">
    <w:name w:val="Intense Emphasis"/>
    <w:basedOn w:val="Fuentedeprrafopredeter"/>
    <w:uiPriority w:val="21"/>
    <w:qFormat/>
    <w:rsid w:val="0082161C"/>
    <w:rPr>
      <w:i/>
      <w:iCs/>
      <w:color w:val="0F4761" w:themeColor="accent1" w:themeShade="BF"/>
    </w:rPr>
  </w:style>
  <w:style w:type="paragraph" w:styleId="Citadestacada">
    <w:name w:val="Intense Quote"/>
    <w:basedOn w:val="Normal"/>
    <w:next w:val="Normal"/>
    <w:link w:val="CitadestacadaCar"/>
    <w:uiPriority w:val="30"/>
    <w:qFormat/>
    <w:rsid w:val="00821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61C"/>
    <w:rPr>
      <w:i/>
      <w:iCs/>
      <w:color w:val="0F4761" w:themeColor="accent1" w:themeShade="BF"/>
    </w:rPr>
  </w:style>
  <w:style w:type="character" w:styleId="Referenciaintensa">
    <w:name w:val="Intense Reference"/>
    <w:basedOn w:val="Fuentedeprrafopredeter"/>
    <w:uiPriority w:val="32"/>
    <w:qFormat/>
    <w:rsid w:val="0082161C"/>
    <w:rPr>
      <w:b/>
      <w:bCs/>
      <w:smallCaps/>
      <w:color w:val="0F4761" w:themeColor="accent1" w:themeShade="BF"/>
      <w:spacing w:val="5"/>
    </w:rPr>
  </w:style>
  <w:style w:type="paragraph" w:styleId="NormalWeb">
    <w:name w:val="Normal (Web)"/>
    <w:basedOn w:val="Normal"/>
    <w:uiPriority w:val="99"/>
    <w:unhideWhenUsed/>
    <w:rsid w:val="004C7085"/>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3828</Words>
  <Characters>21057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TORREJON SOTO</dc:creator>
  <cp:keywords/>
  <dc:description/>
  <cp:lastModifiedBy>BENJAMIN TORREJON SOTO</cp:lastModifiedBy>
  <cp:revision>1</cp:revision>
  <dcterms:created xsi:type="dcterms:W3CDTF">2026-04-20T18:30:00Z</dcterms:created>
  <dcterms:modified xsi:type="dcterms:W3CDTF">2026-04-20T22:25:00Z</dcterms:modified>
</cp:coreProperties>
</file>