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
          <w:szCs w:val="2"/>
        </w:rPr>
        <w:t xml:space="preserve"/>
      </w:r>
    </w:p>
    <w:p>
      <w:pPr>
        <w:spacing w:after="40"/>
        <w:jc w:val="center"/>
      </w:pPr>
      <w:r>
        <w:rPr>
          <w:b/>
          <w:bCs/>
          <w:sz w:val="26"/>
          <w:szCs w:val="26"/>
        </w:rPr>
        <w:t xml:space="preserve">DEFENSORÍA DE LOS DERECHOS DE LA NIÑEZ</w:t>
      </w:r>
    </w:p>
    <w:p>
      <w:pPr>
        <w:pBdr>
          <w:bottom w:val="single" w:color="404040" w:sz="10" w:space="10"/>
        </w:pBdr>
        <w:spacing w:after="320"/>
        <w:jc w:val="center"/>
      </w:pPr>
      <w:r>
        <w:rPr>
          <w:color w:val="595959"/>
          <w:sz w:val="20"/>
          <w:szCs w:val="20"/>
        </w:rPr>
        <w:t xml:space="preserve">República de Chile</w:t>
      </w:r>
    </w:p>
    <w:p>
      <w:pPr>
        <w:spacing w:after="600"/>
      </w:pPr>
      <w:r>
        <w:rPr>
          <w:sz w:val="2"/>
          <w:szCs w:val="2"/>
        </w:rPr>
        <w:t xml:space="preserve"/>
      </w:r>
    </w:p>
    <w:p>
      <w:pPr>
        <w:spacing w:after="120"/>
        <w:jc w:val="center"/>
      </w:pPr>
      <w:r>
        <w:rPr>
          <w:b/>
          <w:bCs/>
          <w:color w:val="595959"/>
          <w:sz w:val="24"/>
          <w:szCs w:val="24"/>
        </w:rPr>
        <w:t xml:space="preserve">INFORME TÉCNICO-JURÍDICO-ADMINISTRATIVO</w:t>
      </w:r>
    </w:p>
    <w:p>
      <w:pPr>
        <w:spacing w:after="200" w:line="320"/>
        <w:jc w:val="center"/>
      </w:pPr>
      <w:r>
        <w:rPr>
          <w:b/>
          <w:bCs/>
          <w:sz w:val="40"/>
          <w:szCs w:val="40"/>
        </w:rPr>
        <w:t xml:space="preserve">Obsolescencia de SIGER, Riesgos para la Integridad y Confidencialidad de los Datos de NNA, y Consolidación de la Nueva Arquitectura Institucional</w:t>
      </w:r>
    </w:p>
    <w:p>
      <w:pPr>
        <w:spacing w:after="540"/>
        <w:jc w:val="center"/>
      </w:pPr>
      <w:r>
        <w:rPr>
          <w:i/>
          <w:iCs/>
          <w:color w:val="595959"/>
          <w:sz w:val="23"/>
          <w:szCs w:val="23"/>
        </w:rPr>
        <w:t xml:space="preserve">Dictamen de continuidad del sistema legado, subsunción normativa de hallazgos y estrategia de transición en dos horizontes hacia el ecosistema distribuido SMID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F1F" w:sz="8"/>
              <w:left w:val="single" w:color="7A1F1F" w:sz="8"/>
              <w:bottom w:val="single" w:color="7A1F1F" w:sz="8"/>
              <w:right w:val="single" w:color="7A1F1F" w:sz="8"/>
            </w:tcBorders>
            <w:tcMar>
              <w:top w:type="dxa" w:w="140"/>
              <w:left w:type="dxa" w:w="120"/>
              <w:bottom w:type="dxa" w:w="140"/>
              <w:right w:type="dxa" w:w="120"/>
            </w:tcMar>
          </w:tcPr>
          <w:p>
            <w:pPr>
              <w:jc w:val="center"/>
            </w:pPr>
            <w:r>
              <w:rPr>
                <w:b/>
                <w:bCs/>
                <w:color w:val="7A1F1F"/>
                <w:sz w:val="22"/>
                <w:szCs w:val="22"/>
              </w:rPr>
              <w:t xml:space="preserve">RESERVADO — DISTRIBUCIÓN INSTITUCIONAL INTERNA</w:t>
            </w:r>
          </w:p>
        </w:tc>
      </w:tr>
    </w:tbl>
    <w:p>
      <w:pPr>
        <w:spacing w:after="4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Documento</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Informe Técnico-Jurídico-Administrativo de evaluación de continuidad y modernización</w:t>
            </w:r>
          </w:p>
        </w:tc>
      </w:tr>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Versión</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1.0 — Borrador para revisión de la contraparte institucional</w:t>
            </w:r>
          </w:p>
        </w:tc>
      </w:tr>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Fecha</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10 de junio de 2026</w:t>
            </w:r>
          </w:p>
        </w:tc>
      </w:tr>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Elaborado por</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Benjamín Torrejon — Desarrollo Institucional (autor del informe)</w:t>
            </w:r>
          </w:p>
        </w:tc>
      </w:tr>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Dirigido a</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Dirección Nacional; Fiscalía; Administración y Finanzas; Auditoría Interna; Coordinaciones Regionales y Jefaturas de Sede; Unidades de Destino nacionales (Protección y Representación Judicial; Estudios y Gestión; Promoción y Difusión de Derechos; Gabinete); TI de Infraestructura</w:t>
            </w:r>
          </w:p>
        </w:tc>
      </w:tr>
      <w:tr>
        <w:tc>
          <w:tcPr>
            <w:tcW w:type="dxa" w:w="2600"/>
            <w:tcBorders>
              <w:top w:val="single" w:color="C9C9C9" w:sz="1"/>
              <w:left w:val="single" w:color="C9C9C9" w:sz="1"/>
              <w:bottom w:val="single" w:color="C9C9C9" w:sz="1"/>
              <w:right w:val="single" w:color="C9C9C9" w:sz="1"/>
            </w:tcBorders>
            <w:shd w:fill="F2F2F2" w:val="clear"/>
            <w:tcMar>
              <w:top w:type="dxa" w:w="80"/>
              <w:left w:type="dxa" w:w="120"/>
              <w:bottom w:type="dxa" w:w="80"/>
              <w:right w:type="dxa" w:w="120"/>
            </w:tcMar>
          </w:tcPr>
          <w:p>
            <w:r>
              <w:rPr>
                <w:b/>
                <w:bCs/>
                <w:sz w:val="20"/>
                <w:szCs w:val="20"/>
              </w:rPr>
              <w:t xml:space="preserve">Clasificación</w:t>
            </w:r>
          </w:p>
        </w:tc>
        <w:tc>
          <w:tcPr>
            <w:tcW w:type="dxa" w:w="6760"/>
            <w:tcBorders>
              <w:top w:val="single" w:color="C9C9C9" w:sz="1"/>
              <w:left w:val="single" w:color="C9C9C9" w:sz="1"/>
              <w:bottom w:val="single" w:color="C9C9C9" w:sz="1"/>
              <w:right w:val="single" w:color="C9C9C9" w:sz="1"/>
            </w:tcBorders>
            <w:tcMar>
              <w:top w:type="dxa" w:w="80"/>
              <w:left w:type="dxa" w:w="120"/>
              <w:bottom w:type="dxa" w:w="80"/>
              <w:right w:type="dxa" w:w="120"/>
            </w:tcMar>
          </w:tcPr>
          <w:p>
            <w:r>
              <w:rPr>
                <w:sz w:val="20"/>
                <w:szCs w:val="20"/>
              </w:rPr>
              <w:t xml:space="preserve">Reservado. Contiene análisis de vulnerabilidades de sistemas en producción y referencias a categorías de datos protegidos de NNA. Prohibida su difusión externa.</w:t>
            </w:r>
          </w:p>
        </w:tc>
      </w:tr>
    </w:tbl>
    <w:p>
      <w:pPr>
        <w:spacing w:before="360"/>
        <w:jc w:val="center"/>
      </w:pPr>
      <w:r>
        <w:rPr>
          <w:i/>
          <w:iCs/>
          <w:color w:val="595959"/>
          <w:sz w:val="17"/>
          <w:szCs w:val="17"/>
        </w:rPr>
        <w:t xml:space="preserve">Las vulnerabilidades descritas en este documento permanecen explotables mientras el sistema legado siga en producción. Su circulación debe limitarse a las jefaturas y unidades destinatarias.</w:t>
      </w:r>
    </w:p>
    <w:p>
      <w:r>
        <w:br w:type="page"/>
      </w:r>
    </w:p>
    <w:p>
      <w:pPr>
        <w:spacing w:after="160"/>
      </w:pPr>
      <w:r>
        <w:rPr>
          <w:b/>
          <w:bCs/>
          <w:sz w:val="26"/>
          <w:szCs w:val="26"/>
        </w:rP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460"/>
        <w:gridCol w:w="2700"/>
      </w:tblGrid>
      <w:tr>
        <w:tc>
          <w:tcPr>
            <w:tcW w:type="dxa" w:w="15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r>
              <w:rPr>
                <w:b/>
                <w:bCs/>
                <w:sz w:val="19"/>
                <w:szCs w:val="19"/>
              </w:rPr>
              <w:t xml:space="preserve">Versión</w:t>
            </w:r>
          </w:p>
        </w:tc>
        <w:tc>
          <w:tcPr>
            <w:tcW w:type="dxa" w:w="17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r>
              <w:rPr>
                <w:b/>
                <w:bCs/>
                <w:sz w:val="19"/>
                <w:szCs w:val="19"/>
              </w:rPr>
              <w:t xml:space="preserve">Fecha</w:t>
            </w:r>
          </w:p>
        </w:tc>
        <w:tc>
          <w:tcPr>
            <w:tcW w:type="dxa" w:w="34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r>
              <w:rPr>
                <w:b/>
                <w:bCs/>
                <w:sz w:val="19"/>
                <w:szCs w:val="19"/>
              </w:rPr>
              <w:t xml:space="preserve">Estado</w:t>
            </w:r>
          </w:p>
        </w:tc>
        <w:tc>
          <w:tcPr>
            <w:tcW w:type="dxa" w:w="27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r>
              <w:rPr>
                <w:b/>
                <w:bCs/>
                <w:sz w:val="19"/>
                <w:szCs w:val="19"/>
              </w:rPr>
              <w:t xml:space="preserve">Responsable</w:t>
            </w:r>
          </w:p>
        </w:tc>
      </w:tr>
      <w:tr>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sz w:val="19"/>
                <w:szCs w:val="19"/>
              </w:rPr>
              <w:t xml:space="preserve">1.0</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sz w:val="19"/>
                <w:szCs w:val="19"/>
              </w:rPr>
              <w:t xml:space="preserve">10-06-2026</w:t>
            </w:r>
          </w:p>
        </w:tc>
        <w:tc>
          <w:tcPr>
            <w:tcW w:type="dxa" w:w="346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sz w:val="19"/>
                <w:szCs w:val="19"/>
              </w:rPr>
              <w:t xml:space="preserve">Borrador para discusión y revisión de la contraparte institucional</w:t>
            </w:r>
          </w:p>
        </w:tc>
        <w:tc>
          <w:tcPr>
            <w:tcW w:type="dxa" w:w="27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sz w:val="19"/>
                <w:szCs w:val="19"/>
              </w:rPr>
              <w:t xml:space="preserve">Benjamín Torrejon — Desarrollo Institucional</w:t>
            </w:r>
          </w:p>
        </w:tc>
      </w:tr>
      <w:tr>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color w:val="595959"/>
                <w:sz w:val="19"/>
                <w:szCs w:val="19"/>
              </w:rPr>
              <w:t xml:space="preserve">1.1</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color w:val="595959"/>
                <w:sz w:val="19"/>
                <w:szCs w:val="19"/>
              </w:rPr>
              <w:t xml:space="preserve">Pendiente</w:t>
            </w:r>
          </w:p>
        </w:tc>
        <w:tc>
          <w:tcPr>
            <w:tcW w:type="dxa" w:w="346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color w:val="595959"/>
                <w:sz w:val="19"/>
                <w:szCs w:val="19"/>
              </w:rPr>
              <w:t xml:space="preserve">Observaciones de Fiscalía y Dirección Nacional</w:t>
            </w:r>
          </w:p>
        </w:tc>
        <w:tc>
          <w:tcPr>
            <w:tcW w:type="dxa" w:w="2700"/>
            <w:tcBorders>
              <w:top w:val="single" w:color="C9C9C9" w:sz="1"/>
              <w:left w:val="single" w:color="C9C9C9" w:sz="1"/>
              <w:bottom w:val="single" w:color="C9C9C9" w:sz="1"/>
              <w:right w:val="single" w:color="C9C9C9" w:sz="1"/>
            </w:tcBorders>
            <w:tcMar>
              <w:top w:type="dxa" w:w="70"/>
              <w:left w:type="dxa" w:w="110"/>
              <w:bottom w:type="dxa" w:w="70"/>
              <w:right w:type="dxa" w:w="110"/>
            </w:tcMar>
          </w:tcPr>
          <w:p>
            <w:r>
              <w:rPr>
                <w:color w:val="595959"/>
                <w:sz w:val="19"/>
                <w:szCs w:val="19"/>
              </w:rPr>
              <w:t xml:space="preserve">Pendiente de asignación</w:t>
            </w:r>
          </w:p>
        </w:tc>
      </w:tr>
    </w:tbl>
    <w:p>
      <w:pPr>
        <w:spacing w:after="80" w:before="280"/>
      </w:pPr>
      <w:r>
        <w:rPr>
          <w:b/>
          <w:bCs/>
          <w:sz w:val="26"/>
          <w:szCs w:val="26"/>
        </w:rPr>
        <w:t xml:space="preserve">Índice de contenidos</w:t>
      </w:r>
    </w:p>
    <w:p>
      <w:pPr>
        <w:spacing w:after="120"/>
      </w:pPr>
      <w:r>
        <w:rPr>
          <w:i/>
          <w:iCs/>
          <w:color w:val="595959"/>
          <w:sz w:val="17"/>
          <w:szCs w:val="17"/>
        </w:rPr>
        <w:t xml:space="preserve">Para actualizar la paginación en Microsoft Word: clic derecho sobre el índice → Actualizar campos → Actualizar toda la tabla.</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Resumen Ejecutivo</w:t>
      </w:r>
    </w:p>
    <w:p>
      <w:pPr>
        <w:pStyle w:val="Heading2"/>
      </w:pPr>
      <w:r>
        <w:t xml:space="preserve">1.1. Propósito y alcance del informe</w:t>
      </w:r>
    </w:p>
    <w:p>
      <w:pPr>
        <w:spacing w:after="120" w:line="288"/>
        <w:jc w:val="both"/>
      </w:pPr>
      <w:r>
        <w:t xml:space="preserve">Este informe dictamina la continuidad del Sistema de Gestión de Requerimientos (SIGER) de la Defensoría de los Derechos de la Niñez, identifica los riesgos presentes que su arquitectura impone sobre la integridad y confidencialidad de los datos de niños, niñas y adolescentes (en adelante, NNA), evalúa formalmente las alternativas de acción disponibles y funda, con evidencia documental y normativa, la consolidación de la nueva arquitectura institucional distribuida (ecosistema SMID). El documento está dirigido a la Dirección Nacional, a Fiscalía, a Administración y Finanzas, a Auditoría Interna, a las Coordinaciones Regionales y Jefaturas de Sede, y a las cuatro Unidades de Destino nacionales que estructuran la operación sustantiva de la institución: la Unidad de Protección y Representación Judicial (UPRJ), la Unidad de Estudios y Gestión (UEG), la Unidad de Promoción y Difusión de Derechos (UPDD) y Gabinete.</w:t>
      </w:r>
    </w:p>
    <w:p>
      <w:pPr>
        <w:spacing w:after="120" w:line="288"/>
        <w:jc w:val="both"/>
      </w:pPr>
      <w:r>
        <w:t xml:space="preserve">El alcance técnico del hito que este informe acompaña es deliberadamente acotado: la entrega y validación del </w:t>
      </w:r>
      <w:r>
        <w:rPr>
          <w:b/>
          <w:bCs/>
        </w:rPr>
        <w:t xml:space="preserve">núcleo fundacional de tres microservicios</w:t>
      </w:r>
      <w:r>
        <w:t xml:space="preserve"> del nuevo SIGER —Identidad y Acceso, Personas y Requerimientos—, que absorbe por completo el ciclo de ingreso, validación de duplicados y admisibilidad de requerimientos (procesos documentados en los manuales USR.01 y USR.02). Los módulos restantes de la arquitectura objetivo se abordan como hoja de ruta, no como entregable de esta fase.</w:t>
      </w:r>
    </w:p>
    <w:p>
      <w:pPr>
        <w:pStyle w:val="Heading2"/>
      </w:pPr>
      <w:r>
        <w:t xml:space="preserve">1.2. Dictamen central</w:t>
      </w:r>
    </w:p>
    <w:p>
      <w:pPr>
        <w:spacing w:after="120" w:line="288"/>
        <w:jc w:val="both"/>
      </w:pPr>
      <w:r>
        <w:t xml:space="preserve">Tras el análisis integrado de la documentación funcional y contractual del sistema legado, de la auditoría técnica de arquitectura, del esquema físico de su plataforma, de la documentación de los servicios ya construidos del nuevo ecosistema y de los cuerpos legales aplicables, este informe sostiene tres conclusiones.</w:t>
      </w:r>
    </w:p>
    <w:p>
      <w:pPr>
        <w:spacing w:after="120" w:line="288"/>
        <w:jc w:val="both"/>
      </w:pPr>
      <w:r>
        <w:rPr>
          <w:b/>
          <w:bCs/>
        </w:rPr>
        <w:t xml:space="preserve">Primera: SIGER es un sistema legado con deuda técnica estructural.</w:t>
      </w:r>
      <w:r>
        <w:t xml:space="preserve"> Su capa de presentación depende de estándares en desuso (framesets HTML 4.01, renderizado síncrono, ausencia de API) [D2]; su seguridad fue delegada al perímetro de red y no resiste el estándar de Confianza Cero, con tráfico interno sin cifrar, exposición de identificadores de base de datos en las URL (vulnerabilidad IDOR) y ausencia de autorización a nivel de recurso [D2]; su capa de datos opera mayoritariamente sobre motores sin transaccionalidad ni integridad referencial efectiva, con codificación latin1 sin soporte completo de Unicode [D1, D8]; y la totalidad del stack contratado en su origen (Java 1.7, Tomcat 7.x, MySQL 5.x) [D3] se encuentra hoy fuera del soporte oficial de sus fabricantes [D1]. La auditoría técnica institucional dictaminó la inviabilidad de su refactorización [D2]; este informe valida ese dictamen mediante una evaluación formal de tres alternativas (capítulo 7), en lugar de afirmarlo como vía única sin análisis comparado.</w:t>
      </w:r>
    </w:p>
    <w:p>
      <w:pPr>
        <w:spacing w:after="120" w:line="288"/>
        <w:jc w:val="both"/>
      </w:pPr>
      <w:r>
        <w:rPr>
          <w:b/>
          <w:bCs/>
        </w:rPr>
        <w:t xml:space="preserve">Segunda: el riesgo jurídico es presente, no futuro, y adquiere una fecha de exigibilidad reforzada.</w:t>
      </w:r>
      <w:r>
        <w:t xml:space="preserve"> Los deberes de reserva y confidencialidad sobre la información de NNA rigen hoy, por mandato de los artículos 33, 34 y 64 de la Ley N° 21.430 y de la Ley N° 19.628 vigente; la arquitectura actual no permite acreditar su cumplimiento (capítulo 6). A contar del </w:t>
      </w:r>
      <w:r>
        <w:rPr>
          <w:b/>
          <w:bCs/>
        </w:rPr>
        <w:t xml:space="preserve">1 de diciembre de 2026</w:t>
      </w:r>
      <w:r>
        <w:t xml:space="preserve"> —fecha de entrada en vigencia del nuevo régimen de protección de datos personales conforme a la disposición transitoria primera de la Ley N° 21.719— se suman deberes de protección desde el diseño y por defecto (art. 14 quáter), de seguridad y comunicación de vulneraciones (art. 14 quinquies), un estatuto reforzado para los datos de NNA (art. 16 quáter) y, de manera decisiva para la gobernanza institucional, un régimen de responsabilidad administrativa personal: la jefatura superior del órgano responde con multa de entre el veinte y el cincuenta por ciento de su remuneración mensual, que asciende al cincuenta por ciento con suspensión en el cargo de hasta treinta días tratándose de datos sensibles, con publicación de la sanción en el sitio web de la Agencia y del propio órgano (art. 44), y los funcionarios quedan sujetos a sumario con calificación de contravención grave a la probidad en las hipótesis más severas (arts. 45 y 46).</w:t>
      </w:r>
    </w:p>
    <w:p>
      <w:pPr>
        <w:spacing w:after="120" w:line="288"/>
        <w:jc w:val="both"/>
      </w:pPr>
      <w:r>
        <w:rPr>
          <w:b/>
          <w:bCs/>
        </w:rPr>
        <w:t xml:space="preserve">Tercera: la institución ya posee, operativos y documentados, los cimientos del reemplazo.</w:t>
      </w:r>
      <w:r>
        <w:t xml:space="preserve"> El clúster SMID cuenta con un API Gateway que centraliza validación de credenciales y auditoría de tráfico [D9], un servicio de Identidad con jerarquía territorial estricta Sede → Unidad → Profesional [D10], y dos sistemas analíticos de desarrollo institucional en versión 2 —SGS y ESNNA— con auditoría inmutable de cada análisis y separación explícita entre la propuesta algorítmica y la decisión humana final [D11, D13, D14]. Ese ecosistema tiene deuda técnica, y este informe la inventaría con la misma severidad aplicada al legado (capítulo 9); la diferencia decisiva es de naturaleza: en SMID la deuda está </w:t>
      </w:r>
      <w:r>
        <w:rPr>
          <w:b/>
          <w:bCs/>
        </w:rPr>
        <w:t xml:space="preserve">declarada, acotada y calendarizada para su cierre</w:t>
      </w:r>
      <w:r>
        <w:t xml:space="preserve">, mientras que en SIGER la deuda es </w:t>
      </w:r>
      <w:r>
        <w:rPr>
          <w:b/>
          <w:bCs/>
        </w:rPr>
        <w:t xml:space="preserve">estructural</w:t>
      </w:r>
      <w:r>
        <w:t xml:space="preserve">, reside en los cimientos del sistema y su remoción equivale a reconstruirlo.</w:t>
      </w:r>
    </w:p>
    <w:p>
      <w:pPr>
        <w:pStyle w:val="Heading2"/>
      </w:pPr>
      <w:r>
        <w:t xml:space="preserve">1.3. La tesis que ordena el documento</w:t>
      </w:r>
    </w:p>
    <w:p>
      <w:pPr>
        <w:spacing w:after="120" w:line="288"/>
        <w:jc w:val="both"/>
      </w:pPr>
      <w:r>
        <w:t xml:space="preserve">La tesis de este informe no es que el nuevo ecosistema sea perfecto. Es que existe una diferencia categórica, verificable documento en mano, entre dos tipos de deuda técnica: la deuda </w:t>
      </w:r>
      <w:r>
        <w:rPr>
          <w:b/>
          <w:bCs/>
        </w:rPr>
        <w:t xml:space="preserve">identificable, medible y corregible</w:t>
      </w:r>
      <w:r>
        <w:t xml:space="preserve"> del ecosistema SMID —cuyo inventario completo proviene de su propia documentación técnica y cuyo plan de cierre se calendariza en este informe con hitos anteriores al 1 de diciembre de 2026— y la deuda </w:t>
      </w:r>
      <w:r>
        <w:rPr>
          <w:b/>
          <w:bCs/>
        </w:rPr>
        <w:t xml:space="preserve">estructural e incerrable</w:t>
      </w:r>
      <w:r>
        <w:t xml:space="preserve"> de SIGER, donde ni siquiera es posible redactar un inventario equivalente, porque la plataforma propietaria que lo sostiene es simultáneamente su framework, su capa de seguridad y su motor de reportería [D1, D2]. Una institución puede gobernar la primera; solo puede padecer la segunda.</w:t>
      </w:r>
    </w:p>
    <w:p>
      <w:pPr>
        <w:pStyle w:val="Heading2"/>
      </w:pPr>
      <w:r>
        <w:t xml:space="preserve">1.4. El entregable de esta fase: el núcleo fundacional de tres microservicios</w:t>
      </w:r>
    </w:p>
    <w:p>
      <w:pPr>
        <w:spacing w:after="120" w:line="288"/>
        <w:jc w:val="both"/>
      </w:pPr>
      <w:r>
        <w:t xml:space="preserve">El hito que este informe acredita es la construcción del núcleo fundacional del nuevo SIGER, compuesto por los servicios </w:t>
      </w:r>
      <w:r>
        <w:rPr>
          <w:b/>
          <w:bCs/>
        </w:rPr>
        <w:t xml:space="preserve">6.1 Identidad y Acceso</w:t>
      </w:r>
      <w:r>
        <w:t xml:space="preserve">, </w:t>
      </w:r>
      <w:r>
        <w:rPr>
          <w:b/>
          <w:bCs/>
        </w:rPr>
        <w:t xml:space="preserve">6.2 Personas</w:t>
      </w:r>
      <w:r>
        <w:t xml:space="preserve"> y </w:t>
      </w:r>
      <w:r>
        <w:rPr>
          <w:b/>
          <w:bCs/>
        </w:rPr>
        <w:t xml:space="preserve">6.3 Requerimientos</w:t>
      </w:r>
      <w:r>
        <w:t xml:space="preserve"> de la arquitectura objetivo [D1]. Este núcleo absorbe íntegramente el ciclo operativo de entrada de la institución: el ingreso del requerimiento por vía web o presencial con sus cinco pestañas y la validación previa de duplicados por RUT o nombre del NNA (USR.01) [D5], y la admisibilidad y derivación con sus tres acciones disjuntas —declarar inadmisible con escalamiento a la Defensora, responder de inmediato o asignar a un profesional responsable— (USR.02) [D6]. Constituye, además, la zapata técnica ineludible del resto de la arquitectura: todos los servicios posteriores (Casos, Vulneraciones, Productos y Tareas, Documentos, entre otros) dependen de la identidad territorial, del registro maestro de personas y del ciclo de requerimientos para existir. El diseño, la arquitectura y la implementación de esta fase han sido ejecutados de manera autónoma por el Desarrollo Institucional (Benjamín Torrejon, autor de este informe), con documentación técnica exhaustiva orientada expresamente a mitigar la dependencia de personas únicas y a habilitar la incorporación futura de perfiles de las ciencias de la computación e informática (capítulos 9 y 11).</w:t>
      </w:r>
    </w:p>
    <w:p>
      <w:pPr>
        <w:pStyle w:val="Heading2"/>
      </w:pPr>
      <w:r>
        <w:t xml:space="preserve">1.5. Estrategia de transición en dos horizontes</w:t>
      </w:r>
    </w:p>
    <w:p>
      <w:pPr>
        <w:spacing w:after="120" w:line="288"/>
        <w:jc w:val="both"/>
      </w:pPr>
      <w:r>
        <w:t xml:space="preserve">El informe descarta tanto el reemplazo de gran escala como la migración integral e inmediata del dataset histórico, y propone una transición gobernada por dos horizontes temporales (capítulo 10):</w:t>
      </w:r>
    </w:p>
    <w:p>
      <w:pPr>
        <w:pStyle w:val="ListParagraph"/>
        <w:numPr>
          <w:ilvl w:val="0"/>
          <w:numId w:val="2"/>
        </w:numPr>
        <w:spacing w:after="60" w:line="276"/>
        <w:jc w:val="both"/>
      </w:pPr>
      <w:r>
        <w:rPr>
          <w:b/>
          <w:bCs/>
        </w:rPr>
        <w:t xml:space="preserve">Horizonte 1 — Segundo semestre de 2026, Fase Beta en marcha blanca controlada.</w:t>
      </w:r>
      <w:r>
        <w:t xml:space="preserve"> El núcleo fundacional opera en paralelo con sedes y unidades piloto, sin reemplazar el registro oficial. Esta fase permite ejecutar pruebas de esfuerzo sobre la infraestructura institucional de contenedores (Docker sobre WSL en el Windows Server), capacitar a las personas usuarias y, sobre todo, </w:t>
      </w:r>
      <w:r>
        <w:rPr>
          <w:b/>
          <w:bCs/>
        </w:rPr>
        <w:t xml:space="preserve">acreditar ante la Agencia de Protección de Datos Personales la adopción anticipada de las medidas técnicas y organizativas adecuadas</w:t>
      </w:r>
      <w:r>
        <w:t xml:space="preserve"> que exige el artículo 14 quáter de la Ley N° 21.719, antes del límite del 1 de diciembre de 2026, mitigando de forma directa la responsabilidad de la jefatura superior establecida en el artículo 44.</w:t>
      </w:r>
    </w:p>
    <w:p>
      <w:pPr>
        <w:pStyle w:val="ListParagraph"/>
        <w:numPr>
          <w:ilvl w:val="0"/>
          <w:numId w:val="2"/>
        </w:numPr>
        <w:spacing w:after="60" w:line="276"/>
        <w:jc w:val="both"/>
      </w:pPr>
      <w:r>
        <w:rPr>
          <w:b/>
          <w:bCs/>
        </w:rPr>
        <w:t xml:space="preserve">Horizonte 2 — 1 de enero de 2027, puesta en marcha oficial.</w:t>
      </w:r>
      <w:r>
        <w:t xml:space="preserve"> El 31 de diciembre de 2026 SIGER se congela definitivamente como repositorio histórico de consulta en modo de solo lectura, accesible únicamente a través del servicio puente del clúster (siger-service) tras el Gateway, con credenciales y alcance territorial validados —lo que clausura, también para el histórico, la vulnerabilidad IDOR—. El 1 de enero de 2027 la operación nacional se inicia oficialmente en SMID desde el correlativo limpio 0/2027, unificando el año estadístico completo bajo norma transaccional y preservando intactas las series anuales y la numeración interna de las Sedes Regionales.</w:t>
      </w:r>
    </w:p>
    <w:p>
      <w:pPr>
        <w:spacing w:after="120" w:line="288"/>
        <w:jc w:val="both"/>
      </w:pPr>
      <w:r>
        <w:t xml:space="preserve">Esta síntesis resuelve la tensión que una migración forzada a mitad de año habría provocado: evita el riesgo físico de corrupción de los relatos confidenciales de NNA en la transcodificación masiva del corpus narrativo, evita la contaminación de las métricas de la Unidad de Estudios y Gestión con registros huérfanos heredados, y evita el quiebre de las series estadísticas de 2026. La ventana disponible coincide, además, con el esfuerzo estimado: el plan de fases del diseño objetivo contempla entre 24 y 32 semanas de trabajo total [D1], y entre la fecha de este informe y el 1 de enero de 2027 median, precisamente, 29 semanas.</w:t>
      </w:r>
    </w:p>
    <w:p>
      <w:pPr>
        <w:pStyle w:val="Heading2"/>
      </w:pPr>
      <w:r>
        <w:t xml:space="preserve">1.6. Síntesis de recomendaciones por destinatario</w:t>
      </w:r>
    </w:p>
    <w:p>
      <w:pPr>
        <w:spacing w:after="120" w:line="288"/>
        <w:jc w:val="both"/>
      </w:pPr>
      <w:r>
        <w:t xml:space="preserve">El detalle resolutivo, con plazos, se encuentra en el capítulo 15. En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Destinatario</w:t>
            </w:r>
          </w:p>
        </w:tc>
        <w:tc>
          <w:tcPr>
            <w:tcW w:type="dxa" w:w="651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Recomendación esencial</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Dirección Nacional</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Aprobar la estrategia de consolidación en dos horizontes; declarar a SIGER en mantenimiento crítico, sin nuevos desarrollos; fijar institucionalmente las fechas ancla (01-12-2026 y 01-01-2027).</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Fiscalía</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Validar el marco normativo aplicado, conducir la evaluación de impacto en protección de datos del nuevo ecosistema y formalizar el régimen de encargo de tratamiento para todo proveedor externo de procesamiento.</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Administración y Finanzas</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Elaborar el presupuesto detallado del programa como entregable de la fase F0, incluyendo la incorporación futura de perfiles técnicos y la inversión conceptual en el nodo de inferencia dedicado.</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Auditoría Interna</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Incorporar al plan anual la verificación del plan de cierre de deuda del nuevo ecosistema (P0/P1), del acta de volúmenes y de la cadena de custodia de los datos en la transición.</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Coordinaciones Regionales y Jefaturas de Sede</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Designar usuarias y usuarios líderes para la validación funcional (F0) y los pilotos de la Fase Beta; resguardar el acceso territorial a los registros conforme al deber de reserva del artículo 64 de la Ley N° 21.430.</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Unidades de Destino (UPRJ, UEG, UPDD, Gabinete)</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Participar en la validación de reglas de negocio vigentes; UEG además certifica el corte estadístico al 31-12-2026 y el protocolo de series.</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TI de Infraestructura</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Sostener la gobernanza de la plataforma (Windows Server, contenedores Docker/WSL, respaldos, continuidad), conforme al modelo de roles del capítulo 13; ninguna función de desarrollo de software se asigna a esta área.</w:t>
            </w:r>
          </w:p>
        </w:tc>
      </w:tr>
      <w:tr>
        <w:tc>
          <w:tcPr>
            <w:tcW w:type="dxa" w:w="2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Desarrollo Institucional</w:t>
            </w:r>
          </w:p>
        </w:tc>
        <w:tc>
          <w:tcPr>
            <w:tcW w:type="dxa" w:w="65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Ejecutar el plan de cierre P0 en treinta días, conducir la Fase Beta y mantener la documentación de arquitectura que mitiga la dependencia de personas únicas.</w:t>
            </w:r>
          </w:p>
        </w:tc>
      </w:tr>
    </w:tbl>
    <w:p>
      <w:pPr>
        <w:spacing w:after="100"/>
      </w:pPr>
      <w:r>
        <w:rPr>
          <w:sz w:val="4"/>
          <w:szCs w:val="4"/>
        </w:rPr>
        <w:t xml:space="preserve"/>
      </w:r>
    </w:p>
    <w:p>
      <w:pPr>
        <w:pStyle w:val="Heading1"/>
        <w:pageBreakBefore/>
      </w:pPr>
      <w:r>
        <w:t xml:space="preserve">2. Metodología, Fuentes, Alcance y Limitaciones</w:t>
      </w:r>
    </w:p>
    <w:p>
      <w:pPr>
        <w:pStyle w:val="Heading2"/>
      </w:pPr>
      <w:r>
        <w:t xml:space="preserve">2.1. Enfoque y perspectivas profesionales integradas</w:t>
      </w:r>
    </w:p>
    <w:p>
      <w:pPr>
        <w:spacing w:after="120" w:line="288"/>
        <w:jc w:val="both"/>
      </w:pPr>
      <w:r>
        <w:t xml:space="preserve">El informe fue elaborado por el Desarrollo Institucional integrando seis perspectivas de análisis, aplicadas de manera cruzada sobre la misma base documental: auditoría de sistemas (verificación de hallazgos y trazabilidad de afirmaciones), arquitectura de software empresarial (evaluación de acoplamiento, dominios y estrategia de transición), auditoría de bases de datos (verificación directa del esquema físico disponible), protección de datos personales (subsunción de hallazgos en los regímenes de las leyes N° 19.628, 21.430 y 21.719), derecho administrativo (principios de juridicidad, probidad y eficiencia; régimen de responsabilidades) y transformación digital del sector público (gobernanza, gestión del cambio y pertinencia territorial). Cada afirmación relevante del documento se ancla a una fuente identificada; cuando la evidencia disponible no permite sostener una afirmación, ello se declara expresamente como limitación metodológica (sección 2.4), en lugar de formularse de modo difícil de respaldar.</w:t>
      </w:r>
    </w:p>
    <w:p>
      <w:pPr>
        <w:pStyle w:val="Heading2"/>
      </w:pPr>
      <w:r>
        <w:t xml:space="preserve">2.2. Inventario documental</w:t>
      </w:r>
    </w:p>
    <w:p>
      <w:pPr>
        <w:spacing w:after="120" w:line="288"/>
        <w:jc w:val="both"/>
      </w:pPr>
      <w:r>
        <w:t xml:space="preserve">Las fuentes técnicas e institucionales se citan en el cuerpo del informe mediante los códigos siguientes. Los textos legales se citan por su número de ley y artículo, conforme a las versiones oficiales de la Biblioteca del Congreso Nacional generadas al 10 de junio de 2026 e incorporadas al expediente de este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c>
          <w:tcPr>
            <w:tcW w:type="dxa" w:w="9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Código</w:t>
            </w:r>
          </w:p>
        </w:tc>
        <w:tc>
          <w:tcPr>
            <w:tcW w:type="dxa" w:w="52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Documento</w:t>
            </w:r>
          </w:p>
        </w:tc>
        <w:tc>
          <w:tcPr>
            <w:tcW w:type="dxa" w:w="32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Aporte principal</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Informe Técnico SIGER — investigación y propuesta de modernización (borrador para discusión, mayo de 2026)</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Metodología de tres bloques; volúmenes productivos; modelo de 285 tablas; arquitectura objetivo de diez servicios de negocio y tres transversales; plan de fases F0–F8; riesgos y mitigaciones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Auditoría de Arquitectura y Usabilidad SIGER</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Hallazgos de obsolescencia estructural, vulnerabilidades bajo Confianza Cero, dictamen de inviabilidad de refactorización, estrategia de migración progresiva</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D3</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PR658 — Sistema de Gestión de Requerimientos v5.0 (2019)</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Contrato de origen vía convenio marco 2239-3-LP15; catálogo RF001–RF041; Anexo 2 de requisitos de plataforma (Java 1.7, Tomcat 7.x, MySQL 5.x); oferta económica de 1.667,2 UF</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D4</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Detalle de requerimientos — Gestión de requerimientos v3.0 (julio de 2019)</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Especificación funcional de origen; reglas de exportación con exclusión de datos protegidos; registro de accesos a información protegida</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D5</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Manual USR.01 — Creación de requerimiento v2.1</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Ingreso en cinco pestañas; validación previa de duplicados por RUT o nombre del NNA; flexibilidad de campos no obligatorios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D6</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Manual USR.02 — Admisibilidad y derivación v2.0</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Tres acciones disjuntas de la coordinación; ventana de mutabilidad previa al caso; constancia de que la acción Responder inmediatamente registra pero no envía comunicaciones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D7</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Manual USR.03 — Gestión de requerimientos y casos v2.0</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Ficha del caso en diez pestañas; Ficha Interna Reservada (régimen de acceso, versionado, contenido); adjuntos de hasta 40 MB; bitácora; reportes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D8</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Volcado SQL del esquema de plataforma, ambiente QA (ai_defensoria_req_qa), sin datos de personas</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Evidencia primaria verificable del esquema del runtime: motores, codificación, estructuras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D9</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README API Gateway — SMID</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Topología del clúster; pipeline de auditoría, validación JWT y enrutamiento; política CORS; normalización de errores</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D10</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README Auth Service — SMID</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Jerarquía Sede → Unidad → Profesional; claims territoriales del token; BCrypt; respuesta antienumeración</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D11</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README SGS v2 — Sistema de Gestión y Seguimiento</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Dominio Oficio → Recomendación → Acción/Seguimiento; procesamiento asíncrono; almacenamiento por hash; desdoble propuesta algorítmica/decisión humana; auditoría inmutable</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D12</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Guía de despliegue SGS — Windows Server</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Operación del stack institucional; procedimientos de respaldo y reversa; notas de secretos y enrutamiento</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D13</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README ESNNA Motor v2</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Análisis y priorización de casos; variables de entorno; alcance declarado</w:t>
            </w:r>
          </w:p>
        </w:tc>
      </w:tr>
      <w:tr>
        <w:tc>
          <w:tcPr>
            <w:tcW w:type="dxa" w:w="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D14</w:t>
            </w:r>
          </w:p>
        </w:tc>
        <w:tc>
          <w:tcPr>
            <w:tcW w:type="dxa" w:w="5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Documento de refactorización ESNNA v2</w:t>
            </w:r>
          </w:p>
        </w:tc>
        <w:tc>
          <w:tcPr>
            <w:tcW w:type="dxa" w:w="3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Decisiones de diseño; auditoría de análisis (modelos, versión de protocolo, hashes, usuario, tokens y costo); deuda declarada fuera de alcance</w:t>
            </w:r>
          </w:p>
        </w:tc>
      </w:tr>
    </w:tbl>
    <w:p>
      <w:pPr>
        <w:spacing w:after="100"/>
      </w:pPr>
      <w:r>
        <w:rPr>
          <w:sz w:val="4"/>
          <w:szCs w:val="4"/>
        </w:rPr>
        <w:t xml:space="preserve"/>
      </w:r>
    </w:p>
    <w:p>
      <w:pPr>
        <w:pStyle w:val="Heading2"/>
      </w:pPr>
      <w:r>
        <w:t xml:space="preserve">2.3. Técnicas de análisis y verificación</w:t>
      </w:r>
    </w:p>
    <w:p>
      <w:pPr>
        <w:spacing w:after="120" w:line="288"/>
        <w:jc w:val="both"/>
      </w:pPr>
      <w:r>
        <w:t xml:space="preserve">Se aplicaron cuatro técnicas. Primero, análisis documental cruzado de D1 a D14, contrastando la intención funcional de origen (D3–D7) con los hallazgos de auditoría (D2) y con el estado del nuevo ecosistema (D9–D14). Segundo, </w:t>
      </w:r>
      <w:r>
        <w:rPr>
          <w:b/>
          <w:bCs/>
        </w:rPr>
        <w:t xml:space="preserve">verificación independiente y reproducible sobre el esquema físico disponible</w:t>
      </w:r>
      <w:r>
        <w:t xml:space="preserve"> (D8): los conteos de motores de almacenamiento, codificación y tipos de columna fueron obtenidos mediante comandos cuyo detalle y resultados íntegros constan en el Anexo A, de modo que cualquier revisor pueda repetirlos. Tercero, análisis normativo sobre los textos oficiales de las leyes N° 21.067, 21.430, 21.719 (incluidas sus modificaciones por las leyes N° 21.755 y 21.806) y 18.575, con cita de disposición específica para cada subsunción del capítulo 6. Cuarto, evaluación de alternativas mediante matriz multicriterio explícita (capítulo 7), para evitar el vicio metodológico de presentar una única vía sin ponderación comparada.</w:t>
      </w:r>
    </w:p>
    <w:p>
      <w:pPr>
        <w:pStyle w:val="Heading2"/>
      </w:pPr>
      <w:r>
        <w:t xml:space="preserve">2.4. Limitaciones metodológicas declaradas</w:t>
      </w:r>
    </w:p>
    <w:p>
      <w:pPr>
        <w:spacing w:after="120" w:line="288"/>
        <w:jc w:val="both"/>
      </w:pPr>
      <w:r>
        <w:t xml:space="preserve">Este informe prefiere declarar sus límites antes que formular afirmaciones sin respaldo. Las limitaciones son las siguientes y se referencian en el cuerpo del documento como L1 a L8.</w:t>
      </w:r>
    </w:p>
    <w:p>
      <w:pPr>
        <w:pStyle w:val="ListParagraph"/>
        <w:numPr>
          <w:ilvl w:val="0"/>
          <w:numId w:val="3"/>
        </w:numPr>
        <w:spacing w:after="60" w:line="276"/>
        <w:jc w:val="both"/>
      </w:pPr>
      <w:r>
        <w:rPr>
          <w:b/>
          <w:bCs/>
        </w:rPr>
        <w:t xml:space="preserve">L1 — Volúmenes productivos.</w:t>
      </w:r>
      <w:r>
        <w:t xml:space="preserve"> Las cifras de la sección 3.3 provienen de D1, que las declara como métricas aproximadas, sin acta de extracción adjunta. Se tratan en consecuencia como órdenes de magnitud; ninguna conclusión del informe depende de su valor exacto. El Anexo B establece el protocolo de acta formal que deberá ejecutarse en la fase F0 y repetirse al corte del 31 de diciembre de 2026.</w:t>
      </w:r>
    </w:p>
    <w:p>
      <w:pPr>
        <w:pStyle w:val="ListParagraph"/>
        <w:numPr>
          <w:ilvl w:val="0"/>
          <w:numId w:val="3"/>
        </w:numPr>
        <w:spacing w:after="60" w:line="276"/>
        <w:jc w:val="both"/>
      </w:pPr>
      <w:r>
        <w:rPr>
          <w:b/>
          <w:bCs/>
        </w:rPr>
        <w:t xml:space="preserve">L2 — Persistencia física de los archivos adjuntos.</w:t>
      </w:r>
      <w:r>
        <w:t xml:space="preserve"> Ni D1 ni D8 documentan el mecanismo de almacenamiento de los binarios (en base de datos o en sistema de archivos acoplado al runtime). La verificación sobre D8 no halló columnas de tipo BLOB (Anexo A), pero D8 corresponde al esquema de plataforma y no al esquema funcional de 149 tablas, que no estuvo disponible de forma directa. El informe, por tanto, no afirma una modalidad de persistencia y evalúa el riesgo por la vía documentada: el volumen (~44.000 adjuntos de hasta 40 MB) y su dependencia del runtime propietario.</w:t>
      </w:r>
    </w:p>
    <w:p>
      <w:pPr>
        <w:pStyle w:val="ListParagraph"/>
        <w:numPr>
          <w:ilvl w:val="0"/>
          <w:numId w:val="3"/>
        </w:numPr>
        <w:spacing w:after="60" w:line="276"/>
        <w:jc w:val="both"/>
      </w:pPr>
      <w:r>
        <w:rPr>
          <w:b/>
          <w:bCs/>
        </w:rPr>
        <w:t xml:space="preserve">L3 — Código fuente del legado.</w:t>
      </w:r>
      <w:r>
        <w:t xml:space="preserve"> La auditoría D2 se ejecutó bajo modalidad de caja negra; no se dispuso del código fuente del sistema legado. Los hallazgos provienen del comportamiento observable y del esquema.</w:t>
      </w:r>
    </w:p>
    <w:p>
      <w:pPr>
        <w:pStyle w:val="ListParagraph"/>
        <w:numPr>
          <w:ilvl w:val="0"/>
          <w:numId w:val="3"/>
        </w:numPr>
        <w:spacing w:after="60" w:line="276"/>
        <w:jc w:val="both"/>
      </w:pPr>
      <w:r>
        <w:rPr>
          <w:b/>
          <w:bCs/>
        </w:rPr>
        <w:t xml:space="preserve">L4 — Evaluación del nuevo ecosistema.</w:t>
      </w:r>
      <w:r>
        <w:t xml:space="preserve"> SMID fue evaluado a partir de su propia documentación técnica (D9–D14) y de su comportamiento en operación; no se ha ejecutado aún una prueba de intrusión formal por tercero independiente. Su realización se incorpora al plan del capítulo 9 (P2).</w:t>
      </w:r>
    </w:p>
    <w:p>
      <w:pPr>
        <w:pStyle w:val="ListParagraph"/>
        <w:numPr>
          <w:ilvl w:val="0"/>
          <w:numId w:val="3"/>
        </w:numPr>
        <w:spacing w:after="60" w:line="276"/>
        <w:jc w:val="both"/>
      </w:pPr>
      <w:r>
        <w:rPr>
          <w:b/>
          <w:bCs/>
        </w:rPr>
        <w:t xml:space="preserve">L5 — Cuantificación presupuestaria.</w:t>
      </w:r>
      <w:r>
        <w:t xml:space="preserve"> El capítulo 12 es cualitativo por decisión metodológica; la cuantificación detallada es entregable de la fase F0, bajo conducción de Administración y Finanzas.</w:t>
      </w:r>
    </w:p>
    <w:p>
      <w:pPr>
        <w:pStyle w:val="ListParagraph"/>
        <w:numPr>
          <w:ilvl w:val="0"/>
          <w:numId w:val="3"/>
        </w:numPr>
        <w:spacing w:after="60" w:line="276"/>
        <w:jc w:val="both"/>
      </w:pPr>
      <w:r>
        <w:rPr>
          <w:b/>
          <w:bCs/>
        </w:rPr>
        <w:t xml:space="preserve">L6 — Marco normativo complementario.</w:t>
      </w:r>
      <w:r>
        <w:t xml:space="preserve"> La aplicabilidad específica de la Ley N° 21.663 (ciberseguridad) y de la Ley N° 21.180 (transformación digital) a una corporación autónoma de derecho público como la Defensoría requiere pronunciamiento de Fiscalía; ambas se invocan en este informe como estándar de referencia, no como fuente directa de obligación, y así se distingue en el capítulo 5.</w:t>
      </w:r>
    </w:p>
    <w:p>
      <w:pPr>
        <w:pStyle w:val="ListParagraph"/>
        <w:numPr>
          <w:ilvl w:val="0"/>
          <w:numId w:val="3"/>
        </w:numPr>
        <w:spacing w:after="60" w:line="276"/>
        <w:jc w:val="both"/>
      </w:pPr>
      <w:r>
        <w:rPr>
          <w:b/>
          <w:bCs/>
        </w:rPr>
        <w:t xml:space="preserve">L7 — Divergencia de conteos de tablas entre fuentes.</w:t>
      </w:r>
      <w:r>
        <w:t xml:space="preserve"> D1 reporta, para el ambiente productivo, 285 tablas totales (149 del esquema funcional y 136 del runtime, de las cuales 103 en motor MyISAM). La verificación independiente sobre D8 —que es un volcado del esquema de plataforma en ambiente QA— arroja 122 sentencias de creación de tabla, 89 de ellas en MyISAM y 33 en InnoDB, con codificación latin1 en la totalidad. Ambas mediciones son consistentes en orden de magnitud y en proporción; la diferencia es atribuible al ambiente y la versión del volcado. El informe reporta ambas cifras con su fuente, sin fusionarlas.</w:t>
      </w:r>
    </w:p>
    <w:p>
      <w:pPr>
        <w:pStyle w:val="ListParagraph"/>
        <w:numPr>
          <w:ilvl w:val="0"/>
          <w:numId w:val="3"/>
        </w:numPr>
        <w:spacing w:after="60" w:line="276"/>
        <w:jc w:val="both"/>
      </w:pPr>
      <w:r>
        <w:rPr>
          <w:b/>
          <w:bCs/>
        </w:rPr>
        <w:t xml:space="preserve">L8 — Estado operativo de la plataforma de contenedores.</w:t>
      </w:r>
      <w:r>
        <w:t xml:space="preserve"> D12 documentó un patrón de despliegue nativo mediante servicios de Windows; a la fecha de este informe, la operación institucional declara disponibles y operativos entornos Docker sobre WSL en el Windows Server para los servicios de mensajería (RabbitMQ) y almacenamiento de objetos (MinIO), y para herramientas futuras. Esta condición se registra como supuesto operativo declarado por la propia institución y su consolidación documental (runbooks) forma parte de la gobernanza del capítulo 13.</w:t>
      </w:r>
    </w:p>
    <w:p>
      <w:pPr>
        <w:pStyle w:val="Heading2"/>
      </w:pPr>
      <w:r>
        <w:t xml:space="preserve">2.5. Convenciones del documento</w:t>
      </w:r>
    </w:p>
    <w:p>
      <w:pPr>
        <w:spacing w:after="120" w:line="288"/>
        <w:jc w:val="both"/>
      </w:pPr>
      <w:r>
        <w:t xml:space="preserve">Tres convenciones rigen la redacción. Primera, </w:t>
      </w:r>
      <w:r>
        <w:rPr>
          <w:b/>
          <w:bCs/>
        </w:rPr>
        <w:t xml:space="preserve">terminología con enfoque de derechos</w:t>
      </w:r>
      <w:r>
        <w:t xml:space="preserve">: en alineación formal con la Ley N° 21.430, el informe se refiere en todos los casos a niños, niñas y adolescentes (NNA) o a sujetos de derechos; ninguna otra denominación es admisible en los documentos institucionales derivados de este informe. Segunda, </w:t>
      </w:r>
      <w:r>
        <w:rPr>
          <w:b/>
          <w:bCs/>
        </w:rPr>
        <w:t xml:space="preserve">distinción de roles</w:t>
      </w:r>
      <w:r>
        <w:t xml:space="preserve">: la expresión Desarrollo Institucional designa la función de gestión y optimización de procesos internos —que incluye la construcción de las herramientas que los soportan—, y se distingue de TI de Infraestructura, área conformada por dos ingenieros de sistemas a cargo del soporte, la plataforma y los respaldos; este informe no asigna a TI de Infraestructura funciones de desarrollo de software ni de diseño de arquitecturas distribuidas. Tercera, </w:t>
      </w:r>
      <w:r>
        <w:rPr>
          <w:b/>
          <w:bCs/>
        </w:rPr>
        <w:t xml:space="preserve">citas</w:t>
      </w:r>
      <w:r>
        <w:t xml:space="preserve">: las fuentes técnicas se citan por código [D1]–[D14] conforme a la tabla de la sección 2.2; las normas, por ley y artículo.</w:t>
      </w:r>
    </w:p>
    <w:p>
      <w:pPr>
        <w:pStyle w:val="Heading1"/>
        <w:pageBreakBefore/>
      </w:pPr>
      <w:r>
        <w:t xml:space="preserve">3. El Sistema SIGER: Estado Actual Verificado</w:t>
      </w:r>
    </w:p>
    <w:p>
      <w:pPr>
        <w:pStyle w:val="Heading2"/>
      </w:pPr>
      <w:r>
        <w:t xml:space="preserve">3.1. Función institucional y modelo operativo</w:t>
      </w:r>
    </w:p>
    <w:p>
      <w:pPr>
        <w:spacing w:after="120" w:line="288"/>
        <w:jc w:val="both"/>
      </w:pPr>
      <w:r>
        <w:t xml:space="preserve">SIGER automatiza el proceso sustantivo de entrada de la Defensoría —requerimiento, asignación, caso—, enmarcado en el ámbito estratégico de efectivización de protección y restitución de derechos vulnerados de NNA [D1, D3]. El flujo encadena tres subprocesos: la gestión del requerimiento (ingreso por vía web o presencial), la asignación a la unidad y al profesional responsable, y la gestión del caso hasta su cierre formal. Operan sobre él siete roles institucionales —Oficina de Partes y recepción de requerimientos; coordinación de unidad responsable de la admisibilidad; responsable de caso; colaboración jurídica o psicosocial; dirección de la UPRJ; Defensora y Jefatura de Gabinete; y jefaturas con capacidad de supervisión— y cuatro Unidades de Destino nacionales: UPRJ, Gabinete, UEG y UPDD [D1]. La clasificación de los casos de protección judicial distingue cuatro niveles de complejidad (baja, mediana, alta y fast-track) y tres de urgencia (verde, amarillo, rojo), reasignables con validación de jefatura [D1].</w:t>
      </w:r>
    </w:p>
    <w:p>
      <w:pPr>
        <w:spacing w:after="120" w:line="288"/>
        <w:jc w:val="both"/>
      </w:pPr>
      <w:r>
        <w:t xml:space="preserve">Dos características operativas del diseño original deben quedar registradas porque condicionan el reemplazo. Primera, la </w:t>
      </w:r>
      <w:r>
        <w:rPr>
          <w:b/>
          <w:bCs/>
        </w:rPr>
        <w:t xml:space="preserve">flexibilidad del ingreso</w:t>
      </w:r>
      <w:r>
        <w:t xml:space="preserve">: la mayoría de los campos del formulario de requerimiento no son obligatorios, de modo que la información de entrada puede ser parcial; D1 establece expresamente que esa flexibilidad debe preservarse en la nueva arquitectura, pues responde a la realidad del primer contacto con personas requirentes, muchas veces en situaciones de urgencia. Segunda, una restricción de alcance del sistema actual: la acción denominada Responder inmediatamente </w:t>
      </w:r>
      <w:r>
        <w:rPr>
          <w:b/>
          <w:bCs/>
        </w:rPr>
        <w:t xml:space="preserve">registra</w:t>
      </w:r>
      <w:r>
        <w:t xml:space="preserve"> la atención efectuada, pero no envía comunicación alguna a la persona requirente; la respuesta se materializa por mecanismos ajenos al sistema [D6]. Esta constancia es relevante para la UPDD y para Gabinete: el sistema vigente no es un canal de comunicación institucional, sino un registro de gestiones realizadas fuera de él.</w:t>
      </w:r>
    </w:p>
    <w:p>
      <w:pPr>
        <w:pStyle w:val="Heading2"/>
      </w:pPr>
      <w:r>
        <w:t xml:space="preserve">3.2. La Ficha Interna Reservada: el subdominio de máxima criticidad</w:t>
      </w:r>
    </w:p>
    <w:p>
      <w:pPr>
        <w:spacing w:after="120" w:line="288"/>
        <w:jc w:val="both"/>
      </w:pPr>
      <w:r>
        <w:t xml:space="preserve">La Ficha Interna Reservada (FIR) se activa para casos de vulneración de complejidad mediana o alta y constituye el subdominio de confidencialidad más exigente de toda la operación institucional [D1, D7]. Su régimen de acceso es restrictivo por diseño: solo el profesional a cargo, su equipo de trabajo y las jefaturas de unidad pueden visualizarla [D7]. Su contenido reúne la caracterización del caso, los antecedentes de la vulneración, el análisis de criticidad, las recomendaciones jurídicas y psicosociales, la cronología de los hechos, los actores e instituciones involucradas, los testigos, la judicialización previa y los anexos reservados [D1]. Incorpora versionamiento explícito: cada actualización mayor genera una nueva versión que congela la información previa, y solo la versión vigente es editable [D7].</w:t>
      </w:r>
    </w:p>
    <w:p>
      <w:pPr>
        <w:spacing w:after="120" w:line="288"/>
        <w:jc w:val="both"/>
      </w:pPr>
      <w:r>
        <w:t xml:space="preserve">D1 concluye que cuatro características combinadas —acceso restringido exigido por el requerimiento funcional RF019, versionamiento explícito, necesidad de cifrado en base de datos para los datos protegidos y separación de anexos con política de acceso propia— constituyen un argumento contundente para tratar la FIR como subdominio técnicamente independiente en la nueva arquitectura. Este informe hace suya esa conclusión y la lleva más lejos en el capítulo 6: el contraste entre el régimen de acceso que la FIR exige y las vulnerabilidades de autorización que la plataforma actual presenta es, jurídicamente, el hallazgo más grave de todo el diagnóstico. Al cierre estadístico disponible existen del orden de 15.700 fichas reservadas creadas [D1, con la reserva L1].</w:t>
      </w:r>
    </w:p>
    <w:p>
      <w:pPr>
        <w:pStyle w:val="Heading2"/>
      </w:pPr>
      <w:r>
        <w:t xml:space="preserve">3.3. Volúmenes productivos declarados</w:t>
      </w:r>
    </w:p>
    <w:p>
      <w:pPr>
        <w:spacing w:after="120" w:line="288"/>
        <w:jc w:val="both"/>
      </w:pPr>
      <w:r>
        <w:t xml:space="preserve">El modelo de datos físico acumula años de operación sostenida a escala nacional. Las métricas declaradas en D1 —aproximadas, conforme a la limitación L1— son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Entidad</w:t>
            </w:r>
          </w:p>
        </w:tc>
        <w:tc>
          <w:tcPr>
            <w:tcW w:type="dxa" w:w="234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Volumen aproximado</w:t>
            </w:r>
          </w:p>
        </w:tc>
        <w:tc>
          <w:tcPr>
            <w:tcW w:type="dxa" w:w="234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Fuente</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Requerimientos ingresados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42.000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Casos generados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21.000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Archivos adjuntos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44.000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Entradas de bitácora</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46.000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Personas registradas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27.000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Fichas Internas Reservadas creadas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15.700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r>
        <w:tc>
          <w:tcPr>
            <w:tcW w:type="dxa" w:w="46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Registros de log de cambios sobre casos</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550.000</w:t>
            </w:r>
          </w:p>
        </w:tc>
        <w:tc>
          <w:tcPr>
            <w:tcW w:type="dxa" w:w="23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w:t>
            </w:r>
          </w:p>
        </w:tc>
      </w:tr>
    </w:tbl>
    <w:p>
      <w:pPr>
        <w:spacing w:after="100"/>
      </w:pPr>
      <w:r>
        <w:rPr>
          <w:sz w:val="4"/>
          <w:szCs w:val="4"/>
        </w:rPr>
        <w:t xml:space="preserve"/>
      </w:r>
    </w:p>
    <w:p>
      <w:pPr>
        <w:spacing w:after="120" w:line="288"/>
        <w:jc w:val="both"/>
      </w:pPr>
      <w:r>
        <w:t xml:space="preserve">A ello se suma la dimensión estructural: 285 tablas en total, de las cuales 149 pertenecen al esquema funcional y 136 al runtime de la plataforma propietaria, incluyendo seguridad y workflows [D1]. Estos volúmenes definen el problema de la transición: no se trata de mover un archivo, sino de gobernar un dataset institucional de años, que incluye el corpus narrativo confidencial de NNA, las series estadísticas de la UEG y la numeración interna de cada Sede Regional. El capítulo 10 aborda esa gobernanza con un análisis dialéctico explícito.</w:t>
      </w:r>
    </w:p>
    <w:p>
      <w:pPr>
        <w:pStyle w:val="Heading2"/>
      </w:pPr>
      <w:r>
        <w:t xml:space="preserve">3.4. La plataforma de soporte y su estado de obsolescencia</w:t>
      </w:r>
    </w:p>
    <w:p>
      <w:pPr>
        <w:spacing w:after="120" w:line="288"/>
        <w:jc w:val="both"/>
      </w:pPr>
      <w:r>
        <w:t xml:space="preserve">SIGER no es solo un conjunto de pantallas: es una aplicación construida sobre la plataforma propietaria Árbol Intelligence, cuyo runtime aporta al esquema productivo 136 tablas propias de seguridad, workflows y reportería [D1]. El contrato de origen, adjudicado mediante convenio marco 2239-3-LP15 [D3], especificó en su Anexo 2 los requisitos de plataforma: servidor web Apache Tomcat 7.x, J2SDK 1.7.x y MySQL Server 5.x. Ese stack completo se encuentra hoy fuera del soporte oficial de sus fabricantes —condición que D1 consigna expresamente respecto de Java 1.7 y MySQL 5—, lo que significa que las vulnerabilidades descubiertas en esos componentes desde el término de su soporte no reciben ni recibirán parches. Esta es una constatación externa y verificable, independiente de cualquier juicio sobre el diseño: ningún esfuerzo institucional puede devolverle soporte de fabricante a una plataforma cuyo ciclo de vida terminó.</w:t>
      </w:r>
    </w:p>
    <w:p>
      <w:pPr>
        <w:spacing w:after="120" w:line="288"/>
        <w:jc w:val="both"/>
      </w:pPr>
      <w:r>
        <w:t xml:space="preserve">La verificación independiente sobre el esquema de plataforma disponible (D8, Anexo A) es consistente con ese cuadro: la totalidad de las tablas del volcado declara codificación latin1 —sin soporte completo de Unicode, con las consecuencias que la sección 4.3 desarrolla para nombres y relatos—, y el 73 por ciento de ellas opera sobre el motor MyISAM, que carece de transacciones, de claves foráneas efectivas y de recuperación robusta ante caídas.</w:t>
      </w:r>
    </w:p>
    <w:p>
      <w:pPr>
        <w:pStyle w:val="Heading2"/>
      </w:pPr>
      <w:r>
        <w:t xml:space="preserve">3.5. Reconocimiento del valor prestado y desfase del estándar</w:t>
      </w:r>
    </w:p>
    <w:p>
      <w:pPr>
        <w:spacing w:after="120" w:line="288"/>
        <w:jc w:val="both"/>
      </w:pPr>
      <w:r>
        <w:t xml:space="preserve">Este informe deja constancia, con la misma seriedad de sus críticas, de que la lógica de negocio de SIGER ha demostrado su valor durante años de operación [D1] y de que ninguno de los hallazgos estructurales constituye una crítica al diseño original, que respondió a las prácticas y al stack vigentes en 2019 [D1]. El problema institucional no es que el sistema haya fallado en lo que se le pidió: es que el estándar exigible cambió después de su diseño. La Ley N° 21.430 (2022) elevó los deberes de reserva, registro y respuesta sobre la información de NNA; la Ley N° 21.719 (2024) instaló la protección desde el diseño como obligación legal con responsabilidad personal de jefaturas; y el estado del arte en ciberseguridad abandonó el modelo de perímetro confiable sobre el que SIGER fue construido [D2]. La crítica de este informe se dirige, en consecuencia, al desfase entre la plataforma y el estándar normativo y de amenazas vigente, no a las personas ni al proveedor de origen. Precisamente por eso la propuesta es </w:t>
      </w:r>
      <w:r>
        <w:rPr>
          <w:b/>
          <w:bCs/>
        </w:rPr>
        <w:t xml:space="preserve">modernizar la plataforma preservando la lógica de negocio que ya funciona</w:t>
      </w:r>
      <w:r>
        <w:t xml:space="preserve"> [D1]: los flujos, los roles y las reglas operativas levantadas en D3–D7 son un activo institucional; el vehículo que los ejecuta es lo que cumplió su ciclo.</w:t>
      </w:r>
    </w:p>
    <w:p>
      <w:pPr>
        <w:pStyle w:val="Heading2"/>
      </w:pPr>
      <w:r>
        <w:t xml:space="preserve">3.6. Lectura institucional: Sedes Regionales y Unidades de Destino</w:t>
      </w:r>
    </w:p>
    <w:p>
      <w:pPr>
        <w:spacing w:after="120" w:line="288"/>
        <w:jc w:val="both"/>
      </w:pPr>
      <w:r>
        <w:t xml:space="preserve">La estructura orgánica nacida de la Ley N° 21.067 despliega a la Defensoría en el territorio mediante Sedes Regionales y articula su operación sustantiva en las cuatro Unidades de Destino. El estado actual del sistema impacta a cada una de manera diferenciada, y toda solución que este informe proponga debe acreditar pertinencia para todas ellas: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Unidad / ámbito</w:t>
            </w:r>
          </w:p>
        </w:tc>
        <w:tc>
          <w:tcPr>
            <w:tcW w:type="dxa" w:w="64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Impacto del estado actual</w:t>
            </w:r>
          </w:p>
        </w:tc>
      </w:tr>
      <w:tr>
        <w:tc>
          <w:tcPr>
            <w:tcW w:type="dxa" w:w="2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Unidad de Protección y Representación Judicial</w:t>
            </w:r>
          </w:p>
        </w:tc>
        <w:tc>
          <w:tcPr>
            <w:tcW w:type="dxa" w:w="64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Custodia el subdominio FIR y la gestión de casos; es la principal afectada por la ausencia de autorización a nivel de recurso (IDOR) y por la falta de cifrado del tráfico, que comprometen el régimen de acceso restringido que la propia FIR exige (secciones 4.2 y 6.2).</w:t>
            </w:r>
          </w:p>
        </w:tc>
      </w:tr>
      <w:tr>
        <w:tc>
          <w:tcPr>
            <w:tcW w:type="dxa" w:w="2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Unidad de Estudios y Gestión</w:t>
            </w:r>
          </w:p>
        </w:tc>
        <w:tc>
          <w:tcPr>
            <w:tcW w:type="dxa" w:w="64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Depende de la calidad del dato para análisis, indicadores y series; es la principal afectada por los registros sin información, los huérfanos estructurales y la imposibilidad de inteligencia de negocios en tiempo real [D2]; es también la unidad que certifica el corte estadístico del 31-12-2026 (capítulo 10).</w:t>
            </w:r>
          </w:p>
        </w:tc>
      </w:tr>
      <w:tr>
        <w:tc>
          <w:tcPr>
            <w:tcW w:type="dxa" w:w="2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Unidad de Promoción y Difusión de Derechos</w:t>
            </w:r>
          </w:p>
        </w:tc>
        <w:tc>
          <w:tcPr>
            <w:tcW w:type="dxa" w:w="64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Requiere visibilidad de estado de avance de casos (RF023, D3) y trazabilidad de las gestiones de difusión; el sistema actual la limita a consultas estáticas y no constituye canal de comunicación institucional (sección 3.1).</w:t>
            </w:r>
          </w:p>
        </w:tc>
      </w:tr>
      <w:tr>
        <w:tc>
          <w:tcPr>
            <w:tcW w:type="dxa" w:w="2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Gabinete</w:t>
            </w:r>
          </w:p>
        </w:tc>
        <w:tc>
          <w:tcPr>
            <w:tcW w:type="dxa" w:w="64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Concentra escalamientos de inadmisibilidad hacia la Defensora y priorizaciones de urgencia; la carencia de un motor de alertas y escalamientos [D2] obliga a controles manuales sobre plazos que la ley fija con precisión (arts. 62 y 63 de la Ley N° 21.430; art. 4 de la Ley N° 21.067).</w:t>
            </w:r>
          </w:p>
        </w:tc>
      </w:tr>
      <w:tr>
        <w:tc>
          <w:tcPr>
            <w:tcW w:type="dxa" w:w="2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Sedes Regionales</w:t>
            </w:r>
          </w:p>
        </w:tc>
        <w:tc>
          <w:tcPr>
            <w:tcW w:type="dxa" w:w="64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Operan sobre un sistema centralizado sin alcance territorial en su modelo de autorización: cualquier credencial válida en la red puede alcanzar registros de otras sedes alterando un identificador en la URL [D2]; además, cada sede sostiene su numeración interna y sus series anuales, que el capítulo 10 protege con el corte al cierre de 2026.</w:t>
            </w:r>
          </w:p>
        </w:tc>
      </w:tr>
    </w:tbl>
    <w:p>
      <w:pPr>
        <w:spacing w:after="100"/>
      </w:pPr>
      <w:r>
        <w:rPr>
          <w:sz w:val="4"/>
          <w:szCs w:val="4"/>
        </w:rPr>
        <w:t xml:space="preserve"/>
      </w:r>
    </w:p>
    <w:p>
      <w:pPr>
        <w:spacing w:after="120" w:line="288"/>
        <w:jc w:val="both"/>
      </w:pPr>
      <w:r>
        <w:t xml:space="preserve">La nueva arquitectura responde a esta lectura con un principio rector: la autorización deja de ser perimetral y pasa a ser </w:t>
      </w:r>
      <w:r>
        <w:rPr>
          <w:b/>
          <w:bCs/>
        </w:rPr>
        <w:t xml:space="preserve">territorial por diseño</w:t>
      </w:r>
      <w:r>
        <w:t xml:space="preserve">, mediante la jerarquía Sede → Unidad → Profesional incorporada en las credenciales mismas (sección 8.1), de modo que cada jefatura regional resguarda el acceso a sus propios registros en cumplimiento del deber de reserva del artículo 64 de la Ley N° 21.430.</w:t>
      </w:r>
    </w:p>
    <w:p>
      <w:pPr>
        <w:pStyle w:val="Heading1"/>
        <w:pageBreakBefore/>
      </w:pPr>
      <w:r>
        <w:t xml:space="preserve">4. Diagnóstico Técnico del Sistema Legado</w:t>
      </w:r>
    </w:p>
    <w:p>
      <w:pPr>
        <w:spacing w:after="120" w:line="288"/>
        <w:jc w:val="both"/>
      </w:pPr>
      <w:r>
        <w:t xml:space="preserve">Este capítulo consolida los hallazgos verificables sobre SIGER y su plataforma, citando en cada caso su fuente. Su propósito no es acumular reproches, sino establecer la base fáctica sobre la que el capítulo 6 construye la subsunción normativa y el capítulo 7 la evaluación de alternativas.</w:t>
      </w:r>
    </w:p>
    <w:p>
      <w:pPr>
        <w:pStyle w:val="Heading2"/>
      </w:pPr>
      <w:r>
        <w:t xml:space="preserve">4.1. Arquitectura de presentación y acoplamiento estructural</w:t>
      </w:r>
    </w:p>
    <w:p>
      <w:pPr>
        <w:spacing w:after="120" w:line="288"/>
        <w:jc w:val="both"/>
      </w:pPr>
      <w:r>
        <w:t xml:space="preserve">La capa de presentación encapsula sus vistas en hasta cuatro niveles de framesets anidados bajo el estándar HTML 4.01, lo que destruye la navegación natural del navegador, imposibilita el ruteo directo a un caso específico y eleva el consumo de memoria en los equipos de las personas usuarias [D2]. No existen API de datos estandarizadas: el servidor procesa y envía páginas HTML completas en cada interacción, impidiendo separar el front-end del back-end y bloqueando cualquier integración futura con otras plataformas institucionales [D2]. La auditoría constató, además, inyección de librerías modernas sobre estructuras arcaicas y módulos inoperativos expuestos en producción [D2], y un acoplamiento extremo entre la capa visual y la lógica de base de datos, con la reportería estadística fragmentada en múltiples vistas estáticas independientes, de modo que cualquier intento de actualización de librerías o de diseño rompe el sistema en cascada [D2]. La conclusión técnica de D2 es literal: la refactorización en este escenario no es una mejora iterativa, es arqueología digital sin retorno de inversión.</w:t>
      </w:r>
    </w:p>
    <w:p>
      <w:pPr>
        <w:pStyle w:val="Heading2"/>
      </w:pPr>
      <w:r>
        <w:t xml:space="preserve">4.2. Seguridad bajo el paradigma de Confianza Cero</w:t>
      </w:r>
    </w:p>
    <w:p>
      <w:pPr>
        <w:spacing w:after="120" w:line="288"/>
        <w:jc w:val="both"/>
      </w:pPr>
      <w:r>
        <w:t xml:space="preserve">SIGER fue construido bajo un modelo de seguridad perimetral —la presunción de que, por operar dentro de una red privada o VPN, la aplicación no requiere defensas propias—. Bajo el estándar contemporáneo de Confianza Cero esa presunción es insostenible: la red interna nunca debe considerarse libre de amenazas [D2]. Cuatro hallazgos concretan el riesgo.</w:t>
      </w:r>
    </w:p>
    <w:p>
      <w:pPr>
        <w:pStyle w:val="Heading3"/>
      </w:pPr>
      <w:r>
        <w:t xml:space="preserve">4.2.1. Tráfico interno sin cifrado</w:t>
      </w:r>
    </w:p>
    <w:p>
      <w:pPr>
        <w:spacing w:after="120" w:line="288"/>
        <w:jc w:val="both"/>
      </w:pPr>
      <w:r>
        <w:t xml:space="preserve">El sistema opera exclusivamente bajo HTTP, sin cifrado TLS, transmitiendo datos a través de puertos de aplicación expuestos [D2]. Cualquier dispositivo comprometido dentro de la red —por ejemplo, mediante un medio extraíble contaminado o un adjunto malicioso— puede capturar en texto claro credenciales de acceso, contraseñas, RUT y descripciones detalladas de vulneraciones de NNA [D2]. La VPN protege la puerta de entrada; el sistema carece de puertas internas.</w:t>
      </w:r>
    </w:p>
    <w:p>
      <w:pPr>
        <w:pStyle w:val="Heading3"/>
      </w:pPr>
      <w:r>
        <w:t xml:space="preserve">4.2.2. El vector del navegador: ejecución de órdenes a través de sesiones legítimas</w:t>
      </w:r>
    </w:p>
    <w:p>
      <w:pPr>
        <w:spacing w:after="120" w:line="288"/>
        <w:jc w:val="both"/>
      </w:pPr>
      <w:r>
        <w:t xml:space="preserve">La ausencia de políticas de seguridad de contenido (CSP) y la dependencia de marcos habilitan ataques de tipo XSS y clickjacking: una página externa comprometida, abierta por una persona funcionaria con su sesión de SIGER activa, puede usar su navegador como puente para ejecutar órdenes dentro del sistema interno —modificar o eliminar requerimientos— sin vulnerar la VPN, porque la petición proviene de un equipo y una sesión de confianza [D2].</w:t>
      </w:r>
    </w:p>
    <w:p>
      <w:pPr>
        <w:pStyle w:val="Heading3"/>
      </w:pPr>
      <w:r>
        <w:t xml:space="preserve">4.2.3. Referencia directa a objetos sin autorización (IDOR)</w:t>
      </w:r>
    </w:p>
    <w:p>
      <w:pPr>
        <w:spacing w:after="120" w:line="288"/>
        <w:jc w:val="both"/>
      </w:pPr>
      <w:r>
        <w:t xml:space="preserve">La inspección de las rutas de navegación demuestra que SIGER expone las llaves primarias de la base de datos directamente en la barra de direcciones (por ejemplo, TablaDinamica.jsp con un parámetro id numérico) [D2]. El sistema confía en que, si la persona está autenticada en la red, tiene permiso para la consulta; en consecuencia, </w:t>
      </w:r>
      <w:r>
        <w:rPr>
          <w:b/>
          <w:bCs/>
        </w:rPr>
        <w:t xml:space="preserve">cualquier credencial básica puede alterar el número del identificador en la URL y acceder a expedientes de otras unidades y sedes a los que no está autorizada</w:t>
      </w:r>
      <w:r>
        <w:t xml:space="preserve"> [D2]. Este hallazgo colisiona frontalmente con el régimen de acceso restringido que la propia FIR exige por diseño (sección 3.2) y es el núcleo de la subsunción del capítulo 6: la autorización no existe a nivel de recurso, solo a nivel de perímetro.</w:t>
      </w:r>
    </w:p>
    <w:p>
      <w:pPr>
        <w:pStyle w:val="Heading3"/>
      </w:pPr>
      <w:r>
        <w:t xml:space="preserve">4.2.4. Exposición de infraestructura</w:t>
      </w:r>
    </w:p>
    <w:p>
      <w:pPr>
        <w:spacing w:after="120" w:line="288"/>
        <w:jc w:val="both"/>
      </w:pPr>
      <w:r>
        <w:t xml:space="preserve">El código entregado al cliente filtra direcciones IP internas y puertos de servidores de aplicación, eludiendo las capas de proxy inverso y cortafuegos perimetral recomendadas [D2]. Un atacante que alcance la red obtiene del propio sistema el mapa para moverse lateralmente.</w:t>
      </w:r>
    </w:p>
    <w:p>
      <w:pPr>
        <w:pStyle w:val="Heading2"/>
      </w:pPr>
      <w:r>
        <w:t xml:space="preserve">4.3. Capa de datos: motores, codificación e integridad</w:t>
      </w:r>
    </w:p>
    <w:p>
      <w:pPr>
        <w:spacing w:after="120" w:line="288"/>
        <w:jc w:val="both"/>
      </w:pPr>
      <w:r>
        <w:rPr>
          <w:b/>
          <w:bCs/>
        </w:rPr>
        <w:t xml:space="preserve">Motores de almacenamiento.</w:t>
      </w:r>
      <w:r>
        <w:t xml:space="preserve"> El runtime de la plataforma opera mayoritariamente sobre el motor MyISAM: 103 de las 136 tablas del runtime productivo según D1, y 89 de las 122 tablas del volcado de plataforma verificado de forma independiente (D8, Anexo A; limitación L7). MyISAM no implementa transacciones, no aplica claves foráneas y su recuperación ante caídas opera por reparación de tablas, no por bitácora transaccional. La convivencia de motores agrava el cuadro: una operación que cruce tablas MyISAM e InnoDB no puede deshacerse de forma atómica, de modo que un bloqueo o caída en mitad de una escritura puede dejar el expediente en estado intermedio sin mecanismo de reversa del motor. Para una institución cuyos registros pueden alimentar actuaciones judiciales, la ausencia de atomicidad de extremo a extremo es un riesgo de integridad probatoria, no una sutileza técnica.</w:t>
      </w:r>
    </w:p>
    <w:p>
      <w:pPr>
        <w:spacing w:after="120" w:line="288"/>
        <w:jc w:val="both"/>
      </w:pPr>
      <w:r>
        <w:rPr>
          <w:b/>
          <w:bCs/>
        </w:rPr>
        <w:t xml:space="preserve">Codificación.</w:t>
      </w:r>
      <w:r>
        <w:t xml:space="preserve"> La totalidad de las tablas del volcado declara latin1 (D8, Anexo A), consistente con lo reportado por D1. La codificación latin1 no cubre el repertorio completo de Unicode: nombres, topónimos y relatos que contengan caracteres fuera de ese repertorio se almacenan degradados o sustituidos. Esta condición es, además, la raíz del riesgo de transcodificación masiva que el capítulo 10 analiza: convertir años de relatos confidenciales de latin1 a utf8mb4 en un solo movimiento, sobre motores sin transaccionalidad, es la operación con mayor probabilidad de corrupción silenciosa de todo el programa, y por eso este informe la gobierna con un tratamiento diferenciado.</w:t>
      </w:r>
    </w:p>
    <w:p>
      <w:pPr>
        <w:spacing w:after="120" w:line="288"/>
        <w:jc w:val="both"/>
      </w:pPr>
      <w:r>
        <w:rPr>
          <w:b/>
          <w:bCs/>
        </w:rPr>
        <w:t xml:space="preserve">Prácticas de modelado heredadas.</w:t>
      </w:r>
      <w:r>
        <w:t xml:space="preserve"> D1 documenta el uso de enteros como booleanos, tablas-catálogo para enumeraciones de baja cardinalidad, columnas varchar(4000) sobredimensionadas y una duplicación estructural entre las entidades persona y profesional, con cerca de veinte atributos idénticos. La verificación sobre D8 aporta un ejemplo elocuente de la sobredimensión y de una práctica adicional de retención cuestionable: la tabla de log almacena la cabecera HTTP completa de cada evento en una columna varchar(4000) (Anexo A); registrar cabeceras íntegras en base de datos excede lo necesario para auditar y tensiona el principio de proporcionalidad en el tratamiento.</w:t>
      </w:r>
    </w:p>
    <w:p>
      <w:pPr>
        <w:spacing w:after="120" w:line="288"/>
        <w:jc w:val="both"/>
      </w:pPr>
      <w:r>
        <w:rPr>
          <w:b/>
          <w:bCs/>
        </w:rPr>
        <w:t xml:space="preserve">Acoplamientos críticos.</w:t>
      </w:r>
      <w:r>
        <w:t xml:space="preserve"> D1 identifica cinco acoplamientos que cualquier rediseño debe resolver: el caso con su profesional responsable y su requerimiento de origen; los productos institucionales con el profesional y la institución externa; los integrantes del equipo cruzando caso y profesional; la ficha reservada referenciando al último profesional que la editó; y los antecedentes referenciando al profesional autor.</w:t>
      </w:r>
    </w:p>
    <w:p>
      <w:pPr>
        <w:spacing w:after="120" w:line="288"/>
        <w:jc w:val="both"/>
      </w:pPr>
      <w:r>
        <w:rPr>
          <w:b/>
          <w:bCs/>
        </w:rPr>
        <w:t xml:space="preserve">Integridad funcional.</w:t>
      </w:r>
      <w:r>
        <w:t xml:space="preserve"> La ausencia de validaciones de dominio en formularios críticos permite cruzar entidades incompatibles —personas naturales con personas jurídicas en campos únicos— y cerrar requerimientos sin capturar datos demográficos mínimos, lo que produce bases contaminadas con registros vacíos o nulos [D2]; D2 califica el fenómeno como registros sin información o registros fantasmas, y advierte que oculta la realidad operativa tras métricas incompletas. La principal perjudicada institucional es la UEG, cuyo insumo de análisis nace contaminado.</w:t>
      </w:r>
    </w:p>
    <w:p>
      <w:pPr>
        <w:spacing w:after="120" w:line="288"/>
        <w:jc w:val="both"/>
      </w:pPr>
      <w:r>
        <w:rPr>
          <w:b/>
          <w:bCs/>
        </w:rPr>
        <w:t xml:space="preserve">Archivos adjuntos.</w:t>
      </w:r>
      <w:r>
        <w:t xml:space="preserve"> El sistema admite adjuntos de hasta 40 MB en una amplia lista de formatos [D7] y acumula del orden de 44.000 archivos [D1]. Conforme a la limitación L2, el mecanismo físico de persistencia de los binarios no está documentado en las fuentes disponibles; cualquiera sea la modalidad, los binarios dependen del runtime propietario para su acceso y carecen de un servicio de documentos con direccionamiento por contenido, versionamiento y política de acceso propia, que es exactamente lo que la arquitectura objetivo introduce (servicio 6.9, Documentos) [D1].</w:t>
      </w:r>
    </w:p>
    <w:p>
      <w:pPr>
        <w:pStyle w:val="Heading2"/>
      </w:pPr>
      <w:r>
        <w:t xml:space="preserve">4.4. Operación: disponibilidad, plazos y carácter reactivo</w:t>
      </w:r>
    </w:p>
    <w:p>
      <w:pPr>
        <w:spacing w:after="120" w:line="288"/>
        <w:jc w:val="both"/>
      </w:pPr>
      <w:r>
        <w:t xml:space="preserve">Los módulos de exportación masiva operan de manera síncrona y bloqueante en el hilo principal del servidor: múltiples descargas simultáneas de reportes pueden colapsar las conexiones a la base de datos o agotar la memoria, configurando un riesgo de denegación de servicio interna [D2]. El sistema carece de un motor de plazos: contabiliza los retrasos como días negativos crudos, sin detonar escalamientos ni alertas de prioridad institucional, lo que normaliza el incumplimiento de los plazos que las leyes fijan con precisión [D2]. Su lógica es la de una mesa de ayuda genérica: reactiva, centrada en contabilizar interacciones, incapaz de producir mapas de riesgo o alertas tempranas [D2]. Para Gabinete y para las jefaturas regionales, esto se traduce en control manual de aquello que el sistema debiera vigilar.</w:t>
      </w:r>
    </w:p>
    <w:p>
      <w:pPr>
        <w:pStyle w:val="Heading2"/>
      </w:pPr>
      <w:r>
        <w:t xml:space="preserve">4.5. Fragmentación del ecosistema</w:t>
      </w:r>
    </w:p>
    <w:p>
      <w:pPr>
        <w:spacing w:after="120" w:line="288"/>
        <w:jc w:val="both"/>
      </w:pPr>
      <w:r>
        <w:t xml:space="preserve">SIGER convive con otros sistemas monolíticos desconectados entre sí (Persomático, Dockflow, entre otros), sin bus de integración ni arquitectura orientada a servicios; el cruce de información depende de procesos manuales o extracciones crudas, anulando la inteligencia de negocios en tiempo real [D2]. La trazabilidad transversal que el interés superior del NNA exige como norma de procedimiento —la evaluación de todos los elementos de interés en una situación concreta (art. 7 de la Ley N° 21.430)— es materialmente imposible sobre silos desconectados.</w:t>
      </w:r>
    </w:p>
    <w:p>
      <w:pPr>
        <w:pStyle w:val="Heading2"/>
      </w:pPr>
      <w:r>
        <w:t xml:space="preserve">4.6. Síntesis: por qué esta deuda es estructural</w:t>
      </w:r>
    </w:p>
    <w:p>
      <w:pPr>
        <w:spacing w:after="120" w:line="288"/>
        <w:jc w:val="both"/>
      </w:pPr>
      <w:r>
        <w:t xml:space="preserve">Se denomina aquí deuda estructural a aquella cuyo costo de remoción equivale al costo de reconstrucción, porque reside en los cimientos y no en los acabados. En SIGER concurren tres raíces que la configuran. Primera, el </w:t>
      </w:r>
      <w:r>
        <w:rPr>
          <w:b/>
          <w:bCs/>
        </w:rPr>
        <w:t xml:space="preserve">runtime propietario</w:t>
      </w:r>
      <w:r>
        <w:t xml:space="preserve">: la plataforma que sostiene la aplicación es a la vez su framework, su capa de seguridad y su motor de reportería (136 tablas propias en producción [D1]); no puede sustituirse por partes. Segunda, la </w:t>
      </w:r>
      <w:r>
        <w:rPr>
          <w:b/>
          <w:bCs/>
        </w:rPr>
        <w:t xml:space="preserve">ausencia de API</w:t>
      </w:r>
      <w:r>
        <w:t xml:space="preserve">: sin separación entre presentación y datos, cada corrección visual o de seguridad exige tocar el conjunto, con semanas de pruebas de regresión por cada parche [D2]. Tercera, la </w:t>
      </w:r>
      <w:r>
        <w:rPr>
          <w:b/>
          <w:bCs/>
        </w:rPr>
        <w:t xml:space="preserve">seguridad delegada al perímetro</w:t>
      </w:r>
      <w:r>
        <w:t xml:space="preserve">: incorporar cifrado de transporte y autorización a nivel de recurso no es agregar una capa, es reescribir la forma en que cada vista consulta los datos. Sobre esa base, D2 dictaminó formalmente la inviabilidad técnica del rescate del ecosistema y recomendó declararlo en estado de mantenimiento crítico, con soporte solo ante caídas y sin nuevos desarrollos, reasignando los recursos a la plataforma de reemplazo [D2]. El capítulo 7 somete ese dictamen a contraste con las demás alternativas disponibles antes de hacerlo propio.</w:t>
      </w:r>
    </w:p>
    <w:p>
      <w:pPr>
        <w:pStyle w:val="Heading1"/>
        <w:pageBreakBefore/>
      </w:pPr>
      <w:r>
        <w:t xml:space="preserve">5. Marco Jurídico Aplicable</w:t>
      </w:r>
    </w:p>
    <w:p>
      <w:pPr>
        <w:spacing w:after="120" w:line="288"/>
        <w:jc w:val="both"/>
      </w:pPr>
      <w:r>
        <w:t xml:space="preserve">Este capítulo identifica las disposiciones que gobiernan la decisión institucional, distinguiendo con rigor entre el marco principal —leyes N° 21.067, 21.430, 21.719 y 18.575— y el marco complementario de referencia. Las citas corresponden a los textos oficiales incorporados al expediente (sección 2.2).</w:t>
      </w:r>
    </w:p>
    <w:p>
      <w:pPr>
        <w:pStyle w:val="Heading2"/>
      </w:pPr>
      <w:r>
        <w:t xml:space="preserve">5.1. Ley N° 21.067: el mandato orgánico y sus exigencias operativas</w:t>
      </w:r>
    </w:p>
    <w:p>
      <w:pPr>
        <w:spacing w:after="120" w:line="288"/>
        <w:jc w:val="both"/>
      </w:pPr>
      <w:r>
        <w:t xml:space="preserve">La Ley N° 21.067 crea la Defensoría de los Derechos de la Niñez como corporación autónoma de derecho público, con personalidad jurídica y patrimonio propio. De su catálogo de funciones (artículo 4) derivan exigencias operativas directas para los sistemas de información institucionales. La letra e) faculta a requerir antecedentes o informes a los órganos de la Administración y a personas jurídicas del ámbito de la niñez, fijando un plazo de entrega que no puede superar los sesenta días corridos: el control sistemático de esos plazos —hoy ausente, conforme a la sección 4.4— es condición de eficacia de la atribución. La letra g) establece la función de denunciar vulneraciones ante los órganos competentes, remitiendo los antecedentes que funden la denuncia: la integridad y trazabilidad de esos antecedentes es, por tanto, una condición jurídica y no solo técnica. La letra i) encomienda observar y hacer seguimiento a la actuación de órganos del Estado y de personas jurídicas del ámbito de la niñez, de acuerdo a un plan elaborado al efecto: esta es, precisamente, la función que el sistema SGS v2 del nuevo ecosistema instrumenta (sección 8.2), de modo que su existencia no es una iniciativa tecnológica discrecional sino la materialización operativa de una atribución legal expresa. Finalmente, el artículo 19 exime a las resoluciones de la Defensora del trámite de toma de razón: esa autonomía refuerza, como contrapartida, la exigencia de controles internos robustos sobre los procesos y registros institucionales.</w:t>
      </w:r>
    </w:p>
    <w:p>
      <w:pPr>
        <w:pStyle w:val="Heading2"/>
      </w:pPr>
      <w:r>
        <w:t xml:space="preserve">5.2. Ley N° 21.430: deberes de reserva, registro y respuesta sobre la información de NNA</w:t>
      </w:r>
    </w:p>
    <w:p>
      <w:pPr>
        <w:spacing w:after="120" w:line="288"/>
        <w:jc w:val="both"/>
      </w:pPr>
      <w:r>
        <w:t xml:space="preserve">Cuatro disposiciones de la Ley N° 21.430 son determinantes para este informe. El </w:t>
      </w:r>
      <w:r>
        <w:rPr>
          <w:b/>
          <w:bCs/>
        </w:rPr>
        <w:t xml:space="preserve">artículo 33</w:t>
      </w:r>
      <w:r>
        <w:t xml:space="preserve"> consagra el derecho de todo NNA a la vida privada y a la protección de sus datos personales, y ordena en términos categóricos que los funcionarios públicos y el personal de las organizaciones que se relacionan con la niñez guarden reserva y confidencialidad sobre los datos personales de los NNA a los que tengan acceso. El </w:t>
      </w:r>
      <w:r>
        <w:rPr>
          <w:b/>
          <w:bCs/>
        </w:rPr>
        <w:t xml:space="preserve">artículo 34</w:t>
      </w:r>
      <w:r>
        <w:t xml:space="preserve"> garantiza la honra, intimidad y propia imagen, comprendiendo expresamente la reserva de las comunicaciones, incluidas las producidas a través de tecnologías de la información. El </w:t>
      </w:r>
      <w:r>
        <w:rPr>
          <w:b/>
          <w:bCs/>
        </w:rPr>
        <w:t xml:space="preserve">artículo 64</w:t>
      </w:r>
      <w:r>
        <w:t xml:space="preserve"> impone a los organismos, entidades e instituciones públicas y privadas la obligada reserva en el ámbito de la atención y protección a la infancia y la adolescencia, </w:t>
      </w:r>
      <w:r>
        <w:rPr>
          <w:b/>
          <w:bCs/>
        </w:rPr>
        <w:t xml:space="preserve">adoptando las medidas oportunas para garantizar</w:t>
      </w:r>
      <w:r>
        <w:t xml:space="preserve"> la efectividad del derecho a la vida privada, a la honra y propia imagen </w:t>
      </w:r>
      <w:r>
        <w:rPr>
          <w:b/>
          <w:bCs/>
        </w:rPr>
        <w:t xml:space="preserve">en el tratamiento confidencial de la información con la que cuenten y de los registros en los que conste dicha información</w:t>
      </w:r>
      <w:r>
        <w:t xml:space="preserve">, extendiendo el deber a toda autoridad o persona que por su profesión o función conozca de situaciones de amenaza o vulneración. La referencia expresa a los registros es el ancla textual de este informe: el deber de reserva no se agota en la conducta de las personas; alcanza a los sistemas donde la información consta, y exige de ellos medidas oportunas y eficaces.</w:t>
      </w:r>
    </w:p>
    <w:p>
      <w:pPr>
        <w:spacing w:after="120" w:line="288"/>
        <w:jc w:val="both"/>
      </w:pPr>
      <w:r>
        <w:t xml:space="preserve">A lo anterior se suman dos deberes de actuación con plazo. El </w:t>
      </w:r>
      <w:r>
        <w:rPr>
          <w:b/>
          <w:bCs/>
        </w:rPr>
        <w:t xml:space="preserve">artículo 62</w:t>
      </w:r>
      <w:r>
        <w:t xml:space="preserve"> (inexcusabilidad) obliga al órgano requerido ante situaciones de riesgo, amenaza o vulneración a registrar los datos del NNA solicitante e informar a la autoridad competente dentro de cinco días hábiles, lo que presupone capacidad de registro y derivación trazable. El </w:t>
      </w:r>
      <w:r>
        <w:rPr>
          <w:b/>
          <w:bCs/>
        </w:rPr>
        <w:t xml:space="preserve">artículo 63</w:t>
      </w:r>
      <w:r>
        <w:t xml:space="preserve"> (deber de denuncia) impone a todo funcionario o agente público el deber de denunciar dentro de veinticuatro horas los hechos que puedan revestir carácter de delito contra un NNA, calificando su incumplimiento como falta grave: un sistema sin alertas ni escalamientos, que contabiliza atrasos como días negativos [D2], es estructuralmente inidóneo para soportar deberes con plazos de esa exigencia.</w:t>
      </w:r>
    </w:p>
    <w:p>
      <w:pPr>
        <w:pStyle w:val="Heading2"/>
      </w:pPr>
      <w:r>
        <w:t xml:space="preserve">5.3. Régimen de datos personales: de la Ley N° 19.628 a la Ley N° 21.719</w:t>
      </w:r>
    </w:p>
    <w:p>
      <w:pPr>
        <w:pStyle w:val="Heading3"/>
      </w:pPr>
      <w:r>
        <w:t xml:space="preserve">5.3.1. Vigencia y aplicación a los órganos públicos</w:t>
      </w:r>
    </w:p>
    <w:p>
      <w:pPr>
        <w:spacing w:after="120" w:line="288"/>
        <w:jc w:val="both"/>
      </w:pPr>
      <w:r>
        <w:t xml:space="preserve">El tratamiento de datos personales se rige hoy por la Ley N° 19.628. La Ley N° 21.719, publicada el 13 de diciembre de 2024, la reemplaza en lo sustantivo con </w:t>
      </w:r>
      <w:r>
        <w:rPr>
          <w:b/>
          <w:bCs/>
        </w:rPr>
        <w:t xml:space="preserve">vigencia diferida al 1 de diciembre de 2026</w:t>
      </w:r>
      <w:r>
        <w:t xml:space="preserve">: su disposición transitoria primera establece que las modificaciones entrarán en vigencia el día primero del mes vigésimo cuarto posterior a la publicación, y el propio texto oficial consigna la fecha 01-12-2026. Al cierre de este informe restan menos de seis meses. La nueva ley se aplica expresamente a los órganos públicos (artículo 1°), cuyo tratamiento es lícito cuando se realiza para el cumplimiento de sus funciones legales y dentro de sus competencias, sin requerir consentimiento del titular (artículo 20), pero sujeto a los principios generales y, de modo expreso, a los principios de coordinación, probidad y </w:t>
      </w:r>
      <w:r>
        <w:rPr>
          <w:b/>
          <w:bCs/>
        </w:rPr>
        <w:t xml:space="preserve">eficiencia</w:t>
      </w:r>
      <w:r>
        <w:t xml:space="preserve"> (artículo 21) —incorporación que vuelve estéril cualquier debate sobre la aplicabilidad de esos principios a la gestión de datos institucional (sección 5.4)—. Cabe destacar que la gradualidad sancionatoria transitoria que la ley contempla durante sus primeros doce meses beneficia únicamente a pequeñas y medianas empresas; no existe período de gracia para los órganos públicos.</w:t>
      </w:r>
    </w:p>
    <w:p>
      <w:pPr>
        <w:pStyle w:val="Heading3"/>
      </w:pPr>
      <w:r>
        <w:t xml:space="preserve">5.3.2. Deberes y estatutos reforzados pertinentes al caso</w:t>
      </w:r>
    </w:p>
    <w:p>
      <w:pPr>
        <w:spacing w:after="120" w:line="288"/>
        <w:jc w:val="both"/>
      </w:pPr>
      <w:r>
        <w:t xml:space="preserve">Cinco bloques del nuevo régimen inciden directamente en este informe. Primero, el </w:t>
      </w:r>
      <w:r>
        <w:rPr>
          <w:b/>
          <w:bCs/>
        </w:rPr>
        <w:t xml:space="preserve">deber de secreto o confidencialidad</w:t>
      </w:r>
      <w:r>
        <w:t xml:space="preserve"> (artículo 14 bis), que obliga al responsable y a quienes traten datos bajo su dependencia, y subsiste tras concluida la relación con el titular. Segundo, la </w:t>
      </w:r>
      <w:r>
        <w:rPr>
          <w:b/>
          <w:bCs/>
        </w:rPr>
        <w:t xml:space="preserve">protección desde el diseño y por defecto</w:t>
      </w:r>
      <w:r>
        <w:t xml:space="preserve"> (artículo 14 quáter): el responsable debe aplicar medidas técnicas y organizativas adecuadas desde el diseño, con anterioridad y durante el tratamiento, considerando el estado de la técnica y los riesgos; y el </w:t>
      </w:r>
      <w:r>
        <w:rPr>
          <w:b/>
          <w:bCs/>
        </w:rPr>
        <w:t xml:space="preserve">deber de seguridad con comunicación de vulneraciones</w:t>
      </w:r>
      <w:r>
        <w:t xml:space="preserve"> (artículo 14 quinquies), cuyo incumplimiento u omisión de comunicación constituye infracción grave (artículo 34 ter, letras j y k) y, si la omisión es deliberada, gravísima (artículo 34 quáter, letra f). Tercero, el </w:t>
      </w:r>
      <w:r>
        <w:rPr>
          <w:b/>
          <w:bCs/>
        </w:rPr>
        <w:t xml:space="preserve">estatuto de los datos de NNA</w:t>
      </w:r>
      <w:r>
        <w:t xml:space="preserve"> (artículo 16 quáter): su tratamiento solo puede realizarse atendiendo al interés superior y al respeto de la autonomía progresiva, con reglas reforzadas de consentimiento según tramo etario —la ley considera niños o niñas a quienes aún no cumplen catorce años y adolescentes a quienes tienen entre catorce y diecisiete; los datos sensibles de adolescentes bajo los dieciséis años exigen consentimiento de quienes ejercen su representación o cuidado, salvo autorización o mandato legal expreso—, y con una obligación especial para todas las entidades públicas que traten o administren estos datos: velar por su uso lícito y su protección. Cuarto, el régimen de </w:t>
      </w:r>
      <w:r>
        <w:rPr>
          <w:b/>
          <w:bCs/>
        </w:rPr>
        <w:t xml:space="preserve">decisiones individuales automatizadas</w:t>
      </w:r>
      <w:r>
        <w:t xml:space="preserve"> (artículo 8° bis): el titular tiene derecho a oponerse a decisiones basadas exclusivamente en tratamiento automatizado que le afecten significativamente y, en todos los casos —incluso en las excepciones legales—, el responsable debe asegurar el derecho a obtener una explicación, a la intervención humana, a expresar su punto de vista y a solicitar la revisión de la decisión: este es el patrón que el desdoble propuesta algorítmica/decisión humana del nuevo ecosistema implementa por diseño (secciones 8.2, 8.3 y 8.7). Quinto, la </w:t>
      </w:r>
      <w:r>
        <w:rPr>
          <w:b/>
          <w:bCs/>
        </w:rPr>
        <w:t xml:space="preserve">transferencia internacional de datos</w:t>
      </w:r>
      <w:r>
        <w:t xml:space="preserve"> (Título V, artículos 27 y siguientes), que condiciona la licitud del envío de datos fuera del país a niveles adecuados de protección, garantías o habilitaciones específicas: toda externalización de procesamiento —incluido el procesamiento mediante modelos de lenguaje de proveedores extranjeros— queda capturada por este régimen. Adicionalmente, el artículo 24, letra d), reconoce un régimen especial para los datos protegidos por normas propias de secreto o reserva —como las que la Ley N° 21.430 establece—, manteniendo en el receptor la misma obligación de reserva: la FIR pertenece de lleno a esta categoría.</w:t>
      </w:r>
    </w:p>
    <w:p>
      <w:pPr>
        <w:pStyle w:val="Heading3"/>
      </w:pPr>
      <w:r>
        <w:t xml:space="preserve">5.3.3. Infracciones y responsabilidad personal de jefaturas y funcionarios</w:t>
      </w:r>
    </w:p>
    <w:p>
      <w:pPr>
        <w:spacing w:after="120" w:line="288"/>
        <w:jc w:val="both"/>
      </w:pPr>
      <w:r>
        <w:t xml:space="preserve">El catálogo de infracciones (artículos 34 bis, 34 ter y 34 quáter) tipifica como </w:t>
      </w:r>
      <w:r>
        <w:rPr>
          <w:b/>
          <w:bCs/>
        </w:rPr>
        <w:t xml:space="preserve">graves</w:t>
      </w:r>
      <w:r>
        <w:t xml:space="preserve">, entre otras, el tratamiento de datos de NNA con infracción a las normas de la ley, la vulneración del deber de secreto y la infracción de las obligaciones de seguridad o la omisión de las comunicaciones de vulneraciones; y como </w:t>
      </w:r>
      <w:r>
        <w:rPr>
          <w:b/>
          <w:bCs/>
        </w:rPr>
        <w:t xml:space="preserve">gravísimas</w:t>
      </w:r>
      <w:r>
        <w:t xml:space="preserve">, entre otras, vulnerar el deber de secreto sobre datos sensibles, tratar o comunicar a sabiendas datos sensibles o de NNA en contravención a la ley, y omitir deliberadamente la comunicación de vulneraciones de seguridad. Para los órganos públicos, el Párrafo Cuarto del régimen de responsabilidad dispone que el </w:t>
      </w:r>
      <w:r>
        <w:rPr>
          <w:b/>
          <w:bCs/>
        </w:rPr>
        <w:t xml:space="preserve">jefe superior del órgano debe velar</w:t>
      </w:r>
      <w:r>
        <w:t xml:space="preserve"> por que el tratamiento se realice con arreglo a la ley (artículo 44); las infracciones se sancionan con multa de entre el veinte y el cincuenta por ciento de </w:t>
      </w:r>
      <w:r>
        <w:rPr>
          <w:b/>
          <w:bCs/>
        </w:rPr>
        <w:t xml:space="preserve">su</w:t>
      </w:r>
      <w:r>
        <w:t xml:space="preserve"> remuneración mensual; tratándose de datos sensibles, la multa es del cincuenta por ciento y procede la suspensión en el cargo de hasta treinta días; la persistencia duplica la sanción; y la resolución se publica en el sitio web de la Agencia </w:t>
      </w:r>
      <w:r>
        <w:rPr>
          <w:b/>
          <w:bCs/>
        </w:rPr>
        <w:t xml:space="preserve">y del propio órgano</w:t>
      </w:r>
      <w:r>
        <w:t xml:space="preserve">, con el costo reputacional consiguiente. El artículo 45 añade la responsabilidad individual de los funcionarios mediante investigación sumaria conducida por la Contraloría General de la República a petición de la Agencia, calificando las infracciones gravísimas como contravención grave a la probidad administrativa; y el artículo 46 impone a los funcionarios que tratan datos —especialmente sensibles— un deber reforzado de reserva cuya infracción vulnera gravemente el principio de probidad, con remisión expresa al artículo 125 del Estatuto Administrativo. La consecuencia institucional es nítida: a contar del 1 de diciembre de 2026, la decisión sobre la plataforma de tratamiento deja de ser un asunto delegable al ámbito técnico y pasa a comprometer, en términos personales y publicables, a la jefatura superior del órgano.</w:t>
      </w:r>
    </w:p>
    <w:p>
      <w:pPr>
        <w:pStyle w:val="Heading2"/>
      </w:pPr>
      <w:r>
        <w:t xml:space="preserve">5.4. Eficiencia, eficacia y probidad: aplicación a una corporación autónoma</w:t>
      </w:r>
    </w:p>
    <w:p>
      <w:pPr>
        <w:spacing w:after="120" w:line="288"/>
        <w:jc w:val="both"/>
      </w:pPr>
      <w:r>
        <w:t xml:space="preserve">La Ley N° 18.575 consagra los principios de responsabilidad, eficiencia y eficacia (artículos 3° y 5°, que ordenan velar por la eficiente e idónea administración de los medios públicos) y el principio de probidad, cuyo desarrollo legal dispone que el interés general exige el empleo de </w:t>
      </w:r>
      <w:r>
        <w:rPr>
          <w:b/>
          <w:bCs/>
        </w:rPr>
        <w:t xml:space="preserve">medios idóneos de diagnóstico, decisión y control</w:t>
      </w:r>
      <w:r>
        <w:t xml:space="preserve"> para concretar una gestión eficiente y eficaz (artículo 53 del texto refundido). Es previsible la objeción de que, siendo la Defensoría una corporación autónoma de derecho público y no un servicio integrado a la Administración central, dicha ley no le resultaría directamente aplicable. El informe la anticipa y la responde en tres planos. Primero, los principios de probidad, eficiencia y eficacia operan como principios generales del derecho público chileno, con base constitucional (artículo 8° de la Constitución) y desarrollo en la jurisprudencia administrativa sobre el uso de recursos públicos, alcanzando a todo órgano que los administra —y el patrimonio de la Defensoría se forma, en primer término, con los aportes de la Ley de Presupuestos (artículo 20 de la Ley N° 21.067)—. Segundo, la propia Ley N° 21.430 se remite supletoriamente a la Ley N° 18.575 en materias de su regulación (artículo 32), y, de modo decisivo, la Ley N° 21.719 incorpora expresamente la probidad y la eficiencia como principios del tratamiento de datos por los órganos públicos (artículo 21), de manera que, cualquiera sea la posición sobre la aplicación directa de la Ley N° 18.575, el estándar sustantivo rige igual por la vía del régimen de datos. Tercero, en el plano material, sostener con recursos públicos una plataforma fuera de soporte de fabricante, con vulnerabilidades documentadas y sin capacidad de acreditar los deberes de reserva (capítulos 4 y 6), es difícilmente conciliable con el empleo de medios idóneos de diagnóstico, decisión y control que el estándar exige; mientras que continuar invirtiendo horas en parches de regresión sobre un sistema dictaminado irrecuperable [D2] tensiona la eficiencia en el gasto. El efecto práctico de la objeción, en consecuencia, es nulo.</w:t>
      </w:r>
    </w:p>
    <w:p>
      <w:pPr>
        <w:pStyle w:val="Heading2"/>
      </w:pPr>
      <w:r>
        <w:t xml:space="preserve">5.5. Marco complementario de referencia</w:t>
      </w:r>
    </w:p>
    <w:p>
      <w:pPr>
        <w:spacing w:after="120" w:line="288"/>
        <w:jc w:val="both"/>
      </w:pPr>
      <w:r>
        <w:t xml:space="preserve">Tres fuentes se invocan como estándar de referencia, con la reserva de la limitación L6. La </w:t>
      </w:r>
      <w:r>
        <w:rPr>
          <w:b/>
          <w:bCs/>
        </w:rPr>
        <w:t xml:space="preserve">Ley N° 21.663</w:t>
      </w:r>
      <w:r>
        <w:t xml:space="preserve">, marco de ciberseguridad, instala en el sector público deberes generales de gestión y reporte de incidentes ante la institucionalidad nacional de ciberseguridad; con independencia del pronunciamiento de Fiscalía sobre su alcance específico respecto de una corporación autónoma, sus estándares —gestión de incidentes, continuidad, reporte— constituyen el piso técnico razonable para una institución que custodia datos de NNA, y este informe los adopta como referencia de diseño. La </w:t>
      </w:r>
      <w:r>
        <w:rPr>
          <w:b/>
          <w:bCs/>
        </w:rPr>
        <w:t xml:space="preserve">Ley N° 21.180</w:t>
      </w:r>
      <w:r>
        <w:t xml:space="preserve">, de transformación digital del Estado, aporta los estándares de procedimiento electrónico e interoperabilidad; en este informe se recoge en un punto preciso: la integración del nuevo ecosistema con </w:t>
      </w:r>
      <w:r>
        <w:rPr>
          <w:b/>
          <w:bCs/>
        </w:rPr>
        <w:t xml:space="preserve">ClaveÚnica se documenta exclusivamente como hito de escalabilidad posterior a la puesta en marcha oficial</w:t>
      </w:r>
      <w:r>
        <w:t xml:space="preserve"> del 1 de enero de 2027 (sección 8.5), manteniendo durante la Fase Beta el modelo de identidad cerrado e independiente que la pertinencia territorial exige. Finalmente, la </w:t>
      </w:r>
      <w:r>
        <w:rPr>
          <w:b/>
          <w:bCs/>
        </w:rPr>
        <w:t xml:space="preserve">Convención sobre los Derechos del Niño</w:t>
      </w:r>
      <w:r>
        <w:t xml:space="preserve"> —incorporada al ordenamiento por la vía del artículo 5°, inciso segundo, de la Constitución— refuerza el interés superior (artículo 3) y la protección contra injerencias arbitrarias en la vida privada del niño (artículo 16), dotando de rango convencional a los deberes que las leyes N° 21.430 y 21.719 desarrollan.</w:t>
      </w:r>
    </w:p>
    <w:p>
      <w:pPr>
        <w:pStyle w:val="Heading1"/>
        <w:pageBreakBefore/>
      </w:pPr>
      <w:r>
        <w:t xml:space="preserve">6. Subsunción Normativa: del Hallazgo Técnico al Riesgo Jurídico</w:t>
      </w:r>
    </w:p>
    <w:p>
      <w:pPr>
        <w:spacing w:after="120" w:line="288"/>
        <w:jc w:val="both"/>
      </w:pPr>
      <w:r>
        <w:t xml:space="preserve">Este capítulo es la bisagra del informe: traduce cada hallazgo del capítulo 4 al lenguaje de los deberes del capítulo 5. La traducción se presenta primero en forma de tabla y luego se desarrollan, en prosa, los tres riesgos de mayor entidad.</w:t>
      </w:r>
    </w:p>
    <w:p>
      <w:pPr>
        <w:pStyle w:val="Heading2"/>
      </w:pPr>
      <w:r>
        <w:t xml:space="preserve">6.1. Tabla de subsunción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30"/>
        <w:gridCol w:w="1430"/>
        <w:gridCol w:w="2760"/>
        <w:gridCol w:w="1640"/>
        <w:gridCol w:w="1200"/>
      </w:tblGrid>
      <w:tr>
        <w:tc>
          <w:tcPr>
            <w:tcW w:type="dxa" w:w="233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Hallazgo técnico</w:t>
            </w:r>
          </w:p>
        </w:tc>
        <w:tc>
          <w:tcPr>
            <w:tcW w:type="dxa" w:w="143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Evidencia</w:t>
            </w:r>
          </w:p>
        </w:tc>
        <w:tc>
          <w:tcPr>
            <w:tcW w:type="dxa" w:w="27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Disposiciones comprometidas</w:t>
            </w:r>
          </w:p>
        </w:tc>
        <w:tc>
          <w:tcPr>
            <w:tcW w:type="dxa" w:w="164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Naturaleza del riesgo</w:t>
            </w:r>
          </w:p>
        </w:tc>
        <w:tc>
          <w:tcPr>
            <w:tcW w:type="dxa" w:w="12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Horizonte</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Tráfico interno sin cifrado (HTTP)</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33 y 64 Ley 21.430; art. 14 bis y 14 quinquies Ley 21.719; 34 ter i-j</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Captura en claro de credenciales, RUT y relatos de vulneraciones de NNA</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 reforzado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Identificadores expuestos sin autorización por recurso (IDOR)</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RF019 (D3); arts. 33, 34 y 64 Ley 21.430; 16 quáter y 24 d) Ley 21.719; 34 ter g e i; eventual 34 quáter d-e</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Acceso entre unidades y sedes a expedientes reservados, incluida la FIR</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 reforzado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Ausencia de CSP y dependencia de marcos (XSS, clickjacking)</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14 quinquies Ley 21.719; 34 ter j</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Ejecución de órdenes sobre expedientes mediante sesiones legítimas</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 reforzado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Motores sin transaccionalidad de extremo a extremo</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D8</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64 Ley 21.430 (integridad de registros); art. 4 g) Ley 21.067</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Estados intermedios y pérdida de valor probatorio de expedientes</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Registros sin información y huérfanos estructurales</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 D1</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7 Ley 21.430 (interés superior como norma de procedimiento); principio de eficiencia (art. 21 Ley 21.719)</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Métricas y análisis de la UEG contaminados; decisiones sobre datos incompletos</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Sin motor de plazos, alertas ni escalamientos</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62 y 63 Ley 21.430; art. 4 e) Ley 21.067</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Incumplimiento de plazos legales de 5 días, 24 horas y 60 días sin detección sistémica</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Stack fuera de soporte de fabricante (Java 1.7, Tomcat 7, MySQL 5)</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D3</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14 quáter y quinquies Ley 21.719; art. 53 Ley 18.575 (medios idóneos)</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Vulnerabilidades sin parche posible; estado de la técnica inalcanzable</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 crítico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Retención de cabeceras HTTP íntegras en base de datos</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D8</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Principio de proporcionalidad y calidad del tratamiento (Ley 21.719)</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Tratamiento excesivo respecto del fin de auditoría</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Reforzado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Exposición de IP y puertos internos en el cliente</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14 quinquies Ley 21.719</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Facilitación del movimiento lateral de un atacante</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 reforzado 01-12-2026</w:t>
            </w:r>
          </w:p>
        </w:tc>
      </w:tr>
      <w:tr>
        <w:tc>
          <w:tcPr>
            <w:tcW w:type="dxa" w:w="23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Fragmentación en silos sin trazabilidad transversal</w:t>
            </w:r>
          </w:p>
        </w:tc>
        <w:tc>
          <w:tcPr>
            <w:tcW w:type="dxa" w:w="143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c>
          <w:tcPr>
            <w:tcW w:type="dxa" w:w="27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7 Ley 21.430; principio de coordinación (art. 21 Ley 21.719)</w:t>
            </w:r>
          </w:p>
        </w:tc>
        <w:tc>
          <w:tcPr>
            <w:tcW w:type="dxa" w:w="164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Imposibilidad de evaluación integral de la situación de un NNA</w:t>
            </w:r>
          </w:p>
        </w:tc>
        <w:tc>
          <w:tcPr>
            <w:tcW w:type="dxa" w:w="12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Vigente hoy</w:t>
            </w:r>
          </w:p>
        </w:tc>
      </w:tr>
    </w:tbl>
    <w:p>
      <w:pPr>
        <w:spacing w:after="100"/>
      </w:pPr>
      <w:r>
        <w:rPr>
          <w:sz w:val="4"/>
          <w:szCs w:val="4"/>
        </w:rPr>
        <w:t xml:space="preserve"/>
      </w:r>
    </w:p>
    <w:p>
      <w:pPr>
        <w:pStyle w:val="Heading2"/>
      </w:pPr>
      <w:r>
        <w:t xml:space="preserve">6.2. Desarrollo de los tres riesgos mayores</w:t>
      </w:r>
    </w:p>
    <w:p>
      <w:pPr>
        <w:pStyle w:val="Heading3"/>
      </w:pPr>
      <w:r>
        <w:t xml:space="preserve">6.2.1. La confidencialidad de la Ficha Interna Reservada</w:t>
      </w:r>
    </w:p>
    <w:p>
      <w:pPr>
        <w:spacing w:after="120" w:line="288"/>
        <w:jc w:val="both"/>
      </w:pPr>
      <w:r>
        <w:t xml:space="preserve">La FIR concentra la información más sensible que la institución custodia: relatos de vulneraciones, análisis de criticidad, testigos, judicialización (sección 3.2). Su régimen de acceso restringido no es una preferencia de diseño: es la materialización del requerimiento funcional RF019 [D3] y de los deberes de los artículos 33, 34 y 64 de la Ley N° 21.430. Frente a ese régimen, la vulnerabilidad IDOR documentada [D2] significa que </w:t>
      </w:r>
      <w:r>
        <w:rPr>
          <w:b/>
          <w:bCs/>
        </w:rPr>
        <w:t xml:space="preserve">el control de acceso real no coincide con el control de acceso declarado</w:t>
      </w:r>
      <w:r>
        <w:t xml:space="preserve">: cualquier credencial válida en la red puede alcanzar, alterando un identificador en la URL, expedientes de unidades y sedes ajenas. Bajo el régimen que entra en vigencia el 1 de diciembre de 2026, ese estado de cosas se proyecta sobre las infracciones graves de tratar datos de NNA con infracción a la ley y de vulnerar las obligaciones de seguridad (art. 34 ter, letras g y j), y —de verificarse un acceso o comunicación indebidos sobre datos sensibles— sobre las hipótesis gravísimas del artículo 34 quáter, con la responsabilidad personal de jefatura y funcionarios de los artículos 44 a 46. La UPRJ, custodia natural del subdominio, y cada jefatura regional respecto de sus registros, son quienes soportan en primera línea esta brecha entre lo declarado y lo efectivo.</w:t>
      </w:r>
    </w:p>
    <w:p>
      <w:pPr>
        <w:pStyle w:val="Heading3"/>
      </w:pPr>
      <w:r>
        <w:t xml:space="preserve">6.2.2. La seguridad del tratamiento y el deber de comunicar vulneraciones</w:t>
      </w:r>
    </w:p>
    <w:p>
      <w:pPr>
        <w:spacing w:after="120" w:line="288"/>
        <w:jc w:val="both"/>
      </w:pPr>
      <w:r>
        <w:t xml:space="preserve">El artículo 14 quinquies de la Ley N° 21.719 exige medidas de seguridad acordes al estado de la técnica y la comunicación de las vulneraciones que afecten confidencialidad, disponibilidad o integridad. Un sistema que transmite en texto claro, cuyo stack no recibe parches del fabricante y que carece de registro de accesos a nivel de recurso enfrenta una doble imposibilidad: no puede sostener el estándar de seguridad y, ante un incidente, difícilmente puede siquiera </w:t>
      </w:r>
      <w:r>
        <w:rPr>
          <w:b/>
          <w:bCs/>
        </w:rPr>
        <w:t xml:space="preserve">detectarlo</w:t>
      </w:r>
      <w:r>
        <w:t xml:space="preserve"> para comunicarlo en forma —y la omisión de esa comunicación es infracción grave, y gravísima si es deliberada—. La conclusión no es que la institución haya sufrido una brecha: es que el sistema no permite acreditar que no la haya sufrido, ni garantizar que la detectaría. En materia de cumplimiento, la imposibilidad de acreditar es, en sí misma, el riesgo.</w:t>
      </w:r>
    </w:p>
    <w:p>
      <w:pPr>
        <w:pStyle w:val="Heading3"/>
      </w:pPr>
      <w:r>
        <w:t xml:space="preserve">6.2.3. La capacidad preventiva y los deberes con plazo</w:t>
      </w:r>
    </w:p>
    <w:p>
      <w:pPr>
        <w:spacing w:after="120" w:line="288"/>
        <w:jc w:val="both"/>
      </w:pPr>
      <w:r>
        <w:t xml:space="preserve">Los artículos 62 y 63 de la Ley N° 21.430 fijan plazos perentorios —cinco días hábiles para informar a la autoridad competente; veinticuatro horas para denunciar hechos que puedan revestir carácter de delito contra un NNA, con calificación de falta grave para el incumplimiento— y el artículo 4 letra e) de la Ley N° 21.067 fija sesenta días corridos como tope para la entrega de antecedentes requeridos. Un sistema sin motor de plazos, que registra atrasos como días negativos sin detonar alerta alguna [D2], traslada a la memoria y diligencia individuales el cumplimiento de deberes cuya infracción la ley sanciona con severidad. El riesgo recae sobre Gabinete y las jefaturas —que concentran escalamientos y priorizaciones— y sobre cada profesional cuyo incumplimiento involuntario el sistema no previno.</w:t>
      </w:r>
    </w:p>
    <w:p>
      <w:pPr>
        <w:pStyle w:val="Heading2"/>
      </w:pPr>
      <w:r>
        <w:t xml:space="preserve">6.3. Naturaleza del juicio que este informe formula</w:t>
      </w:r>
    </w:p>
    <w:p>
      <w:pPr>
        <w:spacing w:after="120" w:line="288"/>
        <w:jc w:val="both"/>
      </w:pPr>
      <w:r>
        <w:t xml:space="preserve">Corresponde precisar, con rigor de auditoría, qué se afirma y qué no. Este informe </w:t>
      </w:r>
      <w:r>
        <w:rPr>
          <w:b/>
          <w:bCs/>
        </w:rPr>
        <w:t xml:space="preserve">no</w:t>
      </w:r>
      <w:r>
        <w:t xml:space="preserve"> declara que la institución haya infringido la ley ni que se haya verificado una vulneración de datos: no existe evidencia de ello en el expediente. Lo que este informe declara, y queda acreditado en los capítulos 4 y 5, es un </w:t>
      </w:r>
      <w:r>
        <w:rPr>
          <w:b/>
          <w:bCs/>
        </w:rPr>
        <w:t xml:space="preserve">estado de riesgo de incumplimiento no acreditable como cumplimiento</w:t>
      </w:r>
      <w:r>
        <w:t xml:space="preserve">: la arquitectura vigente no permite demostrar la observancia de los deberes de reserva, seguridad e integridad que rigen hoy, y es materialmente incapaz de satisfacer los que entran en vigencia el 1 de diciembre de 2026. En el régimen de la Ley N° 21.719 —donde el responsable debe poder acreditar la licitud y seguridad de su tratamiento, y donde la jefatura superior responde personalmente— esa distinción entre infringir y no poder acreditar pierde relevancia práctica: ambas posiciones son indefendibles ante la Agencia.</w:t>
      </w:r>
    </w:p>
    <w:p>
      <w:pPr>
        <w:pStyle w:val="Heading2"/>
      </w:pPr>
      <w:r>
        <w:t xml:space="preserve">6.4. El doble horizonte de exigibilidad</w:t>
      </w:r>
    </w:p>
    <w:p>
      <w:pPr>
        <w:spacing w:after="120" w:line="288"/>
        <w:jc w:val="both"/>
      </w:pPr>
      <w:r>
        <w:t xml:space="preserve">La síntesis temporal es la siguiente: los deberes de reserva, registro y respuesta de la Ley N° 21.430 y de la Ley N° 19.628 </w:t>
      </w:r>
      <w:r>
        <w:rPr>
          <w:b/>
          <w:bCs/>
        </w:rPr>
        <w:t xml:space="preserve">rigen hoy</w:t>
      </w:r>
      <w:r>
        <w:t xml:space="preserve"> y no admiten espera; el régimen reforzado de la Ley N° 21.719, con su responsabilidad personal y publicable, rige desde el </w:t>
      </w:r>
      <w:r>
        <w:rPr>
          <w:b/>
          <w:bCs/>
        </w:rPr>
        <w:t xml:space="preserve">1 de diciembre de 2026</w:t>
      </w:r>
      <w:r>
        <w:t xml:space="preserve">, sin período de gracia para órganos públicos. Toda estrategia institucional seria debe, en consecuencia, producir mejoras de seguridad verificables antes de esa fecha y una plataforma plenamente conforme en régimen. Esa es exactamente la lógica de los dos horizontes del capítulo 10: acreditar medidas técnicas adecuadas durante el segundo semestre de 2026 (Fase Beta) y operar en régimen conforme desde el 1 de enero de 2027.</w:t>
      </w:r>
    </w:p>
    <w:p>
      <w:pPr>
        <w:pStyle w:val="Heading1"/>
        <w:pageBreakBefore/>
      </w:pPr>
      <w:r>
        <w:t xml:space="preserve">7. Evaluación Formal de Alternativas</w:t>
      </w:r>
    </w:p>
    <w:p>
      <w:pPr>
        <w:spacing w:after="120" w:line="288"/>
        <w:jc w:val="both"/>
      </w:pPr>
      <w:r>
        <w:t xml:space="preserve">Una decisión de esta entidad no puede fundarse en la descalificación del statu quo: debe demostrar que la vía elegida domina a las demás bajo criterios explícitos. Este capítulo evalúa tres escenarios contra siete criterios y emite un dictamen condicionado.</w:t>
      </w:r>
    </w:p>
    <w:p>
      <w:pPr>
        <w:pStyle w:val="Heading2"/>
      </w:pPr>
      <w:r>
        <w:t xml:space="preserve">7.1. Criterios de evaluación</w:t>
      </w:r>
    </w:p>
    <w:p>
      <w:pPr>
        <w:pStyle w:val="ListParagraph"/>
        <w:numPr>
          <w:ilvl w:val="0"/>
          <w:numId w:val="4"/>
        </w:numPr>
        <w:spacing w:after="60" w:line="276"/>
        <w:jc w:val="both"/>
      </w:pPr>
      <w:r>
        <w:rPr>
          <w:b/>
          <w:bCs/>
        </w:rPr>
        <w:t xml:space="preserve">C1 — Cumplimiento normativo en plazo:</w:t>
      </w:r>
      <w:r>
        <w:t xml:space="preserve"> capacidad de acreditar medidas adecuadas antes del 01-12-2026 y operar conforme al nuevo régimen desde su vigencia.</w:t>
      </w:r>
    </w:p>
    <w:p>
      <w:pPr>
        <w:pStyle w:val="ListParagraph"/>
        <w:numPr>
          <w:ilvl w:val="0"/>
          <w:numId w:val="4"/>
        </w:numPr>
        <w:spacing w:after="60" w:line="276"/>
        <w:jc w:val="both"/>
      </w:pPr>
      <w:r>
        <w:rPr>
          <w:b/>
          <w:bCs/>
        </w:rPr>
        <w:t xml:space="preserve">C2 — Riesgo de seguridad y continuidad:</w:t>
      </w:r>
      <w:r>
        <w:t xml:space="preserve"> exposición residual durante y después de la transición.</w:t>
      </w:r>
    </w:p>
    <w:p>
      <w:pPr>
        <w:pStyle w:val="ListParagraph"/>
        <w:numPr>
          <w:ilvl w:val="0"/>
          <w:numId w:val="4"/>
        </w:numPr>
        <w:spacing w:after="60" w:line="276"/>
        <w:jc w:val="both"/>
      </w:pPr>
      <w:r>
        <w:rPr>
          <w:b/>
          <w:bCs/>
        </w:rPr>
        <w:t xml:space="preserve">C3 — Costo relativo y uso de recursos públicos:</w:t>
      </w:r>
      <w:r>
        <w:t xml:space="preserve"> esfuerzo total y recurrente, en términos cualitativos (limitación L5).</w:t>
      </w:r>
    </w:p>
    <w:p>
      <w:pPr>
        <w:pStyle w:val="ListParagraph"/>
        <w:numPr>
          <w:ilvl w:val="0"/>
          <w:numId w:val="4"/>
        </w:numPr>
        <w:spacing w:after="60" w:line="276"/>
        <w:jc w:val="both"/>
      </w:pPr>
      <w:r>
        <w:rPr>
          <w:b/>
          <w:bCs/>
        </w:rPr>
        <w:t xml:space="preserve">C4 — Plazo realista:</w:t>
      </w:r>
      <w:r>
        <w:t xml:space="preserve"> compatibilidad con la ventana de 29 semanas disponible al 01-01-2027.</w:t>
      </w:r>
    </w:p>
    <w:p>
      <w:pPr>
        <w:pStyle w:val="ListParagraph"/>
        <w:numPr>
          <w:ilvl w:val="0"/>
          <w:numId w:val="4"/>
        </w:numPr>
        <w:spacing w:after="60" w:line="276"/>
        <w:jc w:val="both"/>
      </w:pPr>
      <w:r>
        <w:rPr>
          <w:b/>
          <w:bCs/>
        </w:rPr>
        <w:t xml:space="preserve">C5 — Soberanía y control institucional:</w:t>
      </w:r>
      <w:r>
        <w:t xml:space="preserve"> propiedad del código, de los datos y de la operación; ausencia de cajas negras.</w:t>
      </w:r>
    </w:p>
    <w:p>
      <w:pPr>
        <w:pStyle w:val="ListParagraph"/>
        <w:numPr>
          <w:ilvl w:val="0"/>
          <w:numId w:val="4"/>
        </w:numPr>
        <w:spacing w:after="60" w:line="276"/>
        <w:jc w:val="both"/>
      </w:pPr>
      <w:r>
        <w:rPr>
          <w:b/>
          <w:bCs/>
        </w:rPr>
        <w:t xml:space="preserve">C6 — Ajuste al dominio:</w:t>
      </w:r>
      <w:r>
        <w:t xml:space="preserve"> fidelidad a los flujos, roles y reglas levantados en D3–D7, incluida la FIR y la estructura territorial.</w:t>
      </w:r>
    </w:p>
    <w:p>
      <w:pPr>
        <w:pStyle w:val="ListParagraph"/>
        <w:numPr>
          <w:ilvl w:val="0"/>
          <w:numId w:val="4"/>
        </w:numPr>
        <w:spacing w:after="60" w:line="276"/>
        <w:jc w:val="both"/>
      </w:pPr>
      <w:r>
        <w:rPr>
          <w:b/>
          <w:bCs/>
        </w:rPr>
        <w:t xml:space="preserve">C7 — Capacidad evolutiva:</w:t>
      </w:r>
      <w:r>
        <w:t xml:space="preserve"> costo marginal de los módulos futuros y de la incorporación de nuevas obligaciones legales.</w:t>
      </w:r>
    </w:p>
    <w:p>
      <w:pPr>
        <w:pStyle w:val="Heading2"/>
      </w:pPr>
      <w:r>
        <w:t xml:space="preserve">7.2. Escenario A: refactorizar el sistema legado</w:t>
      </w:r>
    </w:p>
    <w:p>
      <w:pPr>
        <w:spacing w:after="120" w:line="288"/>
        <w:jc w:val="both"/>
      </w:pPr>
      <w:r>
        <w:t xml:space="preserve">Llevar a SIGER al estándar exigible requeriría, como mínimo: cifrado de transporte de extremo a extremo, autorización a nivel de recurso en cada vista, una API que separe presentación y datos, migración del motor de almacenamiento y de la codificación, y sustitución del runtime propietario que aporta 136 tablas de seguridad y workflows. La auditoría D2 estableció que ese conjunto equivale a desarmar el sistema por completo, que cada parche exige semanas de regresión por el acoplamiento, y dictaminó la inviabilidad técnica del rescate. A ello se agrega un límite externo insalvable: el stack contratado está fuera de soporte de fabricante, de modo que ni el esfuerzo perfecto devuelve parches a Java 1.7, Tomcat 7 o MySQL 5 [D1, D3]. Resultado: A no satisface C1 ni C2 dentro de plazo alguno razonable; su costo (C3) es el de una reconstrucción sin obtener un sistema nuevo; y degrada C7 al perpetuar la dependencia de una plataforma de caja negra. Se descarta.</w:t>
      </w:r>
    </w:p>
    <w:p>
      <w:pPr>
        <w:pStyle w:val="Heading2"/>
      </w:pPr>
      <w:r>
        <w:t xml:space="preserve">7.3. Escenario B: adquirir una solución de mercado</w:t>
      </w:r>
    </w:p>
    <w:p>
      <w:pPr>
        <w:spacing w:after="120" w:line="288"/>
        <w:jc w:val="both"/>
      </w:pPr>
      <w:r>
        <w:t xml:space="preserve">El informe evalúa esta alternativa con honestidad, porque tiene ventajas reales: soporte de un proveedor, hoja de ruta externa, velocidad aparente de puesta en marcha. Sus límites, sin embargo, son determinantes para este dominio. Primero, el </w:t>
      </w:r>
      <w:r>
        <w:rPr>
          <w:b/>
          <w:bCs/>
        </w:rPr>
        <w:t xml:space="preserve">ajuste</w:t>
      </w:r>
      <w:r>
        <w:t xml:space="preserve">: el proceso de la Defensoría no es un flujo genérico de atención; la FIR versionada con control de acceso fino, la agrupación y división de casos, la taxonomía de derechos vulnerados y la estructura territorial Sede–Unidad son reglas propias [D1, D3–D7] cuya configuración profunda en un producto de mercado equivale, en esfuerzo, a un desarrollo, pero sin propiedad del resultado. Segundo, la </w:t>
      </w:r>
      <w:r>
        <w:rPr>
          <w:b/>
          <w:bCs/>
        </w:rPr>
        <w:t xml:space="preserve">soberanía y el régimen de datos</w:t>
      </w:r>
      <w:r>
        <w:t xml:space="preserve">: alojar el corpus de datos de NNA en la plataforma de un tercero introduce de inmediato el régimen de encargo y, según la arquitectura del proveedor, el de transferencia internacional del Título V de la Ley N° 21.719, multiplicando los frentes de cumplimiento en lugar de reducirlos. Tercero, la </w:t>
      </w:r>
      <w:r>
        <w:rPr>
          <w:b/>
          <w:bCs/>
        </w:rPr>
        <w:t xml:space="preserve">lección de origen</w:t>
      </w:r>
      <w:r>
        <w:t xml:space="preserve">: la dependencia absoluta de un proveedor externo de sistemas de caja negra es, precisamente, la condición que D2 identifica como raíz del problema actual; repetirla con otro logotipo no es una estrategia, es una recaída. Cuarto, el </w:t>
      </w:r>
      <w:r>
        <w:rPr>
          <w:b/>
          <w:bCs/>
        </w:rPr>
        <w:t xml:space="preserve">calendario</w:t>
      </w:r>
      <w:r>
        <w:t xml:space="preserve">: un proceso de adquisición serio —bases, evaluación, adjudicación, implementación, migración— no es compatible con acreditar medidas adecuadas antes del 01-12-2026. Y quinto, B </w:t>
      </w:r>
      <w:r>
        <w:rPr>
          <w:b/>
          <w:bCs/>
        </w:rPr>
        <w:t xml:space="preserve">no evita lo difícil</w:t>
      </w:r>
      <w:r>
        <w:t xml:space="preserve">: la migración con cadena de custodia, el levantamiento de reglas vigentes y el cumplimiento normativo deben ejecutarse igual. B no se descarta en abstracto como política permanente de adquisiciones; se descarta como respuesta a este problema, en esta ventana, para estos datos.</w:t>
      </w:r>
    </w:p>
    <w:p>
      <w:pPr>
        <w:pStyle w:val="Heading2"/>
      </w:pPr>
      <w:r>
        <w:t xml:space="preserve">7.4. Escenario C: consolidar el ecosistema institucional SMID</w:t>
      </w:r>
    </w:p>
    <w:p>
      <w:pPr>
        <w:spacing w:after="120" w:line="288"/>
        <w:jc w:val="both"/>
      </w:pPr>
      <w:r>
        <w:t xml:space="preserve">La institución ya posee, operativos y documentados, el API Gateway, el servicio de Identidad con jerarquía territorial, el servicio puente de consulta del legado y dos sistemas analíticos de desarrollo institucional en versión 2 (capítulo 8), construidos in-house bajo un estándar técnico uniforme y con la documentación de arquitectura como entregable de primera clase. El escenario C consiste en completar sobre esa base la arquitectura objetivo de D1, comenzando por el núcleo fundacional de tres servicios que absorbe USR.01 y USR.02, bajo la estrategia de dos horizontes del capítulo 10. Sus fortalezas: C1 alcanzable (la Fase Beta acredita medidas antes del plazo); C5 y C6 máximos (propiedad total; fidelidad por construcción a las reglas levantadas); C7 favorable (cada módulo nuevo reutiliza identidad, gateway y estándares). Sus debilidades, declaradas sin atenuantes: el ecosistema arrastra una deuda técnica propia —inventariada en el capítulo 9— cuyo cierre es </w:t>
      </w:r>
      <w:r>
        <w:rPr>
          <w:b/>
          <w:bCs/>
        </w:rPr>
        <w:t xml:space="preserve">condición habilitante</w:t>
      </w:r>
      <w:r>
        <w:t xml:space="preserve"> del dictamen; y su construcción ha descansado en una sola persona, riesgo de continuidad que el capítulo 11 aborda con la mitigación ya ejecutada (documentación exhaustiva) y la planificada (incorporación de perfiles técnicos). En el plano operativo, la gobernanza de la plataforma —Windows Server, contenedores Docker sobre WSL, respaldos— es plenamente ejecutable por el equipo de TI de Infraestructura existente, sin exigirle competencias de desarrollo (sección 8.1 y capítulo 13).</w:t>
      </w:r>
    </w:p>
    <w:p>
      <w:pPr>
        <w:pStyle w:val="Heading2"/>
      </w:pPr>
      <w:r>
        <w:t xml:space="preserve">7.5. Matriz comparativa y dictamen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60"/>
        <w:gridCol w:w="2060"/>
        <w:gridCol w:w="2080"/>
      </w:tblGrid>
      <w:tr>
        <w:tc>
          <w:tcPr>
            <w:tcW w:type="dxa" w:w="31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Criterio</w:t>
            </w:r>
          </w:p>
        </w:tc>
        <w:tc>
          <w:tcPr>
            <w:tcW w:type="dxa" w:w="20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A. Refactorizar</w:t>
            </w:r>
          </w:p>
        </w:tc>
        <w:tc>
          <w:tcPr>
            <w:tcW w:type="dxa" w:w="20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B. Adquirir</w:t>
            </w:r>
          </w:p>
        </w:tc>
        <w:tc>
          <w:tcPr>
            <w:tcW w:type="dxa" w:w="208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 Consolidar SMID</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C1 Cumplimiento en plazo</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No alcanzable</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Improbable en la ventana</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Alcanzable con plan P0/P1</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C2 Riesgo de seguridad</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Permanece la base insegura</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Riesgo trasladado, no eliminado; nuevo frente de encargo</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Mejor trayectoria; deuda declarada y cerrable</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C3 Costo y recursos públicos</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Reconstrucción sin sistema nuevo</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Licenciamiento recurrente más implementación</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Esfuerzo interno acotado; activos ya construidos</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C4 Plazo (29 semanas)</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Incompatible</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Incompatible</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Compatible: 24 a 32 semanas estimadas (D1)</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C5 Soberanía y control</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Baja (runtime propietario)</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Baja a media (plataforma de tercero)</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Máxima</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C6 Ajuste al dominio</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Alto pero inalcanzable</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Medio, a costo de configuración profunda</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Máximo por construcción</w:t>
            </w:r>
          </w:p>
        </w:tc>
      </w:tr>
      <w:tr>
        <w:tc>
          <w:tcPr>
            <w:tcW w:type="dxa" w:w="3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C7 Capacidad evolutiva</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Mínima</w:t>
            </w:r>
          </w:p>
        </w:tc>
        <w:tc>
          <w:tcPr>
            <w:tcW w:type="dxa" w:w="2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Dependiente del proveedor</w:t>
            </w:r>
          </w:p>
        </w:tc>
        <w:tc>
          <w:tcPr>
            <w:tcW w:type="dxa" w:w="208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Alta; costo marginal decreciente</w:t>
            </w:r>
          </w:p>
        </w:tc>
      </w:tr>
    </w:tbl>
    <w:p>
      <w:pPr>
        <w:spacing w:after="100"/>
      </w:pPr>
      <w:r>
        <w:rPr>
          <w:sz w:val="4"/>
          <w:szCs w:val="4"/>
        </w:rPr>
        <w:t xml:space="preserve"/>
      </w:r>
    </w:p>
    <w:p>
      <w:pPr>
        <w:spacing w:after="120" w:line="288"/>
        <w:jc w:val="both"/>
      </w:pPr>
      <w:r>
        <w:rPr>
          <w:b/>
          <w:bCs/>
        </w:rPr>
        <w:t xml:space="preserve">Dictamen.</w:t>
      </w:r>
      <w:r>
        <w:t xml:space="preserve"> El escenario C es la alternativa que mejor satisface el conjunto de criterios, y la única que permite acreditar cumplimiento dentro de la ventana normativa sin ceder la soberanía sobre los datos de NNA. El dictamen es </w:t>
      </w:r>
      <w:r>
        <w:rPr>
          <w:b/>
          <w:bCs/>
        </w:rPr>
        <w:t xml:space="preserve">condicionado</w:t>
      </w:r>
      <w:r>
        <w:t xml:space="preserve">: su validez depende del cierre calendarizado de la deuda declarada del capítulo 9 (prioridades P0 y P1) y de la gobernanza del capítulo 13. No se afirma que C sea la única vía concebible; se afirma, con la evidencia de este expediente, que es la única que satisface simultáneamente C1, C5 y C6, y que las demás fallan en criterios que no admiten compensación.</w:t>
      </w:r>
    </w:p>
    <w:p>
      <w:pPr>
        <w:pStyle w:val="Heading1"/>
        <w:pageBreakBefore/>
      </w:pPr>
      <w:r>
        <w:t xml:space="preserve">8. El Ecosistema Institucional SMID: Estado Verificado, Arquitectura Objetivo y Alcance del Presente Hito</w:t>
      </w:r>
    </w:p>
    <w:p>
      <w:pPr>
        <w:pStyle w:val="Heading2"/>
      </w:pPr>
      <w:r>
        <w:t xml:space="preserve">8.1. Estado actual verificado del clúster</w:t>
      </w:r>
    </w:p>
    <w:p>
      <w:pPr>
        <w:spacing w:after="120" w:line="288"/>
        <w:jc w:val="both"/>
      </w:pPr>
      <w:r>
        <w:t xml:space="preserve">El ecosistema SMID opera tras un </w:t>
      </w:r>
      <w:r>
        <w:rPr>
          <w:b/>
          <w:bCs/>
        </w:rPr>
        <w:t xml:space="preserve">API Gateway</w:t>
      </w:r>
      <w:r>
        <w:t xml:space="preserve"> (puerto 8080) que constituye el único punto de entrada y resuelve, para cada solicitud: filtro de auditoría de tráfico, validación del token JWT en rutas protegidas, reescritura de ruta y reenvío al servicio de destino, con normalización de todos los errores a un contrato único [D9]. El decodificador fuerza explícitamente el algoritmo de firma para clausurar ataques de confusión de algoritmo [D9]. Tras el Gateway operan seis servicios: Identidad (auth, 8081), el puente de consulta del legado (siger-service, 8082), SGS (8083), proninez (8084), smid (8085) y el motor ESNNA (8086) [D9].</w:t>
      </w:r>
    </w:p>
    <w:p>
      <w:pPr>
        <w:spacing w:after="120" w:line="288"/>
        <w:jc w:val="both"/>
      </w:pPr>
      <w:r>
        <w:t xml:space="preserve">El </w:t>
      </w:r>
      <w:r>
        <w:rPr>
          <w:b/>
          <w:bCs/>
        </w:rPr>
        <w:t xml:space="preserve">servicio de Identidad</w:t>
      </w:r>
      <w:r>
        <w:t xml:space="preserve"> implementa la jerarquía estricta Sede → Unidad → Profesional (una sede agrupa unidades; una unidad agrupa profesionales; cada profesional pertenece exactamente a una unidad), valida credenciales con hash BCrypt, opera sin estado de sesión en el servidor y responde de forma indistinguible ante credenciales inexistentes o incorrectas para impedir la enumeración de usuarios [D10]. El token emitido porta </w:t>
      </w:r>
      <w:r>
        <w:rPr>
          <w:b/>
          <w:bCs/>
        </w:rPr>
        <w:t xml:space="preserve">claims territoriales granulares</w:t>
      </w:r>
      <w:r>
        <w:t xml:space="preserve"> —roles, identificador de sede e identificador de unidad—, que los servicios de negocio utilizan para acotar cada consulta al ámbito de la persona autenticada [D10]. Este es el contraste exacto con el hallazgo IDOR del legado: en SMID, la autorización viaja en la credencial y se aplica dato a dato; en SIGER, se presumía del perímetro.</w:t>
      </w:r>
    </w:p>
    <w:p>
      <w:pPr>
        <w:spacing w:after="120" w:line="288"/>
        <w:jc w:val="both"/>
      </w:pPr>
      <w:r>
        <w:t xml:space="preserve">En el plano de infraestructura, el clúster corre sobre el Windows Server institucional. La guía de despliegue D12 documenta el patrón de servicios nativos con procedimientos de respaldo y reversa por servicio; a la fecha de este informe, la institución cuenta además, operativos, con entornos </w:t>
      </w:r>
      <w:r>
        <w:rPr>
          <w:b/>
          <w:bCs/>
        </w:rPr>
        <w:t xml:space="preserve">Docker sobre WSL</w:t>
      </w:r>
      <w:r>
        <w:t xml:space="preserve"> para los servicios de mensajería (RabbitMQ) y almacenamiento de objetos (MinIO), y para las herramientas que próximos desarrollos requieran (supuesto operativo L8). La gobernanza de esta plataforma —administración del servidor, ciclo de vida de contenedores, políticas de respaldo de bases y del almacén de objetos, monitoreo de servicios— corresponde íntegramente al equipo de </w:t>
      </w:r>
      <w:r>
        <w:rPr>
          <w:b/>
          <w:bCs/>
        </w:rPr>
        <w:t xml:space="preserve">TI de Infraestructura</w:t>
      </w:r>
      <w:r>
        <w:t xml:space="preserve">, es ejecutable con sus capacidades actuales y cuenta con runbooks operativos como punto de partida [D12]; ninguna tarea de programación se le asigna.</w:t>
      </w:r>
    </w:p>
    <w:p>
      <w:pPr>
        <w:pStyle w:val="Heading2"/>
      </w:pPr>
      <w:r>
        <w:t xml:space="preserve">8.2. SGS v2: seguimiento de recomendaciones con auditoría inmutable</w:t>
      </w:r>
    </w:p>
    <w:p>
      <w:pPr>
        <w:spacing w:after="120" w:line="288"/>
        <w:jc w:val="both"/>
      </w:pPr>
      <w:r>
        <w:t xml:space="preserve">SGS materializa la atribución del artículo 4, letra i), de la Ley N° 21.067 —observar y hacer seguimiento conforme a un plan— y el control de plazos de la letra e). Su dominio modela la jerarquía Oficio → Recomendación → Acción/Seguimiento; el procesamiento de documentos es asíncrono mediante colas (las llamadas de análisis no bloquean la operación); los expedientes PDF se almacenan en MinIO direccionados por su hash; y cada seguimiento registra el </w:t>
      </w:r>
      <w:r>
        <w:rPr>
          <w:b/>
          <w:bCs/>
        </w:rPr>
        <w:t xml:space="preserve">desdoble entre la propuesta del análisis automatizado —que queda como registro inmutable, con su valoración, confianza y razonamiento— y el veredicto humano final, con autor y fecha</w:t>
      </w:r>
      <w:r>
        <w:t xml:space="preserve"> [D11]. Dos relojes de vencimiento (plazo al destinatario y estancamiento de fase interna) alimentan un barrido diario de alertas [D11]. Cada persistencia escribe una entrada de auditoría con el modelo utilizado, los tokens consumidos y el hash de los documentos —nunca su contenido— [D11]. El sistema expone, además, una métrica de concordancia entre la propuesta automatizada y la decisión humana, que operacionaliza la supervisión del criterio algorítmico [D11].</w:t>
      </w:r>
    </w:p>
    <w:p>
      <w:pPr>
        <w:pStyle w:val="Heading2"/>
      </w:pPr>
      <w:r>
        <w:t xml:space="preserve">8.3. ESNNA v2: análisis y priorización con decisión humana final</w:t>
      </w:r>
    </w:p>
    <w:p>
      <w:pPr>
        <w:spacing w:after="120" w:line="288"/>
        <w:jc w:val="both"/>
      </w:pPr>
      <w:r>
        <w:t xml:space="preserve">El motor ESNNA aplica un protocolo de criterios con evidencia y computa en el propio backend, mediante una regla determinista, el semáforo propuesto —la priorización no la decide el modelo, la decide la regla institucional aplicada sobre la evidencia extraída— [D14]. El semáforo propuesto se persiste </w:t>
      </w:r>
      <w:r>
        <w:rPr>
          <w:b/>
          <w:bCs/>
        </w:rPr>
        <w:t xml:space="preserve">inmutable</w:t>
      </w:r>
      <w:r>
        <w:t xml:space="preserve"> junto al semáforo final del profesional; los documentos fuente se almacenan por hash; el guardado verifica duplicados; y cada análisis escribe su registro de auditoría con los modelos, la versión del protocolo, los hashes, la persona usuaria, los tokens y el costo [D14]. El servicio valida el tipo real de los archivos antes de procesarlos, limita el tamaño de los lotes y su política de registro impide volcar contenido de documentos a las bitácoras [D14]. En conjunto, SGS y ESNNA implementan por diseño el patrón que el artículo 8° bis de la Ley N° 21.719 exige para toda decisión con componente automatizado: explicación, intervención humana, registro y revisabilidad.</w:t>
      </w:r>
    </w:p>
    <w:p>
      <w:pPr>
        <w:pStyle w:val="Heading2"/>
      </w:pPr>
      <w:r>
        <w:t xml:space="preserve">8.4. Arquitectura objetivo y alcance del presente hito</w:t>
      </w:r>
    </w:p>
    <w:p>
      <w:pPr>
        <w:spacing w:after="120" w:line="288"/>
        <w:jc w:val="both"/>
      </w:pPr>
      <w:r>
        <w:t xml:space="preserve">La arquitectura objetivo [D1] organiza el nuevo SIGER en </w:t>
      </w:r>
      <w:r>
        <w:rPr>
          <w:b/>
          <w:bCs/>
        </w:rPr>
        <w:t xml:space="preserve">diez servicios de negocio y tres transversales</w:t>
      </w:r>
      <w:r>
        <w:t xml:space="preserve">, cada uno responsable de un subdominio identificable en la operación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960"/>
        <w:gridCol w:w="2100"/>
      </w:tblGrid>
      <w:tr>
        <w:tc>
          <w:tcPr>
            <w:tcW w:type="dxa" w:w="23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Servicio</w:t>
            </w:r>
          </w:p>
        </w:tc>
        <w:tc>
          <w:tcPr>
            <w:tcW w:type="dxa" w:w="49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Responsabilidad</w:t>
            </w:r>
          </w:p>
        </w:tc>
        <w:tc>
          <w:tcPr>
            <w:tcW w:type="dxa" w:w="21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Origen funcional</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6.1 Identidad y Acceso</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Usuarios internos, perfiles, permisos, autenticación y estructura organizacional territorial</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Transversal</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6.2 Personas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NNA, requirentes adultos, personas jurídicas y testigos; validación por RUT</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USR.01</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6.3 Requerimientos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Ciclo completo de ingreso y admisibilidad</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USR.01 y USR.02</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6.4 Casos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Núcleo de la gestión profesional; agrupar, desagrupar y dividir</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USR.03</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6.5 Vulneraciones (crítico)</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Ficha Interna Reservada: cifrado, versionamiento y control de acceso fino</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USR.03; RF019</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6.6 Productos y Tareas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Instrumentos institucionales judiciales y no judiciales; plazos y alertas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USR.03</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6.7 Catálogo de Derechos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Taxonomía jerárquica de derechos vulnerados y causas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Transversal</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6.8 Antecedentes y Hallazgos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Repositorio analítico; buenas prácticas y nudos críticos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RF028</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6.9 Documentos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Almacenamiento de adjuntos con versionamiento</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RF040</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6.10 Instituciones</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Mantenedor de instituciones externas, clasificaciones y puntos focales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RF018</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Gateway (transversal)</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Orquestación de llamadas del frontend hacia los servicios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Operativo hoy</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Auditoría y Trazabilidad (transversal)</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Consumo de eventos de todos los servicios; historial completo</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RF031</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Notificaciones (transversal)</w:t>
            </w:r>
          </w:p>
        </w:tc>
        <w:tc>
          <w:tcPr>
            <w:tcW w:type="dxa" w:w="49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Correos, alertas y notificaciones internas</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RF002 y RF035</w:t>
            </w:r>
          </w:p>
        </w:tc>
      </w:tr>
    </w:tbl>
    <w:p>
      <w:pPr>
        <w:spacing w:after="100"/>
      </w:pPr>
      <w:r>
        <w:rPr>
          <w:sz w:val="4"/>
          <w:szCs w:val="4"/>
        </w:rPr>
        <w:t xml:space="preserve"/>
      </w:r>
    </w:p>
    <w:p>
      <w:pPr>
        <w:spacing w:after="120" w:line="288"/>
        <w:jc w:val="both"/>
      </w:pPr>
      <w:r>
        <w:rPr>
          <w:b/>
          <w:bCs/>
        </w:rPr>
        <w:t xml:space="preserve">El alcance de este hito es el núcleo fundacional: los servicios 6.1, 6.2 y 6.3.</w:t>
      </w:r>
      <w:r>
        <w:t xml:space="preserve"> Ese núcleo absorbe por completo el ciclo de ingreso, la validación de duplicados por RUT o nombre del NNA y la admisibilidad con sus tres acciones disjuntas (USR.01 y USR.02), preservando la flexibilidad de campos del ingreso que D1 ordena conservar. Es, además, la zapata sobre la cual se acoplan todos los servicios posteriores: Casos (6.4) consume identidad, personas y requerimientos; Vulneraciones (6.5) consume casos; y así sucesivamente. La precedencia no es opinable: ningún módulo posterior puede construirse sin este cimiento, y por eso el plan de fases de D1 lo sitúa al inicio (F2, servicios fundacionales; F3, requerimientos y catálogos). Los servicios analíticos SGS y ESNNA, ya operativos, conviven en el mismo clúster como herramientas del desarrollo institucional, bajo el mismo Gateway, la misma identidad y los mismos estándares; el mapa de evolución consiste en descomponer progresivamente el dominio que hoy cubre el puente de consulta del legado en los servicios 6.2 a 6.10, conforme avanzan las fases.</w:t>
      </w:r>
    </w:p>
    <w:p>
      <w:pPr>
        <w:pStyle w:val="Heading2"/>
      </w:pPr>
      <w:r>
        <w:t xml:space="preserve">8.5. Autenticación territorial: modelo cerrado en Beta, ClaveÚnica como hito posterior</w:t>
      </w:r>
    </w:p>
    <w:p>
      <w:pPr>
        <w:spacing w:after="120" w:line="288"/>
        <w:jc w:val="both"/>
      </w:pPr>
      <w:r>
        <w:t xml:space="preserve">Durante la Fase Beta y hasta la puesta en marcha oficial, el servicio de Identidad </w:t>
      </w:r>
      <w:r>
        <w:rPr>
          <w:b/>
          <w:bCs/>
        </w:rPr>
        <w:t xml:space="preserve">mantiene el modelo cerrado e independiente</w:t>
      </w:r>
      <w:r>
        <w:t xml:space="preserve"> estructurado en la jerarquía Sede → Unidad → Profesional mediante claims granulares del token, de modo que cada jefatura regional resguarde el acceso a sus propios registros en cumplimiento directo del deber de reserva del artículo 64 de la Ley N° 21.430. Esta decisión es deliberada: en la fase de acreditación de medidas técnicas, la superficie de identidad debe ser mínima, auditable y enteramente institucional. La integración con </w:t>
      </w:r>
      <w:r>
        <w:rPr>
          <w:b/>
          <w:bCs/>
        </w:rPr>
        <w:t xml:space="preserve">ClaveÚnica</w:t>
      </w:r>
      <w:r>
        <w:t xml:space="preserve"> —estándar de identidad digital del Estado asociado a la Ley N° 21.180— se documenta exclusivamente como </w:t>
      </w:r>
      <w:r>
        <w:rPr>
          <w:b/>
          <w:bCs/>
        </w:rPr>
        <w:t xml:space="preserve">hito de escalabilidad posterior al 1 de enero de 2027</w:t>
      </w:r>
      <w:r>
        <w:t xml:space="preserve">, a evaluar una vez consolidada la operación oficial, y en ningún caso como requisito de la Beta.</w:t>
      </w:r>
    </w:p>
    <w:p>
      <w:pPr>
        <w:pStyle w:val="Heading2"/>
      </w:pPr>
      <w:r>
        <w:t xml:space="preserve">8.6. Decisiones de integridad para una arquitectura distribuida</w:t>
      </w:r>
    </w:p>
    <w:p>
      <w:pPr>
        <w:spacing w:after="120" w:line="288"/>
        <w:jc w:val="both"/>
      </w:pPr>
      <w:r>
        <w:t xml:space="preserve">La objeción técnica clásica a los microservicios —cómo se sostiene la integridad sin una base única— está resuelta en el diseño objetivo con cuatro decisiones [D1]: identificadores universales estables (UUID, presentes ya como alt_key en el modelo legado, lo que facilita el mapeo: Anexo A), snapshots desnormalizados para evitar llamadas remotas constantes, sincronización por eventos con consistencia eventual bajo un objetivo de servicio explícito —propagación inferior a dos segundos en el percentil 99—, verificaciones síncronas en los momentos críticos y reconciliación periódica de referencias huérfanas. La consecuencia operativa para las Sedes Regionales es directa: la caída o mantención de un módulo no detiene a los demás; el ingreso de requerimientos no depende de la disponibilidad del módulo de informes.</w:t>
      </w:r>
    </w:p>
    <w:p>
      <w:pPr>
        <w:pStyle w:val="Heading2"/>
      </w:pPr>
      <w:r>
        <w:t xml:space="preserve">8.7. Confidencialidad por diseño para el subdominio de Vulneraciones</w:t>
      </w:r>
    </w:p>
    <w:p>
      <w:pPr>
        <w:spacing w:after="120" w:line="288"/>
        <w:jc w:val="both"/>
      </w:pPr>
      <w:r>
        <w:t xml:space="preserve">El diseño objetivo del servicio 6.5 establece, para la FIR, el estándar más alto del ecosistema: base de datos independiente con </w:t>
      </w:r>
      <w:r>
        <w:rPr>
          <w:b/>
          <w:bCs/>
        </w:rPr>
        <w:t xml:space="preserve">cifrado en reposo</w:t>
      </w:r>
      <w:r>
        <w:t xml:space="preserve">, comunicaciones entre servicios con certificados mutuos, un permiso adicional sobre el permiso general para cada acceso, y registro de </w:t>
      </w:r>
      <w:r>
        <w:rPr>
          <w:b/>
          <w:bCs/>
        </w:rPr>
        <w:t xml:space="preserve">toda lectura</w:t>
      </w:r>
      <w:r>
        <w:t xml:space="preserve"> con dirección IP, persona usuaria y marca temporal [D1] —recogiendo lo que el propio diseño funcional de origen ya exigía: el registro de visitas a la carpeta digital y de accesos a información protegida (D4)—. Esta configuración satisface, por construcción, la protección desde el diseño y por defecto (art. 14 quáter), el deber de seguridad (art. 14 quinquies), el estatuto de los datos de NNA (art. 16 quáter) y el régimen de reserva derivada (art. 24, letra d) de la Ley N° 21.719, además del artículo 64 de la Ley N° 21.430. La regla institucional que de aquí deriva es simple de enunciar y de auditar: </w:t>
      </w:r>
      <w:r>
        <w:rPr>
          <w:b/>
          <w:bCs/>
        </w:rPr>
        <w:t xml:space="preserve">en el nuevo ecosistema, nadie lee una ficha reservada sin dejar huella, y nadie la alcanza fuera de su ámbito territorial y funcional.</w:t>
      </w:r>
    </w:p>
    <w:p>
      <w:pPr>
        <w:pStyle w:val="Heading2"/>
      </w:pPr>
      <w:r>
        <w:t xml:space="preserve">8.8. Gobernanza del uso de IA y de proveedores externos de procesamiento</w:t>
      </w:r>
    </w:p>
    <w:p>
      <w:pPr>
        <w:spacing w:after="120" w:line="288"/>
        <w:jc w:val="both"/>
      </w:pPr>
      <w:r>
        <w:t xml:space="preserve">Los servicios analíticos SGS y ESNNA utilizan, para la extracción y evaluación de documentos, modelos de lenguaje provistos mediante una API externa [D11, D13]. Este informe lo declara sin eufemismos y lo somete al régimen que corresponde: se trata de un </w:t>
      </w:r>
      <w:r>
        <w:rPr>
          <w:b/>
          <w:bCs/>
        </w:rPr>
        <w:t xml:space="preserve">encargo de tratamiento con componente de transferencia internacional</w:t>
      </w:r>
      <w:r>
        <w:t xml:space="preserve"> (Título V de la Ley N° 21.719) sobre material que puede contener datos sensibles y de NNA. Las salvaguardas ya implementadas son relevantes —la auditoría conserva hashes y nunca contenido; las bitácoras no vuelcan texto de documentos; la decisión final es siempre humana y registrada [D11, D14]—, pero no son suficientes por sí solas. El informe establece como condiciones exigibles antes de ampliar el volumen productivo de estos flujos: la formalización de la base de licitud (funciones legales de los artículos 20 y 21 en relación con el artículo 4 de la Ley N° 21.067 y el interés superior del artículo 16 quáter), un contrato de encargo con cláusulas de finalidad, confidencialidad, no retención y no utilización para entrenamiento, subencargados y jurisdicción; la </w:t>
      </w:r>
      <w:r>
        <w:rPr>
          <w:b/>
          <w:bCs/>
        </w:rPr>
        <w:t xml:space="preserve">minimización y seudonimización previas al envío</w:t>
      </w:r>
      <w:r>
        <w:t xml:space="preserve"> —supresión de identificadores directos cuando la tarea analítica lo permita—; una evaluación de impacto en protección de datos conducida por Fiscalía; y la regla estricta para el canal de notificaciones: las alertas viajan con folio y metadatos, </w:t>
      </w:r>
      <w:r>
        <w:rPr>
          <w:b/>
          <w:bCs/>
        </w:rPr>
        <w:t xml:space="preserve">jamás con la identidad de un NNA</w:t>
      </w:r>
      <w:r>
        <w:t xml:space="preserve">, evaluándose además su reemplazo por un canal institucional.</w:t>
      </w:r>
    </w:p>
    <w:p>
      <w:pPr>
        <w:spacing w:after="120" w:line="288"/>
        <w:jc w:val="both"/>
      </w:pPr>
      <w:r>
        <w:t xml:space="preserve">Como </w:t>
      </w:r>
      <w:r>
        <w:rPr>
          <w:b/>
          <w:bCs/>
        </w:rPr>
        <w:t xml:space="preserve">supuesto conceptual de diseño para futuras inversiones</w:t>
      </w:r>
      <w:r>
        <w:t xml:space="preserve"> —y estrictamente en ese carácter cualitativo—, el informe adopta el modelo del </w:t>
      </w:r>
      <w:r>
        <w:rPr>
          <w:b/>
          <w:bCs/>
        </w:rPr>
        <w:t xml:space="preserve">Proxy de Anonimización</w:t>
      </w:r>
      <w:r>
        <w:t xml:space="preserve">: una capa institucional que intercepta todo flujo hacia modelos de lenguaje, aplica la seudonimización y, en su evolución, enruta las cargas de mayor sensibilidad hacia un </w:t>
      </w:r>
      <w:r>
        <w:rPr>
          <w:b/>
          <w:bCs/>
        </w:rPr>
        <w:t xml:space="preserve">modelo de lenguaje local operando en un nodo de cómputo dedicado e independiente</w:t>
      </w:r>
      <w:r>
        <w:t xml:space="preserve">, con infraestructura aislada y optimizada para inferencia. La separación física es parte del diseño: el procesamiento pesado de la IA no debe competir por recursos con el servidor central que utilizan las Sedes Regionales, de modo que el rendimiento y la disponibilidad de la operación nacional queden garantizados. Este supuesto satisface la privacidad desde el diseño (arts. 14 quáter y 16 quáter de la Ley N° 21.719) y se incorpora a la hoja de ruta como prioridad P2 del capítulo 9, sin especificaciones técnicas ni compromisos de adquisición en este documento.</w:t>
      </w:r>
    </w:p>
    <w:p>
      <w:pPr>
        <w:pStyle w:val="Heading2"/>
      </w:pPr>
      <w:r>
        <w:t xml:space="preserve">8.9. Valor diferencial por Unidad de Destino y Sedes Regionales</w:t>
      </w:r>
    </w:p>
    <w:p>
      <w:pPr>
        <w:spacing w:after="120" w:line="288"/>
        <w:jc w:val="both"/>
      </w:pPr>
      <w:r>
        <w:t xml:space="preserve">La arquitectura no se justifica en abstracto sino en lo que entrega a cada parte de la institución. Para la </w:t>
      </w:r>
      <w:r>
        <w:rPr>
          <w:b/>
          <w:bCs/>
        </w:rPr>
        <w:t xml:space="preserve">UPRJ</w:t>
      </w:r>
      <w:r>
        <w:t xml:space="preserve">: el subdominio de Vulneraciones con cifrado, versionado y huella de lectura convierte el régimen de la FIR en una propiedad verificable del sistema, no en una expectativa. Para la </w:t>
      </w:r>
      <w:r>
        <w:rPr>
          <w:b/>
          <w:bCs/>
        </w:rPr>
        <w:t xml:space="preserve">UEG</w:t>
      </w:r>
      <w:r>
        <w:t xml:space="preserve">: validaciones de dominio en el ingreso, eliminación de huérfanos por diseño, separación de la bitácora narrativa respecto del log masivo de auditoría [D1] y series estadísticas íntegras gracias al corte del 31-12-2026 (capítulo 10). Para la </w:t>
      </w:r>
      <w:r>
        <w:rPr>
          <w:b/>
          <w:bCs/>
        </w:rPr>
        <w:t xml:space="preserve">UPDD</w:t>
      </w:r>
      <w:r>
        <w:t xml:space="preserve">: visibilidad de estado de avance conforme a RF023 y, en la hoja de ruta, el servicio transversal de Notificaciones (RF002 y RF035) que el sistema actual no posee. Para </w:t>
      </w:r>
      <w:r>
        <w:rPr>
          <w:b/>
          <w:bCs/>
        </w:rPr>
        <w:t xml:space="preserve">Gabinete</w:t>
      </w:r>
      <w:r>
        <w:t xml:space="preserve">: motor de plazos y escalamientos alineado a los artículos 62 y 63 de la Ley N° 21.430 y al artículo 4 de la Ley N° 21.067, con alertas en lugar de control manual. Para las </w:t>
      </w:r>
      <w:r>
        <w:rPr>
          <w:b/>
          <w:bCs/>
        </w:rPr>
        <w:t xml:space="preserve">Sedes Regionales</w:t>
      </w:r>
      <w:r>
        <w:t xml:space="preserve">: pertinencia territorial por construcción —cada credencial nace acotada a su sede y unidad—, continuidad operativa ante mantenciones de módulos ajenos y preservación de su numeración interna mediante el correlativo limpio 0/2027.</w:t>
      </w:r>
    </w:p>
    <w:p>
      <w:pPr>
        <w:pStyle w:val="Heading1"/>
        <w:pageBreakBefore/>
      </w:pPr>
      <w:r>
        <w:t xml:space="preserve">9. Deuda Técnica Declarada del Nuevo Ecosistema y Plan de Cierre</w:t>
      </w:r>
    </w:p>
    <w:p>
      <w:pPr>
        <w:pStyle w:val="Heading2"/>
      </w:pPr>
      <w:r>
        <w:t xml:space="preserve">9.1. Naturaleza de la deuda: medible frente a estructural</w:t>
      </w:r>
    </w:p>
    <w:p>
      <w:pPr>
        <w:spacing w:after="120" w:line="288"/>
        <w:jc w:val="both"/>
      </w:pPr>
      <w:r>
        <w:t xml:space="preserve">Este informe se obligó a no asumir perfección en la arquitectura nueva, y cumple esa obligación aplicando al ecosistema SMID la misma severidad de auditoría que aplicó al legado. La diferencia entre ambos no es la ausencia de deuda —ningún sistema en construcción carece de ella—, sino su </w:t>
      </w:r>
      <w:r>
        <w:rPr>
          <w:b/>
          <w:bCs/>
        </w:rPr>
        <w:t xml:space="preserve">naturaleza y gobernabilidad</w:t>
      </w:r>
      <w:r>
        <w:t xml:space="preserve">: la deuda de SMID está declarada por escrito en su propia documentación técnica [D9–D14], es acotada en su superficie, medible en su cierre y calendarizable con hitos anteriores a la vigencia del nuevo régimen legal. La prueba más elocuente de la tesis de este informe es la tabla de la sección siguiente: </w:t>
      </w:r>
      <w:r>
        <w:rPr>
          <w:b/>
          <w:bCs/>
        </w:rPr>
        <w:t xml:space="preserve">sobre SIGER ni siquiera es posible redactar una tabla equivalente</w:t>
      </w:r>
      <w:r>
        <w:t xml:space="preserve">, porque su deuda no está declarada en documentación alguna, no está acotada —reside en el runtime propietario completo— y no admite plan de cierre distinto de la reconstrucción.</w:t>
      </w:r>
    </w:p>
    <w:p>
      <w:pPr>
        <w:pStyle w:val="Heading2"/>
      </w:pPr>
      <w:r>
        <w:t xml:space="preserve">9.2. Inventario de deuda declarada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500"/>
        <w:gridCol w:w="1900"/>
      </w:tblGrid>
      <w:tr>
        <w:tc>
          <w:tcPr>
            <w:tcW w:type="dxa" w:w="8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C�digo</w:t>
            </w:r>
          </w:p>
        </w:tc>
        <w:tc>
          <w:tcPr>
            <w:tcW w:type="dxa" w:w="51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Deuda técnica declarada</w:t>
            </w:r>
          </w:p>
        </w:tc>
        <w:tc>
          <w:tcPr>
            <w:tcW w:type="dxa" w:w="15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Fuente</w:t>
            </w:r>
          </w:p>
        </w:tc>
        <w:tc>
          <w:tcPr>
            <w:tcW w:type="dxa" w:w="19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Prioridad de cierre</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DT-1</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Datos personales e información sensible sin cifrado en reposo en los servicios analíticos; el diseño objetivo lo exige para el subdominio de Vulneraciones y debe extenderse a toda categoría reservada</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D14; D1</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P1 — antes del 01-12-2026</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DT-2</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Secretos de aplicación (clave de firma de tokens, credenciales de API externa) presentes en archivos de configuración, con anotación expresa de pendiente en la propia documentación</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D10, D11, D12</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P0 — 30 días</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DT-3</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Firma de tokens con algoritmo simétrico de secreto compartido entre servicios; ausencia de validación de emisor y audiencia en un servicio; rotación de claves no procedimentada</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D9, D11, D12</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P0 — 30 días</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DT-4</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Autorización por roles desactivada en un servicio (acceso permitido a cualquier credencial autenticada del clúster, decisión transitoria documentada)</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D11</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P0 — 30 días</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DT-5</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Gestión del esquema de base de datos en modo de actualización automática en un servicio; debe migrarse a migraciones versionadas con validación</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D13, D14</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P1 — antes del 01-12-2026</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DT-6</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Cifrado de canal entre servicios internos (certificados mutuos) definido como objetivo de diseño y aún no implementado; mitigado hoy por enrutamiento en interfaz local</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D12</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P1 — antes del 01-12-2026</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DT-7</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Política de orígenes cruzados del Gateway configurada para ambiente de desarrollo</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D9</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P0 — 30 días</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DT-8</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Externalización de procesamiento documental hacia proveedor de modelos de lenguaje sin evaluación de impacto formal ni contrato de encargo de tratamiento suscrito</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D11, D13; sección 8.8</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P1 — antes del 01-12-2026</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DT-9</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Canal de alertas operativas sobre plataforma de mensajería de tercero; requiere formalizar la regla de carga útil mínima o su reemplazo por canal institucional</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D11</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P1 — antes del 01-12-2026</w:t>
            </w:r>
          </w:p>
        </w:tc>
      </w:tr>
      <w:tr>
        <w:tc>
          <w:tcPr>
            <w:tcW w:type="dxa" w:w="8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DT-10</w:t>
            </w:r>
          </w:p>
        </w:tc>
        <w:tc>
          <w:tcPr>
            <w:tcW w:type="dxa" w:w="5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Documentos escaneados sin capa de texto quedan fuera del análisis automatizado (rechazo controlado y explícito, no silencioso)</w:t>
            </w:r>
          </w:p>
        </w:tc>
        <w:tc>
          <w:tcPr>
            <w:tcW w:type="dxa" w:w="1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D14</w:t>
            </w:r>
          </w:p>
        </w:tc>
        <w:tc>
          <w:tcPr>
            <w:tcW w:type="dxa" w:w="19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P2 — mejora continua</w:t>
            </w:r>
          </w:p>
        </w:tc>
      </w:tr>
    </w:tbl>
    <w:p>
      <w:pPr>
        <w:spacing w:after="100"/>
      </w:pPr>
      <w:r>
        <w:rPr>
          <w:sz w:val="4"/>
          <w:szCs w:val="4"/>
        </w:rPr>
        <w:t xml:space="preserve"/>
      </w:r>
    </w:p>
    <w:p>
      <w:pPr>
        <w:spacing w:after="120" w:line="288"/>
        <w:jc w:val="both"/>
      </w:pPr>
      <w:r>
        <w:t xml:space="preserve">Dos precisiones de lectura. Primera, varios de estos puntos son </w:t>
      </w:r>
      <w:r>
        <w:rPr>
          <w:b/>
          <w:bCs/>
        </w:rPr>
        <w:t xml:space="preserve">decisiones transitorias documentadas y no omisiones</w:t>
      </w:r>
      <w:r>
        <w:t xml:space="preserve">: la propia fuente los marca como pendientes, lo que demuestra que el ecosistema se construye con la disciplina de declarar su deuda —disciplina cuya ausencia en el legado obligó a una auditoría externa para descubrirla—. Segunda, la mitigación circunstancial existente (operación en interfaz local del servidor, tras el Gateway, en red institucional) reduce la explotabilidad inmediata pero </w:t>
      </w:r>
      <w:r>
        <w:rPr>
          <w:b/>
          <w:bCs/>
        </w:rPr>
        <w:t xml:space="preserve">no sustituye el cierre</w:t>
      </w:r>
      <w:r>
        <w:t xml:space="preserve">: el estándar de Confianza Cero que este informe aplicó a SIGER rige también aquí.</w:t>
      </w:r>
    </w:p>
    <w:p>
      <w:pPr>
        <w:pStyle w:val="Heading2"/>
      </w:pPr>
      <w:r>
        <w:t xml:space="preserve">9.3. Plan de cierre calendarizado</w:t>
      </w:r>
    </w:p>
    <w:p>
      <w:pPr>
        <w:spacing w:after="120" w:line="288"/>
        <w:jc w:val="both"/>
      </w:pPr>
      <w:r>
        <w:t xml:space="preserve">El plan distingue tres prioridades, con responsables conforme al modelo de roles del capítulo 13.</w:t>
      </w:r>
    </w:p>
    <w:p>
      <w:pPr>
        <w:pStyle w:val="ListParagraph"/>
        <w:numPr>
          <w:ilvl w:val="0"/>
          <w:numId w:val="5"/>
        </w:numPr>
        <w:spacing w:after="60" w:line="276"/>
        <w:jc w:val="both"/>
      </w:pPr>
      <w:r>
        <w:rPr>
          <w:b/>
          <w:bCs/>
        </w:rPr>
        <w:t xml:space="preserve">P0 — Endurecimiento inmediato (treinta días desde la aprobación de este informe; condición previa a la ampliación de datos reales en la Beta).</w:t>
      </w:r>
      <w:r>
        <w:t xml:space="preserve"> Externalización de la totalidad de los secretos a variables de entorno o gestor de credenciales, con rotación inmediata de los valores expuestos en configuración (DT-2); activación de la autorización por roles en el servicio que la mantiene desactivada (DT-4); incorporación de la validación de emisor y audiencia en todos los consumidores de tokens y procedimiento escrito de rotación de la clave de firma, evaluando la migración a firma asimétrica como evolución (DT-3); y configuración de la política de orígenes cruzados de producción en el Gateway (DT-7). Responsable: Desarrollo Institucional; verificación: Auditoría Interna.</w:t>
      </w:r>
    </w:p>
    <w:p>
      <w:pPr>
        <w:pStyle w:val="ListParagraph"/>
        <w:numPr>
          <w:ilvl w:val="0"/>
          <w:numId w:val="5"/>
        </w:numPr>
        <w:spacing w:after="60" w:line="276"/>
        <w:jc w:val="both"/>
      </w:pPr>
      <w:r>
        <w:rPr>
          <w:b/>
          <w:bCs/>
        </w:rPr>
        <w:t xml:space="preserve">P1 — Conformidad de régimen (hito de término no posterior al 1 de noviembre de 2026, con margen de un mes respecto de la vigencia del nuevo régimen).</w:t>
      </w:r>
      <w:r>
        <w:t xml:space="preserve"> Cifrado en reposo para el subdominio de Vulneraciones y toda categoría reservada, incluida la información sensible de los servicios analíticos (DT-1); cifrado de canal o autenticación mutua entre servicios internos (DT-6); migraciones de esquema versionadas con validación en todos los servicios (DT-5); evaluación de impacto en protección de datos y contrato de encargo con el proveedor de modelos, con seudonimización previa al envío (DT-8); y formalización del canal de alertas con carga útil mínima o su sustitución (DT-9). Responsables: Desarrollo Institucional y Fiscalía; verificación: Auditoría Interna.</w:t>
      </w:r>
    </w:p>
    <w:p>
      <w:pPr>
        <w:pStyle w:val="ListParagraph"/>
        <w:numPr>
          <w:ilvl w:val="0"/>
          <w:numId w:val="5"/>
        </w:numPr>
        <w:spacing w:after="60" w:line="276"/>
        <w:jc w:val="both"/>
      </w:pPr>
      <w:r>
        <w:rPr>
          <w:b/>
          <w:bCs/>
        </w:rPr>
        <w:t xml:space="preserve">P2 — Mejora continua (posterior a la puesta en marcha oficial).</w:t>
      </w:r>
      <w:r>
        <w:t xml:space="preserve"> Evaluación del nodo de cómputo dedicado e independiente para inferencia local conforme al supuesto conceptual de la sección 8.8; prueba de intrusión por tercero independiente sobre el clúster (cierra la limitación L4); observabilidad centralizada de servicios; e incorporación de capa de reconocimiento óptico para documentos escaneados (DT-10).</w:t>
      </w:r>
    </w:p>
    <w:p>
      <w:pPr>
        <w:pStyle w:val="Heading2"/>
      </w:pPr>
      <w:r>
        <w:t xml:space="preserve">9.4. La vara simétrica como condición de credibilidad</w:t>
      </w:r>
    </w:p>
    <w:p>
      <w:pPr>
        <w:spacing w:after="120" w:line="288"/>
        <w:jc w:val="both"/>
      </w:pPr>
      <w:r>
        <w:t xml:space="preserve">La transparencia de este capítulo no debilita el dictamen del capítulo 7: lo habilita. Un informe que ocultara la deuda del ecosistema propio mientras enumera la del legado no resistiría la primera revisión de Auditoría Interna ni de Fiscalía. La regla que este documento fija es simétrica y permanente: </w:t>
      </w:r>
      <w:r>
        <w:rPr>
          <w:b/>
          <w:bCs/>
        </w:rPr>
        <w:t xml:space="preserve">toda pieza del ecosistema institucional se evalúa con el mismo estándar con que se evaluó a SIGER</w:t>
      </w:r>
      <w:r>
        <w:t xml:space="preserve">, y su deuda se declara, se prioriza y se cierra con verificación independiente. El dictamen de consolidación queda, en consecuencia, expresamente </w:t>
      </w:r>
      <w:r>
        <w:rPr>
          <w:b/>
          <w:bCs/>
        </w:rPr>
        <w:t xml:space="preserve">condicionado</w:t>
      </w:r>
      <w:r>
        <w:t xml:space="preserve"> al cumplimiento de P0 y P1 en los plazos indicados.</w:t>
      </w:r>
    </w:p>
    <w:p>
      <w:pPr>
        <w:pStyle w:val="Heading1"/>
        <w:pageBreakBefore/>
      </w:pPr>
      <w:r>
        <w:t xml:space="preserve">10. Estrategia de Transición: Análisis Dialéctico y Dos Horizontes Temporales</w:t>
      </w:r>
    </w:p>
    <w:p>
      <w:pPr>
        <w:pStyle w:val="Heading2"/>
      </w:pPr>
      <w:r>
        <w:t xml:space="preserve">10.1. Principios rectores</w:t>
      </w:r>
    </w:p>
    <w:p>
      <w:pPr>
        <w:spacing w:after="120" w:line="288"/>
        <w:jc w:val="both"/>
      </w:pPr>
      <w:r>
        <w:t xml:space="preserve">Cuatro principios gobiernan la transición. Primero, </w:t>
      </w:r>
      <w:r>
        <w:rPr>
          <w:b/>
          <w:bCs/>
        </w:rPr>
        <w:t xml:space="preserve">sin reemplazo de gran escala</w:t>
      </w:r>
      <w:r>
        <w:t xml:space="preserve">: ningún corte abrupto de sistema en operación nacional; la estrategia es de estrangulamiento progresivo del legado [D2, D1]. Segundo, </w:t>
      </w:r>
      <w:r>
        <w:rPr>
          <w:b/>
          <w:bCs/>
        </w:rPr>
        <w:t xml:space="preserve">el dato manda</w:t>
      </w:r>
      <w:r>
        <w:t xml:space="preserve">: ninguna decisión de calendario puede poner en riesgo la integridad del corpus confidencial de NNA ni la continuidad de las series institucionales. Tercero, </w:t>
      </w:r>
      <w:r>
        <w:rPr>
          <w:b/>
          <w:bCs/>
        </w:rPr>
        <w:t xml:space="preserve">prueba antes que fe</w:t>
      </w:r>
      <w:r>
        <w:t xml:space="preserve">: todo componente opera en marcha blanca controlada antes de asumir carácter oficial. Cuarto, </w:t>
      </w:r>
      <w:r>
        <w:rPr>
          <w:b/>
          <w:bCs/>
        </w:rPr>
        <w:t xml:space="preserve">reversibilidad</w:t>
      </w:r>
      <w:r>
        <w:t xml:space="preserve">: cada hito debe poder deshacerse con procedimientos probados [D12].</w:t>
      </w:r>
    </w:p>
    <w:p>
      <w:pPr>
        <w:pStyle w:val="Heading2"/>
      </w:pPr>
      <w:r>
        <w:t xml:space="preserve">10.2. Evaluación tradicional: la migración integral y sus riesgos</w:t>
      </w:r>
    </w:p>
    <w:p>
      <w:pPr>
        <w:spacing w:after="120" w:line="288"/>
        <w:jc w:val="both"/>
      </w:pPr>
      <w:r>
        <w:t xml:space="preserve">La aproximación clásica consistiría en construir tuberías de extracción, transformación y carga (ETL) que muevan la totalidad del dataset histórico —del orden de 42.000 requerimientos, 21.000 casos, 44.000 adjuntos, 46.000 entradas de bitácora, 27.000 personas, 15.700 fichas reservadas y 550.000 registros de log [D1, con la reserva L1]— desde el esquema legado (motores mayoritariamente MyISAM, codificación latin1) hacia el esquema objetivo (InnoDB transaccional, utf8mb4), con doble escritura temporal y comparación diaria de diferencias [D1]. Este informe evaluó esa vía y la descarta como movimiento único e inmediato por dos riesgos materiales:</w:t>
      </w:r>
    </w:p>
    <w:p>
      <w:pPr>
        <w:pStyle w:val="ListParagraph"/>
        <w:numPr>
          <w:ilvl w:val="0"/>
          <w:numId w:val="2"/>
        </w:numPr>
        <w:spacing w:after="60" w:line="276"/>
        <w:jc w:val="both"/>
      </w:pPr>
      <w:r>
        <w:rPr>
          <w:b/>
          <w:bCs/>
        </w:rPr>
        <w:t xml:space="preserve">Riesgo físico de corrupción de relatos confidenciales.</w:t>
      </w:r>
      <w:r>
        <w:t xml:space="preserve"> La transcodificación masiva de latin1 a utf8mb4 sobre años de texto narrativo —relatos de vulneraciones, fichas reservadas, bitácoras— es la operación con mayor probabilidad de corrupción silenciosa de todo el programa: caracteres degradados o sustituidos en origen no se reparan al convertir, se consolidan; y los motores sin transaccionalidad del legado no ofrecen reversa atómica si el proceso se interrumpe (sección 4.3). Un relato corrompido en la ficha de un NNA no es un defecto estético: es la pérdida de valor probatorio y de memoria institucional de un caso.</w:t>
      </w:r>
    </w:p>
    <w:p>
      <w:pPr>
        <w:pStyle w:val="ListParagraph"/>
        <w:numPr>
          <w:ilvl w:val="0"/>
          <w:numId w:val="2"/>
        </w:numPr>
        <w:spacing w:after="60" w:line="276"/>
        <w:jc w:val="both"/>
      </w:pPr>
      <w:r>
        <w:rPr>
          <w:b/>
          <w:bCs/>
        </w:rPr>
        <w:t xml:space="preserve">Contaminación de las métricas de la UEG.</w:t>
      </w:r>
      <w:r>
        <w:t xml:space="preserve"> El legado contiene registros sin información y huérfanos estructurales documentados [D2]. Migrarlos íntegros traslada la contaminación al sistema nuevo y la legitima bajo norma transaccional; depurarlos en caliente, durante una migración total, exige decisiones de saneamiento masivas y simultáneas cuyo error sistemático impactaría de forma directa los indicadores, estudios y reportes de la Unidad de Estudios y Gestión, que son insumo de decisiones institucionales y de cuentas públicas.</w:t>
      </w:r>
    </w:p>
    <w:p>
      <w:pPr>
        <w:pStyle w:val="Heading2"/>
      </w:pPr>
      <w:r>
        <w:t xml:space="preserve">10.3. El quiebre estadístico de 2026</w:t>
      </w:r>
    </w:p>
    <w:p>
      <w:pPr>
        <w:spacing w:after="120" w:line="288"/>
        <w:jc w:val="both"/>
      </w:pPr>
      <w:r>
        <w:t xml:space="preserve">A los riesgos anteriores se suma un argumento de continuidad operativa nacional: forzar un corte limpio inmediato, a mitad del año, </w:t>
      </w:r>
      <w:r>
        <w:rPr>
          <w:b/>
          <w:bCs/>
        </w:rPr>
        <w:t xml:space="preserve">desordenaría las series estadísticas anuales y la numeración interna de las Sedes Regionales</w:t>
      </w:r>
      <w:r>
        <w:t xml:space="preserve">. Cada sede sostiene correlativos y reportes cuya unidad de medida es el año calendario; un cambio de plataforma en julio o septiembre produciría un ejercicio 2026 partido en dos sistemas, con criterios de conteo no idénticos, folios duplicados o discontinuos y un costo de conciliación permanente para la UEG y para cada jefatura regional en toda consulta futura sobre el año 2026. La fecha de corte no es, por tanto, una variable libre: la única frontera que preserva íntegras las series es el </w:t>
      </w:r>
      <w:r>
        <w:rPr>
          <w:b/>
          <w:bCs/>
        </w:rPr>
        <w:t xml:space="preserve">cierre del ejercicio anual</w:t>
      </w:r>
      <w:r>
        <w:t xml:space="preserve">.</w:t>
      </w:r>
    </w:p>
    <w:p>
      <w:pPr>
        <w:pStyle w:val="Heading2"/>
      </w:pPr>
      <w:r>
        <w:t xml:space="preserve">10.4. Síntesis: dos horizontes temporales</w:t>
      </w:r>
    </w:p>
    <w:p>
      <w:pPr>
        <w:spacing w:after="120" w:line="288"/>
        <w:jc w:val="both"/>
      </w:pPr>
      <w:r>
        <w:t xml:space="preserve">La resolución dialéctica de la tensión entre urgencia normativa (capítulo 6: acreditar medidas antes del 01-12-2026) e integridad del dato (secciones 10.2 y 10.3: no forzar migración ni corte a mitad de año) es la estrategia de dos horizontes.</w:t>
      </w:r>
    </w:p>
    <w:p>
      <w:pPr>
        <w:spacing w:after="120" w:line="288"/>
        <w:jc w:val="both"/>
      </w:pPr>
      <w:r>
        <w:rPr>
          <w:b/>
          <w:bCs/>
        </w:rPr>
        <w:t xml:space="preserve">Horizonte 1 — Segundo semestre de 2026: Fase Beta en marcha blanca controlada.</w:t>
      </w:r>
      <w:r>
        <w:t xml:space="preserve"> El núcleo fundacional de tres servicios (6.1 Identidad y Acceso, 6.2 Personas, 6.3 Requerimientos) opera en paralelo, con sedes y unidades piloto, </w:t>
      </w:r>
      <w:r>
        <w:rPr>
          <w:b/>
          <w:bCs/>
        </w:rPr>
        <w:t xml:space="preserve">sin reemplazar el registro oficial</w:t>
      </w:r>
      <w:r>
        <w:t xml:space="preserve">, que sigue siendo SIGER hasta el 31 de diciembre de 2026. Los objetivos de la Beta son cuatro: (i) </w:t>
      </w:r>
      <w:r>
        <w:rPr>
          <w:b/>
          <w:bCs/>
        </w:rPr>
        <w:t xml:space="preserve">pruebas de esfuerzo</w:t>
      </w:r>
      <w:r>
        <w:t xml:space="preserve"> sobre la infraestructura institucional de contenedores Docker sobre WSL administrada por TI de Infraestructura —mensajería, almacén de objetos, servicios del clúster— bajo cargas representativas de la operación nacional; (ii) </w:t>
      </w:r>
      <w:r>
        <w:rPr>
          <w:b/>
          <w:bCs/>
        </w:rPr>
        <w:t xml:space="preserve">capacitación</w:t>
      </w:r>
      <w:r>
        <w:t xml:space="preserve"> de las personas usuarias por proceso y por sede, con usuarias y usuarios líderes designados por las Coordinaciones Regionales; (iii) </w:t>
      </w:r>
      <w:r>
        <w:rPr>
          <w:b/>
          <w:bCs/>
        </w:rPr>
        <w:t xml:space="preserve">validación funcional</w:t>
      </w:r>
      <w:r>
        <w:t xml:space="preserve"> de que el ciclo USR.01–USR.02 está absorbido con fidelidad, incluida la flexibilidad de campos del ingreso; y (iv) —el objetivo jurídicamente decisivo— </w:t>
      </w:r>
      <w:r>
        <w:rPr>
          <w:b/>
          <w:bCs/>
        </w:rPr>
        <w:t xml:space="preserve">acreditar ante la Agencia de Protección de Datos Personales el cumplimiento anticipado de las medidas técnicas y organizativas adecuadas</w:t>
      </w:r>
      <w:r>
        <w:t xml:space="preserve"> que exige el artículo 14 quáter de la Ley N° 21.719, mediante el expediente de evidencias de la Beta (arquitectura de autorización territorial, cifrado, auditoría de accesos, plan P0/P1 cerrado o en cierre verificado), antes del límite del 1 de diciembre de 2026. Esta acreditación anticipada es la mitigación directa y documentable de la responsabilidad administrativa de la jefatura superior establecida en el artículo 44: ante cualquier fiscalización, la institución exhibe diligencia proactiva y medidas en operación, no promesas.</w:t>
      </w:r>
    </w:p>
    <w:p>
      <w:pPr>
        <w:spacing w:after="120" w:line="288"/>
        <w:jc w:val="both"/>
      </w:pPr>
      <w:r>
        <w:rPr>
          <w:b/>
          <w:bCs/>
        </w:rPr>
        <w:t xml:space="preserve">Horizonte 2 — 1 de enero de 2027: puesta en marcha oficial.</w:t>
      </w:r>
      <w:r>
        <w:t xml:space="preserve"> El </w:t>
      </w:r>
      <w:r>
        <w:rPr>
          <w:b/>
          <w:bCs/>
        </w:rPr>
        <w:t xml:space="preserve">31 de diciembre de 2026, SIGER se congela definitivamente</w:t>
      </w:r>
      <w:r>
        <w:t xml:space="preserve"> como repositorio histórico de consulta en modo de solo lectura. Desde esa fecha: (i) el acceso al histórico se realiza </w:t>
      </w:r>
      <w:r>
        <w:rPr>
          <w:b/>
          <w:bCs/>
        </w:rPr>
        <w:t xml:space="preserve">exclusivamente a través del servicio puente del clúster (siger-service) tras el Gateway</w:t>
      </w:r>
      <w:r>
        <w:t xml:space="preserve">, con credenciales territoriales validadas —lo que clausura también para el archivo histórico la vulnerabilidad de referencia directa a objetos, porque toda consulta queda mediada por autorización y auditoría—; (ii) la interfaz legada se restringe a nivel de red a un conjunto mínimo de cuentas de administración técnica, documentadas y auditadas, hasta su apagado definitivo; y (iii) no se ejecuta escritura alguna sobre el legado. El </w:t>
      </w:r>
      <w:r>
        <w:rPr>
          <w:b/>
          <w:bCs/>
        </w:rPr>
        <w:t xml:space="preserve">1 de enero de 2027 la operación nacional se inicia oficialmente en SMID desde el correlativo limpio 0/2027</w:t>
      </w:r>
      <w:r>
        <w:t xml:space="preserve">: el año estadístico completo queda unificado bajo norma transaccional, cada Sede Regional estrena numeración íntegra del ejercicio y la UEG obtiene una frontera de series perfectamente definida —2026 y anteriores en el repositorio histórico; 2027 en adelante en la nueva plataforma—. El calendario, además, cierra con holgura aritmética: el plan de fases estima entre 24 y 32 semanas de esfuerzo total [D1] y entre la fecha de este informe y el 1 de enero de 2027 median 29 semanas, de modo que la puesta en marcha oficial cumple de forma orgánica el propio cronograma del diseño.</w:t>
      </w:r>
    </w:p>
    <w:p>
      <w:pPr>
        <w:pStyle w:val="Heading2"/>
      </w:pPr>
      <w:r>
        <w:t xml:space="preserve">10.5. Migración selectiva con cadena de custodia</w:t>
      </w:r>
    </w:p>
    <w:p>
      <w:pPr>
        <w:spacing w:after="120" w:line="288"/>
        <w:jc w:val="both"/>
      </w:pPr>
      <w:r>
        <w:t xml:space="preserve">La estrategia de dos horizontes no equivale a no migrar nada: equivale a </w:t>
      </w:r>
      <w:r>
        <w:rPr>
          <w:b/>
          <w:bCs/>
        </w:rPr>
        <w:t xml:space="preserve">migrar lo estructural y diferir lo narrativo</w:t>
      </w:r>
      <w:r>
        <w:t xml:space="preserve">. Se distinguen tres categorías:</w:t>
      </w:r>
    </w:p>
    <w:p>
      <w:pPr>
        <w:pStyle w:val="ListParagraph"/>
        <w:numPr>
          <w:ilvl w:val="0"/>
          <w:numId w:val="2"/>
        </w:numPr>
        <w:spacing w:after="60" w:line="276"/>
        <w:jc w:val="both"/>
      </w:pPr>
      <w:r>
        <w:rPr>
          <w:b/>
          <w:bCs/>
        </w:rPr>
        <w:t xml:space="preserve">Padrón de Personas (migración selectiva, durante la Beta).</w:t>
      </w:r>
      <w:r>
        <w:t xml:space="preserve"> El registro maestro de personas (~27.000, [D1] con reserva L1) es dato estructurado de baja narrativa y alta reutilización: habilita desde el primer día la validación de duplicados por RUT o nombre del NNA que exige USR.01. Su migración se ejecuta mediante tubería ETL automatizada y reproducible —queda prohibida toda migración manual por planillas o copia humana—, bajo </w:t>
      </w:r>
      <w:r>
        <w:rPr>
          <w:b/>
          <w:bCs/>
        </w:rPr>
        <w:t xml:space="preserve">cadena de custodia</w:t>
      </w:r>
      <w:r>
        <w:t xml:space="preserve">: acta de extracción con conteos por entidad, verificación de integridad mediante huella criptográfica de los lotes, conciliación uno a uno contra el acta, registro de toda transformación aplicada (incluida la conversión de codificación, verificada campo a campo sobre muestras certificadas) y acta de recepción con doble firma de Desarrollo Institucional y de la unidad propietaria del dato. Los registros de origen se preservan congelados: ninguna depuración destruye el dato original.</w:t>
      </w:r>
    </w:p>
    <w:p>
      <w:pPr>
        <w:pStyle w:val="ListParagraph"/>
        <w:numPr>
          <w:ilvl w:val="0"/>
          <w:numId w:val="2"/>
        </w:numPr>
        <w:spacing w:after="60" w:line="276"/>
        <w:jc w:val="both"/>
      </w:pPr>
      <w:r>
        <w:rPr>
          <w:b/>
          <w:bCs/>
        </w:rPr>
        <w:t xml:space="preserve">Corpus narrativo y confidencial (diferido, permanece en el repositorio histórico).</w:t>
      </w:r>
      <w:r>
        <w:t xml:space="preserve"> Requerimientos, casos, bitácoras, fichas reservadas y adjuntos históricos </w:t>
      </w:r>
      <w:r>
        <w:rPr>
          <w:b/>
          <w:bCs/>
        </w:rPr>
        <w:t xml:space="preserve">no se transcodifican masivamente</w:t>
      </w:r>
      <w:r>
        <w:t xml:space="preserve">: permanecen en el repositorio de solo lectura, consultables vía el servicio puente con autorización territorial y huella de lectura. Con ello, el riesgo de corrupción de relatos identificado en 10.2 queda eliminado por diseño, no mitigado. Una migración posterior, selectiva y bajo demanda (por ejemplo, de casos que requieran reactivación) podrá evaluarse en régimen, con el mismo protocolo de custodia, caso a caso.</w:t>
      </w:r>
    </w:p>
    <w:p>
      <w:pPr>
        <w:pStyle w:val="ListParagraph"/>
        <w:numPr>
          <w:ilvl w:val="0"/>
          <w:numId w:val="2"/>
        </w:numPr>
        <w:spacing w:after="60" w:line="276"/>
        <w:jc w:val="both"/>
      </w:pPr>
      <w:r>
        <w:rPr>
          <w:b/>
          <w:bCs/>
        </w:rPr>
        <w:t xml:space="preserve">Casos vigentes al corte (protocolo de continuidad, definido en F0).</w:t>
      </w:r>
      <w:r>
        <w:t xml:space="preserve"> Los expedientes abiertos al 31 de diciembre de 2026 requieren regla expresa, que la fase F0 debe validar con la UPRJ, Gabinete y las Coordinaciones Regionales. El criterio rector que este informe propone: las gestiones nuevas de un expediente vigente se registran en SMID desde el 1 de enero de 2027, vinculadas por folio histórico al expediente de origen, el cual permanece consultable en el repositorio; ningún expediente se reescribe retroactivamente. La regla definitiva, sus excepciones y su tratamiento estadístico quedan consignados en el acta de F0 con firma de las unidades.</w:t>
      </w:r>
    </w:p>
    <w:p>
      <w:pPr>
        <w:pStyle w:val="Heading2"/>
      </w:pPr>
      <w:r>
        <w:t xml:space="preserve">10.6. Plan de fases mapeado a los horizontes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950"/>
        <w:gridCol w:w="1610"/>
        <w:gridCol w:w="3000"/>
      </w:tblGrid>
      <w:tr>
        <w:tc>
          <w:tcPr>
            <w:tcW w:type="dxa" w:w="8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Fase</w:t>
            </w:r>
          </w:p>
        </w:tc>
        <w:tc>
          <w:tcPr>
            <w:tcW w:type="dxa" w:w="29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Contenido</w:t>
            </w:r>
          </w:p>
        </w:tc>
        <w:tc>
          <w:tcPr>
            <w:tcW w:type="dxa" w:w="9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Duración</w:t>
            </w:r>
          </w:p>
        </w:tc>
        <w:tc>
          <w:tcPr>
            <w:tcW w:type="dxa" w:w="161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Horizonte</w:t>
            </w:r>
          </w:p>
        </w:tc>
        <w:tc>
          <w:tcPr>
            <w:tcW w:type="dxa" w:w="30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Criterio de salida (añadido por este informe)</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F0</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Validación funcional del alcance, límites de dominio y reglas vigentes con las unidades</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2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Acta de reglas vigentes; acta de volúmenes (Anexo B); protocolo de casos vigentes al corte; evaluación de impacto iniciada por Fiscalía</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F1</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Diseño físico de los esquemas de las bases independientes</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3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Esquemas aprobados; migraciones versionadas desde el inicio</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F2</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Servicios fundacionales: Identidad y Acceso, y Personas</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Plan P0 cerrado y verificado por Auditoría Interna; padrón de Personas migrado bajo cadena de custodia</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F3</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Requerimientos y catálogos: ciclo de ingreso y admisibilidad</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Beta operativa en sedes piloto; ciclo USR.01–USR.02 validado por usuarias y usuarios líderes</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F4</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Casos, Documentos, Productos y Tareas</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5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H1→H2</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Reglas de agrupación y división validadas en sesiones funcionales dedicadas</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F5</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Vulneraciones: Ficha Interna Reservada con su endurecimiento</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H1→H2</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DT-1 cerrado (cifrado en reposo verificado); prueba de control de acceso de la FIR aprobada; hito P1 no posterior al 01-11-2026</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F6</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Antecedentes y Auditoría centralizada</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3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H2</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Trazabilidad transversal operativa</w:t>
            </w:r>
          </w:p>
        </w:tc>
      </w:tr>
      <w:tr>
        <w:tc>
          <w:tcPr>
            <w:tcW w:type="dxa" w:w="8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F7+F8</w:t>
            </w:r>
          </w:p>
        </w:tc>
        <w:tc>
          <w:tcPr>
            <w:tcW w:type="dxa" w:w="2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Frontend y Gateway (en paralelo desde F3); corte y consolidación</w:t>
            </w:r>
          </w:p>
        </w:tc>
        <w:tc>
          <w:tcPr>
            <w:tcW w:type="dxa" w:w="9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4+3 sem.</w:t>
            </w:r>
          </w:p>
        </w:tc>
        <w:tc>
          <w:tcPr>
            <w:tcW w:type="dxa" w:w="161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H2</w:t>
            </w:r>
          </w:p>
        </w:tc>
        <w:tc>
          <w:tcPr>
            <w:tcW w:type="dxa" w:w="30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Conciliación al 100% del padrón migrado; reversa probada; decisión go/no-go del 15-12-2026; congelamiento del legado al 31-12-2026</w:t>
            </w:r>
          </w:p>
        </w:tc>
      </w:tr>
    </w:tbl>
    <w:p>
      <w:pPr>
        <w:spacing w:after="100"/>
      </w:pPr>
      <w:r>
        <w:rPr>
          <w:sz w:val="4"/>
          <w:szCs w:val="4"/>
        </w:rPr>
        <w:t xml:space="preserve"/>
      </w:r>
    </w:p>
    <w:p>
      <w:pPr>
        <w:spacing w:after="100"/>
      </w:pPr>
      <w:r>
        <w:rPr>
          <w:color w:val="595959"/>
          <w:sz w:val="17"/>
          <w:szCs w:val="17"/>
        </w:rPr>
        <w:t xml:space="preserve">Duraciones conforme a D1 (total estimado de 24 a 32 semanas según paralelización). Fechas ancla institucionales: acreditación de medidas ante la Agencia no posterior al 01-11-2026; decisión go/no-go el 15-12-2026; congelamiento del legado el 31-12-2026; operación oficial nacional desde el 01-01-2027 con correlativo 0/2027.</w:t>
      </w:r>
    </w:p>
    <w:p>
      <w:pPr>
        <w:pStyle w:val="Heading2"/>
      </w:pPr>
      <w:r>
        <w:t xml:space="preserve">10.7. Reversibilidad y respaldos</w:t>
      </w:r>
    </w:p>
    <w:p>
      <w:pPr>
        <w:spacing w:after="120" w:line="288"/>
        <w:jc w:val="both"/>
      </w:pPr>
      <w:r>
        <w:t xml:space="preserve">Cada hito de los horizontes cuenta con procedimiento de reversa probado antes de ejecutarse: reversa por servicio conforme a las prácticas ya documentadas del clúster [D12], respaldo completo de bases y del almacén de objetos previo a cada corte, y conservación del legado congelado como salvaguarda última —el repositorio histórico de solo lectura es, simultáneamente, el plan de contingencia: si la puesta en marcha oficial enfrentara un evento crítico, la consulta del histórico permanece intacta por construcción—. La decisión go/no-go del 15 de diciembre de 2026 se adopta por la Dirección Nacional con informe de Desarrollo Institucional, TI de Infraestructura y las unidades piloto, contra una lista de verificación cerrada: P0 y P1 verificados, pruebas de esfuerzo aprobadas, capacitación completada en todas las sedes, conciliación del padrón al cien por ciento y reversa ensayada.</w:t>
      </w:r>
    </w:p>
    <w:p>
      <w:pPr>
        <w:pStyle w:val="Heading2"/>
      </w:pPr>
      <w:r>
        <w:t xml:space="preserve">10.8. Gestión del cambio y pilotos territoriales</w:t>
      </w:r>
    </w:p>
    <w:p>
      <w:pPr>
        <w:spacing w:after="120" w:line="288"/>
        <w:jc w:val="both"/>
      </w:pPr>
      <w:r>
        <w:t xml:space="preserve">La Beta se despliega por oleadas: primero unidades piloto en sedes seleccionadas por las Coordinaciones Regionales —cubriendo realidades operativas distintas—, luego extensión nacional progresiva. Cada oleada incluye capacitación por proceso (ingreso, admisibilidad), material de referencia rápida, canal de retroalimentación con registro de hallazgos y sesiones funcionales con las usuarias y usuarios líderes antes de cada módulo crítico [D1]. El indicador de éxito de la gestión del cambio no es la ausencia de observaciones, sino su captura temprana: cada hallazgo de la Beta es un defecto que no llega a la operación oficial de enero.</w:t>
      </w:r>
    </w:p>
    <w:p>
      <w:pPr>
        <w:pStyle w:val="Heading1"/>
        <w:pageBreakBefore/>
      </w:pPr>
      <w:r>
        <w:t xml:space="preserve">11. Riesgos de la Transición y Mitigaciones</w:t>
      </w:r>
    </w:p>
    <w:p>
      <w:pPr>
        <w:spacing w:after="120" w:line="288"/>
        <w:jc w:val="both"/>
      </w:pPr>
      <w:r>
        <w:t xml:space="preserve">La honestidad metodológica exige reconocer que la transición introduce riesgos propios. Se consolidan aquí los cuatro identificados en el diseño objetivo [D1], recalibrados a la realidad institucional, y seis adicionales levantados por este informe.</w:t>
      </w:r>
    </w:p>
    <w:p>
      <w:pPr>
        <w:pStyle w:val="ListParagraph"/>
        <w:numPr>
          <w:ilvl w:val="0"/>
          <w:numId w:val="2"/>
        </w:numPr>
        <w:spacing w:after="60" w:line="276"/>
        <w:jc w:val="both"/>
      </w:pPr>
      <w:r>
        <w:rPr>
          <w:b/>
          <w:bCs/>
        </w:rPr>
        <w:t xml:space="preserve">R1 — Complejidad operacional de una arquitectura distribuida</w:t>
      </w:r>
      <w:r>
        <w:t xml:space="preserve"> [D1]. Operar varios servicios introduce sobrecarga de despliegue y monitoreo. Mitigación: gobernanza de plataforma a cargo de TI de Infraestructura sobre el patrón ya operativo (Windows Server, contenedores Docker sobre WSL para mensajería y almacén de objetos, servicios con procedimientos documentados [D12]); estandarización de runbooks por servicio como entregable de cada fase; monitoreo centralizado en P2. La carga es de </w:t>
      </w:r>
      <w:r>
        <w:rPr>
          <w:b/>
          <w:bCs/>
        </w:rPr>
        <w:t xml:space="preserve">administración de plataforma</w:t>
      </w:r>
      <w:r>
        <w:t xml:space="preserve">, plenamente dentro de las competencias del equipo actual; en ningún punto exige de TI de Infraestructura desarrollo de software.</w:t>
      </w:r>
    </w:p>
    <w:p>
      <w:pPr>
        <w:pStyle w:val="ListParagraph"/>
        <w:numPr>
          <w:ilvl w:val="0"/>
          <w:numId w:val="2"/>
        </w:numPr>
        <w:spacing w:after="60" w:line="276"/>
        <w:jc w:val="both"/>
      </w:pPr>
      <w:r>
        <w:rPr>
          <w:b/>
          <w:bCs/>
        </w:rPr>
        <w:t xml:space="preserve">R2 — Consistencia eventual</w:t>
      </w:r>
      <w:r>
        <w:t xml:space="preserve"> [D1]. Los snapshots pueden desfasarse segundos respecto del estado real. Mitigación: objetivo de servicio explícito (propagación bajo dos segundos en el percentil 99), verificación síncrona en los puntos críticos y comunicación clara del comportamiento a las personas usuarias [D1].</w:t>
      </w:r>
    </w:p>
    <w:p>
      <w:pPr>
        <w:pStyle w:val="ListParagraph"/>
        <w:numPr>
          <w:ilvl w:val="0"/>
          <w:numId w:val="2"/>
        </w:numPr>
        <w:spacing w:after="60" w:line="276"/>
        <w:jc w:val="both"/>
      </w:pPr>
      <w:r>
        <w:rPr>
          <w:b/>
          <w:bCs/>
        </w:rPr>
        <w:t xml:space="preserve">R3 — Migración de datos</w:t>
      </w:r>
      <w:r>
        <w:t xml:space="preserve"> [D1]. Mitigación estructural: la estrategia de dos horizontes reduce la superficie de migración al padrón estructurado (sección 10.5), con cadena de custodia, conciliación total y reversa probada; el corpus narrativo no se mueve.</w:t>
      </w:r>
    </w:p>
    <w:p>
      <w:pPr>
        <w:pStyle w:val="ListParagraph"/>
        <w:numPr>
          <w:ilvl w:val="0"/>
          <w:numId w:val="2"/>
        </w:numPr>
        <w:spacing w:after="60" w:line="276"/>
        <w:jc w:val="both"/>
      </w:pPr>
      <w:r>
        <w:rPr>
          <w:b/>
          <w:bCs/>
        </w:rPr>
        <w:t xml:space="preserve">R4 — Reconstrucción de reglas de negocio complejas</w:t>
      </w:r>
      <w:r>
        <w:t xml:space="preserve"> [D1]. Agrupar, desagrupar y dividir casos exigen fidelidad. Mitigación: sesiones funcionales dedicadas con usuarias y usuarios líderes antes de implementar cada módulo crítico [D1]; el ciclo del presente hito (USR.01–USR.02) ya está documentado en manuales con versión [D5, D6] y se valida en F0.</w:t>
      </w:r>
    </w:p>
    <w:p>
      <w:pPr>
        <w:pStyle w:val="ListParagraph"/>
        <w:numPr>
          <w:ilvl w:val="0"/>
          <w:numId w:val="2"/>
        </w:numPr>
        <w:spacing w:after="60" w:line="276"/>
        <w:jc w:val="both"/>
      </w:pPr>
      <w:r>
        <w:rPr>
          <w:b/>
          <w:bCs/>
        </w:rPr>
        <w:t xml:space="preserve">R5 — Dependencia de personas únicas en el desarrollo.</w:t>
      </w:r>
      <w:r>
        <w:t xml:space="preserve"> El diseño, la arquitectura y la implementación de esta fase han sido ejecutados por un único desarrollador in-house (el autor de este informe). El riesgo es real y se declara sin atenuantes. Mitigación ya ejecutada: documentación técnica y de arquitectura exhaustiva como entregable de primera clase [D9–D14], que reduce la dependencia del conocimiento no escrito. Mitigación planificada: la incorporación futura de perfiles de las ciencias de la computación e informática —técnicos de nivel superior analistas programadores, ingenierías en informática y carreras afines—, cuya llegada, sobre una base documentada y con estándares uniformes, agilizará la compleción de los módulos restantes y actuará como catalizador de las herramientas analíticas del desarrollo institucional (ESNNA v2, SGS v2). La estimación de dotación es entregable de F0 a cargo de Administración y Finanzas (capítulo 12).</w:t>
      </w:r>
    </w:p>
    <w:p>
      <w:pPr>
        <w:pStyle w:val="ListParagraph"/>
        <w:numPr>
          <w:ilvl w:val="0"/>
          <w:numId w:val="2"/>
        </w:numPr>
        <w:spacing w:after="60" w:line="276"/>
        <w:jc w:val="both"/>
      </w:pPr>
      <w:r>
        <w:rPr>
          <w:b/>
          <w:bCs/>
        </w:rPr>
        <w:t xml:space="preserve">R6 — Capacidad institucional percibida.</w:t>
      </w:r>
      <w:r>
        <w:t xml:space="preserve"> Podría objetarse que la institución no posee un área de desarrollo de software formal. La mitigación es la separación nítida de planos que este informe formaliza (sección 2.5 y capítulo 13): la construcción corresponde al Desarrollo Institucional y a los perfiles que se incorporen; la operación de plataforma, a TI de Infraestructura; ninguna función se asigna a quien no puede ejecutarla.</w:t>
      </w:r>
    </w:p>
    <w:p>
      <w:pPr>
        <w:pStyle w:val="ListParagraph"/>
        <w:numPr>
          <w:ilvl w:val="0"/>
          <w:numId w:val="2"/>
        </w:numPr>
        <w:spacing w:after="60" w:line="276"/>
        <w:jc w:val="both"/>
      </w:pPr>
      <w:r>
        <w:rPr>
          <w:b/>
          <w:bCs/>
        </w:rPr>
        <w:t xml:space="preserve">R7 — Doble registro durante la Beta.</w:t>
      </w:r>
      <w:r>
        <w:t xml:space="preserve"> Operar marcha blanca junto al sistema oficial puede inducir divergencias. Mitigación: regla inequívoca —SIGER es el registro oficial hasta el 31 de diciembre de 2026; la Beta no sustituye asientos oficiales—, pilotos acotados y conciliaciones de cierre de la Beta documentadas.</w:t>
      </w:r>
    </w:p>
    <w:p>
      <w:pPr>
        <w:pStyle w:val="ListParagraph"/>
        <w:numPr>
          <w:ilvl w:val="0"/>
          <w:numId w:val="2"/>
        </w:numPr>
        <w:spacing w:after="60" w:line="276"/>
        <w:jc w:val="both"/>
      </w:pPr>
      <w:r>
        <w:rPr>
          <w:b/>
          <w:bCs/>
        </w:rPr>
        <w:t xml:space="preserve">R8 — Fatiga y resistencia de las personas usuarias.</w:t>
      </w:r>
      <w:r>
        <w:t xml:space="preserve"> Mitigación: despliegue por oleadas, capacitación por proceso, usuarias y usuarios líderes con voz en la validación (10.8) y el incentivo material de la fecha única de cambio (01-01-2027), que evita convivencias prolongadas.</w:t>
      </w:r>
    </w:p>
    <w:p>
      <w:pPr>
        <w:pStyle w:val="ListParagraph"/>
        <w:numPr>
          <w:ilvl w:val="0"/>
          <w:numId w:val="2"/>
        </w:numPr>
        <w:spacing w:after="60" w:line="276"/>
        <w:jc w:val="both"/>
      </w:pPr>
      <w:r>
        <w:rPr>
          <w:b/>
          <w:bCs/>
        </w:rPr>
        <w:t xml:space="preserve">R9 — Riesgo presupuestario.</w:t>
      </w:r>
      <w:r>
        <w:t xml:space="preserve"> Mitigación: capítulo 12; el grueso del esfuerzo de esta fase está internalizado y los hitos no comprometen adquisiciones mayores; las inversiones futuras (nodo de inferencia, dotación) se presentan a A&amp;F con anticipación de F0.</w:t>
      </w:r>
    </w:p>
    <w:p>
      <w:pPr>
        <w:pStyle w:val="ListParagraph"/>
        <w:numPr>
          <w:ilvl w:val="0"/>
          <w:numId w:val="2"/>
        </w:numPr>
        <w:spacing w:after="60" w:line="276"/>
        <w:jc w:val="both"/>
      </w:pPr>
      <w:r>
        <w:rPr>
          <w:b/>
          <w:bCs/>
        </w:rPr>
        <w:t xml:space="preserve">R10 — Dependencia de un proveedor externo de modelos de lenguaje.</w:t>
      </w:r>
      <w:r>
        <w:t xml:space="preserve"> Mitigación: el acceso ya está abstraído en un punto único de integración [D11], lo que permite sustituir proveedor o enrutar hacia el modelo local del supuesto conceptual (sección 8.8) sin rediseño; condiciones contractuales y de minimización conforme a DT-8/DT-9.</w:t>
      </w:r>
    </w:p>
    <w:p>
      <w:pPr>
        <w:spacing w:after="120" w:line="288"/>
        <w:jc w:val="both"/>
      </w:pPr>
      <w:r>
        <w:t xml:space="preserve">El balance final se expresa en la comparación que ninguna evaluación de riesgos puede omitir: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Dimensión</w:t>
            </w:r>
          </w:p>
        </w:tc>
        <w:tc>
          <w:tcPr>
            <w:tcW w:type="dxa" w:w="36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Riesgo de actuar (transición gobernada)</w:t>
            </w:r>
          </w:p>
        </w:tc>
        <w:tc>
          <w:tcPr>
            <w:tcW w:type="dxa" w:w="36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Riesgo de no actuar (statu quo)</w:t>
            </w:r>
          </w:p>
        </w:tc>
      </w:tr>
      <w:tr>
        <w:tc>
          <w:tcPr>
            <w:tcW w:type="dxa" w:w="2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Confidencialidad de datos de NNA</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Riesgos de implementación declarados, con plan de cierre verificable (P0/P1)</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Vulnerabilidades estructurales documentadas y permanentes, sin parche posible [D2]</w:t>
            </w:r>
          </w:p>
        </w:tc>
      </w:tr>
      <w:tr>
        <w:tc>
          <w:tcPr>
            <w:tcW w:type="dxa" w:w="2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Cumplimiento al 01-12-2026</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Acreditación anticipada de medidas mediante la Beta</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Imposibilidad material de acreditar; responsabilidad personal de jefatura (art. 44, Ley 21.719)</w:t>
            </w:r>
          </w:p>
        </w:tc>
      </w:tr>
      <w:tr>
        <w:tc>
          <w:tcPr>
            <w:tcW w:type="dxa" w:w="21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Continuidad operativa</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Ventanas controladas, reversa probada, fecha única de cambio</w:t>
            </w:r>
          </w:p>
        </w:tc>
        <w:tc>
          <w:tcPr>
            <w:tcW w:type="dxa" w:w="36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Dependencia creciente de una plataforma fuera de soporte, con riesgo de caída sin recuperación transaccional</w:t>
            </w:r>
          </w:p>
        </w:tc>
      </w:tr>
    </w:tbl>
    <w:p>
      <w:pPr>
        <w:spacing w:after="100"/>
      </w:pPr>
      <w:r>
        <w:rPr>
          <w:sz w:val="4"/>
          <w:szCs w:val="4"/>
        </w:rPr>
        <w:t xml:space="preserve"/>
      </w:r>
    </w:p>
    <w:p>
      <w:pPr>
        <w:pStyle w:val="Heading1"/>
        <w:pageBreakBefore/>
      </w:pPr>
      <w:r>
        <w:t xml:space="preserve">12. Impacto Presupuestario y de Recursos (Análisis Cualitativo)</w:t>
      </w:r>
    </w:p>
    <w:p>
      <w:pPr>
        <w:spacing w:after="120" w:line="288"/>
        <w:jc w:val="both"/>
      </w:pPr>
      <w:r>
        <w:t xml:space="preserve">Conforme a la limitación L5, este capítulo es cualitativo por decisión metodológica; la cuantificación detallada es entregable de la fase F0 bajo conducción de Administración y Finanzas. El análisis distingue la estructura de costos de ambas trayectorias.</w:t>
      </w:r>
    </w:p>
    <w:p>
      <w:pPr>
        <w:spacing w:after="120" w:line="288"/>
        <w:jc w:val="both"/>
      </w:pPr>
      <w:r>
        <w:rPr>
          <w:b/>
          <w:bCs/>
        </w:rPr>
        <w:t xml:space="preserve">Costo del statu quo.</w:t>
      </w:r>
      <w:r>
        <w:t xml:space="preserve"> Sostener el legado implica: horas de soporte sobre una plataforma cuyo dictamen técnico es de mantenimiento crítico [D2], sin posibilidad de mejora; exposición a un incidente de seguridad cuyo costo —respuesta, notificación, reproceso, daño reputacional con publicación de sanción en el sitio web del propio órgano (art. 44, Ley N° 21.719)— excede cualquier presupuesto de mantención; y, desde el 1 de diciembre de 2026, la contingencia sancionatoria personal y publicable descrita en la sección 5.3.3. El statu quo no es la opción de costo cero: es la opción de costo creciente y no acotado.</w:t>
      </w:r>
    </w:p>
    <w:p>
      <w:pPr>
        <w:spacing w:after="120" w:line="288"/>
        <w:jc w:val="both"/>
      </w:pPr>
      <w:r>
        <w:rPr>
          <w:b/>
          <w:bCs/>
        </w:rPr>
        <w:t xml:space="preserve">Costo del programa de consolidación.</w:t>
      </w:r>
      <w:r>
        <w:t xml:space="preserve"> Sus componentes principales: (i) </w:t>
      </w:r>
      <w:r>
        <w:rPr>
          <w:b/>
          <w:bCs/>
        </w:rPr>
        <w:t xml:space="preserve">horas de construcción</w:t>
      </w:r>
      <w:r>
        <w:t xml:space="preserve">, en esta fase internalizadas en el Desarrollo Institucional, con un esfuerzo total estimado de 24 a 32 semanas para la arquitectura completa [D1]; (ii) </w:t>
      </w:r>
      <w:r>
        <w:rPr>
          <w:b/>
          <w:bCs/>
        </w:rPr>
        <w:t xml:space="preserve">infraestructura</w:t>
      </w:r>
      <w:r>
        <w:t xml:space="preserve">, sin inversión mayor en esta fase: el programa opera sobre el Windows Server institucional existente y los entornos de contenedores ya operativos (L8), administrados por TI de Infraestructura; (iii) </w:t>
      </w:r>
      <w:r>
        <w:rPr>
          <w:b/>
          <w:bCs/>
        </w:rPr>
        <w:t xml:space="preserve">sin licenciamiento de runtime propietario</w:t>
      </w:r>
      <w:r>
        <w:t xml:space="preserve">: el ecosistema se construye sobre componentes de código abierto con soporte vigente, eliminando la categoría de costo que originó la dependencia diagnosticada; (iv) </w:t>
      </w:r>
      <w:r>
        <w:rPr>
          <w:b/>
          <w:bCs/>
        </w:rPr>
        <w:t xml:space="preserve">costos variables de análisis automatizado</w:t>
      </w:r>
      <w:r>
        <w:t xml:space="preserve">, medidos y auditables por diseño —cada análisis registra tokens y costo [D11, D14]—, lo que permite a A&amp;F monitorear el gasto efectivo con granularidad por operación; (v) </w:t>
      </w:r>
      <w:r>
        <w:rPr>
          <w:b/>
          <w:bCs/>
        </w:rPr>
        <w:t xml:space="preserve">dotación futura</w:t>
      </w:r>
      <w:r>
        <w:t xml:space="preserve">: la incorporación de perfiles técnicos (sección R5) cuya estimación de cargos, grados y oportunidad corresponde a A&amp;F en F0; y (vi) </w:t>
      </w:r>
      <w:r>
        <w:rPr>
          <w:b/>
          <w:bCs/>
        </w:rPr>
        <w:t xml:space="preserve">inversión futura conceptual</w:t>
      </w:r>
      <w:r>
        <w:t xml:space="preserve"> en el nodo de cómputo dedicado para inferencia local (sección 8.8), que este informe plantea exclusivamente como supuesto de diseño cualitativo, sin especificación ni monto, para evaluación presupuestaria en su mérito y oportunidad.</w:t>
      </w:r>
    </w:p>
    <w:p>
      <w:pPr>
        <w:spacing w:after="120" w:line="288"/>
        <w:jc w:val="both"/>
      </w:pPr>
      <w:r>
        <w:rPr>
          <w:b/>
          <w:bCs/>
        </w:rPr>
        <w:t xml:space="preserve">Referencia de orden de magnitud.</w:t>
      </w:r>
      <w:r>
        <w:t xml:space="preserve"> La única cifra contractual documentada en el expediente es la oferta económica del desarrollo original: 1.667,2 UF adjudicadas mediante convenio marco 2239-3-LP15 [D3]. Se consigna como referencia del costo histórico de construir la plataforma que hoy se reemplaza —no como estimación del programa actual—, y permite a A&amp;F dimensionar que la consolidación propuesta, con su esfuerzo principal internalizado y sin licenciamiento recurrente, se sitúa en una escala razonable frente al costo de origen del problema y muy por debajo del costo de su persistencia.</w:t>
      </w:r>
    </w:p>
    <w:p>
      <w:pPr>
        <w:pStyle w:val="Heading1"/>
        <w:pageBreakBefore/>
      </w:pPr>
      <w:r>
        <w:t xml:space="preserve">13. Gobernanza Permanente: Datos, APIs y Auditoría (Modelo DAA)</w:t>
      </w:r>
    </w:p>
    <w:p>
      <w:pPr>
        <w:spacing w:after="120" w:line="288"/>
        <w:jc w:val="both"/>
      </w:pPr>
      <w:r>
        <w:t xml:space="preserve">La consolidación del ecosistema no es un proyecto con fecha de término sino un cambio de régimen. Para que la deuda técnica del futuro nazca declarada y gobernada —y no estructural y oculta—, este informe propone un cuerpo de reglas permanentes, exigibles a todo desarrollo presente y futuro del clúster institucional, y un modelo de roles que las hace operables con la dotación real.</w:t>
      </w:r>
    </w:p>
    <w:p>
      <w:pPr>
        <w:pStyle w:val="Heading2"/>
      </w:pPr>
      <w:r>
        <w:t xml:space="preserve">13.1. Reglas de gobernanza</w:t>
      </w:r>
    </w:p>
    <w:p>
      <w:pPr>
        <w:pStyle w:val="ListParagraph"/>
        <w:numPr>
          <w:ilvl w:val="0"/>
          <w:numId w:val="6"/>
        </w:numPr>
        <w:spacing w:after="60" w:line="276"/>
        <w:jc w:val="both"/>
      </w:pPr>
      <w:r>
        <w:rPr>
          <w:b/>
          <w:bCs/>
        </w:rPr>
        <w:t xml:space="preserve">G1 — Clasificación obligatoria del dato.</w:t>
      </w:r>
      <w:r>
        <w:t xml:space="preserve"> Toda entidad de información se clasifica al diseñarse (pública, interna o reservada); la categoría reservada comprende, a lo menos, la Ficha Interna Reservada, los relatos de vulneraciones y todo dato sensible de NNA (art. 16 quáter, Ley N° 21.719; art. 64, Ley N° 21.430).</w:t>
      </w:r>
    </w:p>
    <w:p>
      <w:pPr>
        <w:pStyle w:val="ListParagraph"/>
        <w:numPr>
          <w:ilvl w:val="0"/>
          <w:numId w:val="6"/>
        </w:numPr>
        <w:spacing w:after="60" w:line="276"/>
        <w:jc w:val="both"/>
      </w:pPr>
      <w:r>
        <w:rPr>
          <w:b/>
          <w:bCs/>
        </w:rPr>
        <w:t xml:space="preserve">G2 — Cifrado en reposo para la categoría reservada.</w:t>
      </w:r>
      <w:r>
        <w:t xml:space="preserve"> Ningún dato reservado se persiste sin cifrado en reposo; el subdominio de Vulneraciones opera además sobre base de datos independiente [D1].</w:t>
      </w:r>
    </w:p>
    <w:p>
      <w:pPr>
        <w:pStyle w:val="ListParagraph"/>
        <w:numPr>
          <w:ilvl w:val="0"/>
          <w:numId w:val="6"/>
        </w:numPr>
        <w:spacing w:after="60" w:line="276"/>
        <w:jc w:val="both"/>
      </w:pPr>
      <w:r>
        <w:rPr>
          <w:b/>
          <w:bCs/>
        </w:rPr>
        <w:t xml:space="preserve">G3 — Ninguna credencial en código ni en configuración versionada.</w:t>
      </w:r>
      <w:r>
        <w:t xml:space="preserve"> Todo secreto reside en variables de entorno o gestor de credenciales, con rotación procedimentada (cierra y mantiene cerrado DT-2/DT-3).</w:t>
      </w:r>
    </w:p>
    <w:p>
      <w:pPr>
        <w:pStyle w:val="ListParagraph"/>
        <w:numPr>
          <w:ilvl w:val="0"/>
          <w:numId w:val="6"/>
        </w:numPr>
        <w:spacing w:after="60" w:line="276"/>
        <w:jc w:val="both"/>
      </w:pPr>
      <w:r>
        <w:rPr>
          <w:b/>
          <w:bCs/>
        </w:rPr>
        <w:t xml:space="preserve">G4 — Toda API tras el Gateway, con identidad territorial.</w:t>
      </w:r>
      <w:r>
        <w:t xml:space="preserve"> Ningún servicio se expone fuera del Gateway; toda consulta de negocio aplica el alcance de sede y unidad contenido en la credencial (claims del token). El acceso directo a bases de datos queda reservado a operaciones de plataforma documentadas.</w:t>
      </w:r>
    </w:p>
    <w:p>
      <w:pPr>
        <w:pStyle w:val="ListParagraph"/>
        <w:numPr>
          <w:ilvl w:val="0"/>
          <w:numId w:val="6"/>
        </w:numPr>
        <w:spacing w:after="60" w:line="276"/>
        <w:jc w:val="both"/>
      </w:pPr>
      <w:r>
        <w:rPr>
          <w:b/>
          <w:bCs/>
        </w:rPr>
        <w:t xml:space="preserve">G5 — Huella de lectura para lo reservado.</w:t>
      </w:r>
      <w:r>
        <w:t xml:space="preserve"> Toda lectura de información de categoría reservada registra persona usuaria, dirección IP y marca temporal; la auditoría es consultable por Auditoría Interna sin intervención del área que la genera.</w:t>
      </w:r>
    </w:p>
    <w:p>
      <w:pPr>
        <w:pStyle w:val="ListParagraph"/>
        <w:numPr>
          <w:ilvl w:val="0"/>
          <w:numId w:val="6"/>
        </w:numPr>
        <w:spacing w:after="60" w:line="276"/>
        <w:jc w:val="both"/>
      </w:pPr>
      <w:r>
        <w:rPr>
          <w:b/>
          <w:bCs/>
        </w:rPr>
        <w:t xml:space="preserve">G6 — Decisión humana registrada para toda asistencia algorítmica.</w:t>
      </w:r>
      <w:r>
        <w:t xml:space="preserve"> Conforme al artículo 8° bis de la Ley N° 21.719, toda propuesta automatizada se persiste inmutable y separada del veredicto humano final, con autor y fecha; la métrica de concordancia se reporta periódicamente.</w:t>
      </w:r>
    </w:p>
    <w:p>
      <w:pPr>
        <w:pStyle w:val="ListParagraph"/>
        <w:numPr>
          <w:ilvl w:val="0"/>
          <w:numId w:val="6"/>
        </w:numPr>
        <w:spacing w:after="60" w:line="276"/>
        <w:jc w:val="both"/>
      </w:pPr>
      <w:r>
        <w:rPr>
          <w:b/>
          <w:bCs/>
        </w:rPr>
        <w:t xml:space="preserve">G7 — Terceros solo con contrato y minimización.</w:t>
      </w:r>
      <w:r>
        <w:t xml:space="preserve"> Ningún dato institucional viaja a un proveedor externo sin contrato de encargo vigente, base de licitud documentada, minimización o seudonimización previa y registro del envío; las cargas de notificación viajan con folio y metadatos, jamás con identidad de NNA.</w:t>
      </w:r>
    </w:p>
    <w:p>
      <w:pPr>
        <w:pStyle w:val="ListParagraph"/>
        <w:numPr>
          <w:ilvl w:val="0"/>
          <w:numId w:val="6"/>
        </w:numPr>
        <w:spacing w:after="60" w:line="276"/>
        <w:jc w:val="both"/>
      </w:pPr>
      <w:r>
        <w:rPr>
          <w:b/>
          <w:bCs/>
        </w:rPr>
        <w:t xml:space="preserve">G8 — Esquemas solo por migraciones versionadas.</w:t>
      </w:r>
      <w:r>
        <w:t xml:space="preserve"> Ningún servicio modifica su esquema en modo automático en producción; toda evolución se ejecuta por migraciones versionadas con validación (cierra y mantiene cerrado DT-5).</w:t>
      </w:r>
    </w:p>
    <w:p>
      <w:pPr>
        <w:pStyle w:val="ListParagraph"/>
        <w:numPr>
          <w:ilvl w:val="0"/>
          <w:numId w:val="6"/>
        </w:numPr>
        <w:spacing w:after="60" w:line="276"/>
        <w:jc w:val="both"/>
      </w:pPr>
      <w:r>
        <w:rPr>
          <w:b/>
          <w:bCs/>
        </w:rPr>
        <w:t xml:space="preserve">G9 — Retención y supresión definidas por categoría.</w:t>
      </w:r>
      <w:r>
        <w:t xml:space="preserve"> Cada clase de dato declara su plazo de conservación y su procedimiento de supresión o anonimización, en coherencia con el principio de proporcionalidad del nuevo régimen y las obligaciones de registro institucional.</w:t>
      </w:r>
    </w:p>
    <w:p>
      <w:pPr>
        <w:pStyle w:val="ListParagraph"/>
        <w:numPr>
          <w:ilvl w:val="0"/>
          <w:numId w:val="6"/>
        </w:numPr>
        <w:spacing w:after="60" w:line="276"/>
        <w:jc w:val="both"/>
      </w:pPr>
      <w:r>
        <w:rPr>
          <w:b/>
          <w:bCs/>
        </w:rPr>
        <w:t xml:space="preserve">G10 — Revisión de arquitectura previa a todo nuevo servicio.</w:t>
      </w:r>
      <w:r>
        <w:t xml:space="preserve"> Ningún componente entra al clúster sin revisión documentada de cumplimiento de G1 a G9, runbook operativo para TI de Infraestructura y plan de respaldo y reversa.</w:t>
      </w:r>
    </w:p>
    <w:p>
      <w:pPr>
        <w:pStyle w:val="Heading2"/>
      </w:pPr>
      <w:r>
        <w:t xml:space="preserve">13.2. Modelo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Rol</w:t>
            </w:r>
          </w:p>
        </w:tc>
        <w:tc>
          <w:tcPr>
            <w:tcW w:type="dxa" w:w="68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Responsabilidad en el modelo DAA</w:t>
            </w:r>
          </w:p>
        </w:tc>
      </w:tr>
      <w:tr>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Desarrollo Institucional</w:t>
            </w:r>
          </w:p>
        </w:tc>
        <w:tc>
          <w:tcPr>
            <w:tcW w:type="dxa" w:w="68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Diseño, construcción y documentación de los servicios; cumplimiento de G1–G10 en cada entrega; conducción técnica de la Beta y de la migración selectiva; mantención del estándar de documentación que mitiga la dependencia de personas únicas.</w:t>
            </w:r>
          </w:p>
        </w:tc>
      </w:tr>
      <w:tr>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TI de Infraestructura</w:t>
            </w:r>
          </w:p>
        </w:tc>
        <w:tc>
          <w:tcPr>
            <w:tcW w:type="dxa" w:w="68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Gobernanza de la plataforma: administración del Windows Server, ciclo de vida de los contenedores Docker sobre WSL (mensajería, almacén de objetos y herramientas futuras), políticas y ejecución de respaldos, monitoreo de servicios y ejecución de runbooks. No se le asignan funciones de desarrollo de software ni de diseño de arquitecturas.</w:t>
            </w:r>
          </w:p>
        </w:tc>
      </w:tr>
      <w:tr>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Fiscalía</w:t>
            </w:r>
          </w:p>
        </w:tc>
        <w:tc>
          <w:tcPr>
            <w:tcW w:type="dxa" w:w="68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Asesoría normativa permanente; conducción de la evaluación de impacto en protección de datos; revisión de contratos de encargo; propuesta de designación del encargado o delegado de protección de datos —que, conforme a la disposición transitoria quinta de la Ley N° 21.719, debe recaer en una persona funcionaria de la dotación vigente—; pronunciamientos sobre regímenes de reserva (art. 24 d).</w:t>
            </w:r>
          </w:p>
        </w:tc>
      </w:tr>
      <w:tr>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Auditoría Interna</w:t>
            </w:r>
          </w:p>
        </w:tc>
        <w:tc>
          <w:tcPr>
            <w:tcW w:type="dxa" w:w="68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Verificación independiente del plan P0/P1, de la cadena de custodia de la migración, del acta de volúmenes y del cumplimiento continuo de G1–G10; incorporación de estas materias al plan anual.</w:t>
            </w:r>
          </w:p>
        </w:tc>
      </w:tr>
      <w:tr>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Comité DAA</w:t>
            </w:r>
          </w:p>
        </w:tc>
        <w:tc>
          <w:tcPr>
            <w:tcW w:type="dxa" w:w="68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Instancia de gobernanza que reúne a Desarrollo Institucional, TI de Infraestructura, Fiscalía, Auditoría Interna y representación de las Coordinaciones Regionales y de las cuatro Unidades de Destino; aprueba clasificaciones de datos, revisiones de arquitectura (G10) y excepciones fundadas, y reporta a la Dirección Nacional.</w:t>
            </w:r>
          </w:p>
        </w:tc>
      </w:tr>
    </w:tbl>
    <w:p>
      <w:pPr>
        <w:spacing w:after="100"/>
      </w:pPr>
      <w:r>
        <w:rPr>
          <w:sz w:val="4"/>
          <w:szCs w:val="4"/>
        </w:rPr>
        <w:t xml:space="preserve"/>
      </w:r>
    </w:p>
    <w:p>
      <w:pPr>
        <w:pStyle w:val="Heading1"/>
        <w:pageBreakBefore/>
      </w:pPr>
      <w:r>
        <w:t xml:space="preserve">14. Objeciones Previsibles y Respuesta Institucional</w:t>
      </w:r>
    </w:p>
    <w:p>
      <w:pPr>
        <w:spacing w:after="120" w:line="288"/>
        <w:jc w:val="both"/>
      </w:pPr>
      <w:r>
        <w:t xml:space="preserve">Este informe anticipa las objeciones que sus conclusiones enfrentarán ante la Dirección, Fiscalía, Administración y Finanzas, Auditoría Interna y los equipos regionales, y las responde con la evidencia del propio expediente.</w:t>
      </w:r>
    </w:p>
    <w:p>
      <w:pPr>
        <w:spacing w:after="120" w:line="288"/>
        <w:jc w:val="both"/>
      </w:pPr>
      <w:r>
        <w:rPr>
          <w:b/>
          <w:bCs/>
        </w:rPr>
        <w:t xml:space="preserve">O1 — Si SIGER funciona hace años, basta con parcharlo.</w:t>
      </w:r>
      <w:r>
        <w:t xml:space="preserve"> SIGER funciona para registrar; no funciona para proteger ni para acreditar protección. Los parches no alcanzan la raíz: el cifrado de transporte, la autorización por recurso y el motor transaccional exigen reescribir la forma en que cada vista consulta los datos, sobre un runtime propietario que es a la vez framework, seguridad y reportería (sección 4.6). La auditoría dictaminó esa vía como inviable y de costo de regresión inasumible [D2], y ningún parche devuelve soporte de fabricante a Java 1.7, Tomcat 7 o MySQL 5 [D1, D3].</w:t>
      </w:r>
    </w:p>
    <w:p>
      <w:pPr>
        <w:spacing w:after="120" w:line="288"/>
        <w:jc w:val="both"/>
      </w:pPr>
      <w:r>
        <w:rPr>
          <w:b/>
          <w:bCs/>
        </w:rPr>
        <w:t xml:space="preserve">O2 — El ecosistema nuevo también tiene fallas de seguridad.</w:t>
      </w:r>
      <w:r>
        <w:t xml:space="preserve"> Cierto, y este informe las inventaría una a una desde la propia documentación del clúster (capítulo 9), con plan de cierre P0 en treinta días y P1 antes del 1 de noviembre de 2026, verificado por Auditoría Interna. La diferencia no es la ausencia de deuda sino su naturaleza: declarada, acotada y cerrable, frente a estructural e incerrable. El dictamen quedó expresamente condicionado a ese cierre (sección 7.5).</w:t>
      </w:r>
    </w:p>
    <w:p>
      <w:pPr>
        <w:spacing w:after="120" w:line="288"/>
        <w:jc w:val="both"/>
      </w:pPr>
      <w:r>
        <w:rPr>
          <w:b/>
          <w:bCs/>
        </w:rPr>
        <w:t xml:space="preserve">O3 — Sería más seguro licitar una solución de mercado.</w:t>
      </w:r>
      <w:r>
        <w:t xml:space="preserve"> La evaluación formal (sección 7.3) muestra que la adquisición no evita lo difícil —migración con custodia, levantamiento de reglas, cumplimiento—, agrega frentes de riesgo (encargo y eventual transferencia internacional de datos de NNA hacia plataforma de tercero) y repite la condición de origen del problema: dependencia de una caja negra externa [D2]. Tampoco es compatible con acreditar medidas antes del 1 de diciembre de 2026.</w:t>
      </w:r>
    </w:p>
    <w:p>
      <w:pPr>
        <w:spacing w:after="120" w:line="288"/>
        <w:jc w:val="both"/>
      </w:pPr>
      <w:r>
        <w:rPr>
          <w:b/>
          <w:bCs/>
        </w:rPr>
        <w:t xml:space="preserve">O4 — La Ley N° 18.575 no obliga a una corporación autónoma.</w:t>
      </w:r>
      <w:r>
        <w:t xml:space="preserve"> La discusión es jurídicamente legítima y prácticamente irrelevante: los principios de probidad y eficiencia rigen el tratamiento de datos de los órganos públicos por mandato expreso del artículo 21 de la Ley N° 21.719, la Ley N° 21.430 se remite supletoriamente a la Ley N° 18.575, y el estándar de medios idóneos de diagnóstico, decisión y control opera como principio general respecto de todo órgano que administra recursos públicos (sección 5.4).</w:t>
      </w:r>
    </w:p>
    <w:p>
      <w:pPr>
        <w:spacing w:after="120" w:line="288"/>
        <w:jc w:val="both"/>
      </w:pPr>
      <w:r>
        <w:rPr>
          <w:b/>
          <w:bCs/>
        </w:rPr>
        <w:t xml:space="preserve">O5 — La Ley N° 21.719 todavía no está vigente; no hay urgencia.</w:t>
      </w:r>
      <w:r>
        <w:t xml:space="preserve"> Los deberes de reserva sobre la información de NNA rigen hoy (arts. 33, 34 y 64, Ley N° 21.430; Ley N° 19.628) y el sistema no permite acreditarlos (capítulo 6). La nueva ley solo agrega, desde el 1 de diciembre de 2026, la responsabilidad personal y publicable de jefaturas y funcionarios —sin período de gracia para órganos públicos—. Y construir cumplimiento toma exactamente la ventana que queda: 24 a 32 semanas de esfuerzo estimado contra 29 semanas disponibles al 1 de enero de 2027. Esperar la vigencia para comenzar es, aritméticamente, decidir incumplir.</w:t>
      </w:r>
    </w:p>
    <w:p>
      <w:pPr>
        <w:spacing w:after="120" w:line="288"/>
        <w:jc w:val="both"/>
      </w:pPr>
      <w:r>
        <w:rPr>
          <w:b/>
          <w:bCs/>
        </w:rPr>
        <w:t xml:space="preserve">O6 — Migrar es arriesgado; y si se migra, ¿por qué esperar a enero?</w:t>
      </w:r>
      <w:r>
        <w:t xml:space="preserve"> Ambas mitades se responden con la misma evidencia. Migrar todo, ya, materializaría los dos riesgos mayores del programa: corrupción de relatos confidenciales en la transcodificación masiva y contaminación de las métricas de la UEG con huérfanos heredados (sección 10.2), además de partir en dos las series estadísticas y los correlativos de cada Sede Regional (sección 10.3). No migrar nada perpetúa el estado de riesgo del capítulo 6. La síntesis de dos horizontes hace ambas cosas en su momento correcto: acredita medidas durante la Beta del segundo semestre y cambia de sistema en la única frontera que preserva las series, el cierre del ejercicio (sección 10.4).</w:t>
      </w:r>
    </w:p>
    <w:p>
      <w:pPr>
        <w:spacing w:after="120" w:line="288"/>
        <w:jc w:val="both"/>
      </w:pPr>
      <w:r>
        <w:rPr>
          <w:b/>
          <w:bCs/>
        </w:rPr>
        <w:t xml:space="preserve">O7 — Usar inteligencia artificial con datos de NNA es inaceptable.</w:t>
      </w:r>
      <w:r>
        <w:t xml:space="preserve"> La disyuntiva real no es con o sin análisis automatizado, sino con o sin salvaguardas. El diseño vigente ya separa la propuesta algorítmica —inmutable y auditada por huella criptográfica, nunca por contenido— de la decisión humana final con autor y fecha [D11, D14], que es exactamente el patrón que el artículo 8° bis exige. Este informe añade como condiciones exigibles el contrato de encargo, la evaluación de impacto, la seudonimización previa y la regla de carga útil mínima (sección 8.8, DT-8 y DT-9), y plantea como supuesto conceptual el Proxy de Anonimización con nodo de inferencia local para las cargas de mayor sensibilidad. Renunciar al análisis asistido, en cambio, tiene un costo concreto: plazos legales de cinco días, veinticuatro horas y sesenta días vigilados a mano, que es la condición que hoy produce los días negativos documentados [D2].</w:t>
      </w:r>
    </w:p>
    <w:p>
      <w:pPr>
        <w:spacing w:after="120" w:line="288"/>
        <w:jc w:val="both"/>
      </w:pPr>
      <w:r>
        <w:rPr>
          <w:b/>
          <w:bCs/>
        </w:rPr>
        <w:t xml:space="preserve">O8 — Todo el desarrollo depende de una sola persona; la institución no tiene equipo para esto.</w:t>
      </w:r>
      <w:r>
        <w:t xml:space="preserve"> El riesgo es real, está declarado (R5) y tiene mitigación ejecutada y planificada: documentación técnica exhaustiva como entregable de primera clase [D9–D14] y plan de incorporación de perfiles informáticos cuya estimación corresponde a A&amp;F en F0. La objeción simétrica —exigir a TI de Infraestructura competencias de desarrollo— queda descartada por el modelo de roles: a sus dos ingenieros de sistemas corresponde la gobernanza de plataforma, que es viable y está documentada [D12]; la construcción corresponde al Desarrollo Institucional y a los perfiles por incorporar (capítulo 13).</w:t>
      </w:r>
    </w:p>
    <w:p>
      <w:pPr>
        <w:spacing w:after="120" w:line="288"/>
        <w:jc w:val="both"/>
      </w:pPr>
      <w:r>
        <w:rPr>
          <w:b/>
          <w:bCs/>
        </w:rPr>
        <w:t xml:space="preserve">O9 — Las cifras de volumen no están auditadas.</w:t>
      </w:r>
      <w:r>
        <w:t xml:space="preserve"> Correcto, y el informe lo declara como limitación L1: por eso se tratan como órdenes de magnitud, ninguna conclusión depende de su valor exacto, la fase F0 levanta acta formal con huella criptográfica y doble firma (Anexo B) y el acta se repite al corte del 31 de diciembre de 2026, dotando a la UEG de una frontera de series certificada.</w:t>
      </w:r>
    </w:p>
    <w:p>
      <w:pPr>
        <w:spacing w:after="120" w:line="288"/>
        <w:jc w:val="both"/>
      </w:pPr>
      <w:r>
        <w:rPr>
          <w:b/>
          <w:bCs/>
        </w:rPr>
        <w:t xml:space="preserve">O10 — Esto es un proyecto de tecnología, no una necesidad jurídica ni de dirección.</w:t>
      </w:r>
      <w:r>
        <w:t xml:space="preserve"> El capítulo 6 subsume cada hallazgo técnico en deberes legales vigentes o de vigencia datada; el artículo 44 de la Ley N° 21.719 radica la responsabilidad en la jefatura superior del órgano, no en un área técnica; y mantener el statu quo es también una decisión administrativa, con dueño, costo y fecha de exigibilidad. Precisamente por eso este informe se dirige a la Dirección Nacional y no a una mesa técnica.</w:t>
      </w:r>
    </w:p>
    <w:p>
      <w:pPr>
        <w:pStyle w:val="Heading1"/>
        <w:pageBreakBefore/>
      </w:pPr>
      <w:r>
        <w:t xml:space="preserve">15. Conclusiones y Recomendaciones</w:t>
      </w:r>
    </w:p>
    <w:p>
      <w:pPr>
        <w:pStyle w:val="Heading2"/>
      </w:pPr>
      <w:r>
        <w:t xml:space="preserve">15.1. Conclusiones</w:t>
      </w:r>
    </w:p>
    <w:p>
      <w:pPr>
        <w:pStyle w:val="ListParagraph"/>
        <w:numPr>
          <w:ilvl w:val="0"/>
          <w:numId w:val="7"/>
        </w:numPr>
        <w:spacing w:after="60" w:line="276"/>
        <w:jc w:val="both"/>
      </w:pPr>
      <w:r>
        <w:rPr>
          <w:b/>
          <w:bCs/>
        </w:rPr>
        <w:t xml:space="preserve">C1.</w:t>
      </w:r>
      <w:r>
        <w:t xml:space="preserve"> SIGER es un sistema legado con deuda técnica estructural: runtime propietario que concentra framework, seguridad y reportería; ausencia de API; seguridad delegada al perímetro con vulnerabilidades documentadas (tráfico sin cifrar, IDOR, ausencia de CSP); capa de datos mayoritariamente sin transaccionalidad y con codificación sin Unicode completo; y stack íntegramente fuera de soporte de fabricante [D1, D2, D3, D8]. Su refactorización es inviable como vía de cumplimiento, conclusión del dictamen técnico [D2] que la evaluación formal de alternativas de este informe valida (capítulo 7).</w:t>
      </w:r>
    </w:p>
    <w:p>
      <w:pPr>
        <w:pStyle w:val="ListParagraph"/>
        <w:numPr>
          <w:ilvl w:val="0"/>
          <w:numId w:val="7"/>
        </w:numPr>
        <w:spacing w:after="60" w:line="276"/>
        <w:jc w:val="both"/>
      </w:pPr>
      <w:r>
        <w:rPr>
          <w:b/>
          <w:bCs/>
        </w:rPr>
        <w:t xml:space="preserve">C2.</w:t>
      </w:r>
      <w:r>
        <w:t xml:space="preserve"> La institución se encuentra en un estado de riesgo de incumplimiento no acreditable respecto de deberes que rigen hoy (arts. 33, 34, 62, 63 y 64 de la Ley N° 21.430; Ley N° 19.628) y es materialmente incapaz de satisfacer el régimen que entra en vigencia el 1 de diciembre de 2026 (Ley N° 21.719), el cual añade responsabilidad administrativa personal y publicable de la jefatura superior y de los funcionarios (arts. 44 a 46), sin período de gracia para órganos públicos.</w:t>
      </w:r>
    </w:p>
    <w:p>
      <w:pPr>
        <w:pStyle w:val="ListParagraph"/>
        <w:numPr>
          <w:ilvl w:val="0"/>
          <w:numId w:val="7"/>
        </w:numPr>
        <w:spacing w:after="60" w:line="276"/>
        <w:jc w:val="both"/>
      </w:pPr>
      <w:r>
        <w:rPr>
          <w:b/>
          <w:bCs/>
        </w:rPr>
        <w:t xml:space="preserve">C3.</w:t>
      </w:r>
      <w:r>
        <w:t xml:space="preserve"> La consolidación del ecosistema institucional SMID es la alternativa que mejor satisface los criterios de cumplimiento en plazo, soberanía, ajuste al dominio y capacidad evolutiva, y la única compatible con la ventana de 29 semanas disponible; el dictamen queda condicionado al cierre verificado de la deuda declarada (P0 en treinta días; P1 al 1 de noviembre de 2026) y a la gobernanza permanente del capítulo 13.</w:t>
      </w:r>
    </w:p>
    <w:p>
      <w:pPr>
        <w:pStyle w:val="ListParagraph"/>
        <w:numPr>
          <w:ilvl w:val="0"/>
          <w:numId w:val="7"/>
        </w:numPr>
        <w:spacing w:after="60" w:line="276"/>
        <w:jc w:val="both"/>
      </w:pPr>
      <w:r>
        <w:rPr>
          <w:b/>
          <w:bCs/>
        </w:rPr>
        <w:t xml:space="preserve">C4.</w:t>
      </w:r>
      <w:r>
        <w:t xml:space="preserve"> La estrategia de dos horizontes —Fase Beta en marcha blanca durante el segundo semestre de 2026 y puesta en marcha oficial el 1 de enero de 2027, con congelamiento del legado como repositorio histórico de solo lectura el 31 de diciembre de 2026 y correlativo limpio 0/2027— resuelve simultáneamente la urgencia normativa (acreditación anticipada de medidas ante la Agencia, art. 14 quáter) y la integridad del dato (sin transcodificación masiva del corpus narrativo; series estadísticas y numeración de las Sedes Regionales intactas).</w:t>
      </w:r>
    </w:p>
    <w:p>
      <w:pPr>
        <w:pStyle w:val="ListParagraph"/>
        <w:numPr>
          <w:ilvl w:val="0"/>
          <w:numId w:val="7"/>
        </w:numPr>
        <w:spacing w:after="60" w:line="276"/>
        <w:jc w:val="both"/>
      </w:pPr>
      <w:r>
        <w:rPr>
          <w:b/>
          <w:bCs/>
        </w:rPr>
        <w:t xml:space="preserve">C5.</w:t>
      </w:r>
      <w:r>
        <w:t xml:space="preserve"> El núcleo fundacional de tres microservicios —Identidad y Acceso, Personas y Requerimientos— absorbe por completo el ciclo de ingreso, validación de duplicados y admisibilidad (USR.01 y USR.02) y constituye la zapata ineludible de todos los servicios posteriores; su entrega y validación es el alcance del presente hito.</w:t>
      </w:r>
    </w:p>
    <w:p>
      <w:pPr>
        <w:pStyle w:val="ListParagraph"/>
        <w:numPr>
          <w:ilvl w:val="0"/>
          <w:numId w:val="7"/>
        </w:numPr>
        <w:spacing w:after="60" w:line="276"/>
        <w:jc w:val="both"/>
      </w:pPr>
      <w:r>
        <w:rPr>
          <w:b/>
          <w:bCs/>
        </w:rPr>
        <w:t xml:space="preserve">C6.</w:t>
      </w:r>
      <w:r>
        <w:t xml:space="preserve"> El programa es ejecutable con la estructura real de la institución: construcción por el Desarrollo Institucional —con documentación exhaustiva que mitiga la dependencia de personas únicas y un plan de incorporación de perfiles informáticos—, gobernanza de plataforma por los dos ingenieros de sistemas de TI de Infraestructura sobre el patrón Docker/WSL ya operativo, y verificación independiente por Auditoría Interna, sin asignar a área alguna funciones ajenas a su competencia.</w:t>
      </w:r>
    </w:p>
    <w:p>
      <w:pPr>
        <w:pStyle w:val="Heading2"/>
      </w:pPr>
      <w:r>
        <w:t xml:space="preserve">15.2.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2050"/>
        <w:gridCol w:w="1550"/>
      </w:tblGrid>
      <w:tr>
        <w:tc>
          <w:tcPr>
            <w:tcW w:type="dxa" w:w="7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N°</w:t>
            </w:r>
          </w:p>
        </w:tc>
        <w:tc>
          <w:tcPr>
            <w:tcW w:type="dxa" w:w="50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Recomendación</w:t>
            </w:r>
          </w:p>
        </w:tc>
        <w:tc>
          <w:tcPr>
            <w:tcW w:type="dxa" w:w="20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Destinatario</w:t>
            </w:r>
          </w:p>
        </w:tc>
        <w:tc>
          <w:tcPr>
            <w:tcW w:type="dxa" w:w="15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Plazo</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R1</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Aprobar la estrategia de consolidación en dos horizontes y declarar formalmente a SIGER en régimen de mantenimiento crítico: soporte solo ante fallas, sin nuevos desarrollos [D2]</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Dirección Nacional</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Inmediato</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R2</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Designar a la persona responsable institucional del programa y constituir el Comité DAA con representación de las cuatro Unidades de Destino y de las Coordinaciones Regionales</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Dirección Nacional</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15 días</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R3</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Validar el marco normativo aplicado (incluida la aplicabilidad de las leyes N° 21.663 y 21.180, limitación L6), conducir la evaluación de impacto en protección de datos y formalizar el contrato de encargo con todo proveedor externo de procesamiento</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Fiscalía</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45 días</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R4</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Emitir pronunciamiento formal sobre el régimen de reserva derivada (art. 24 d, Ley N° 21.719) y el estatuto del art. 16 quáter aplicados a la Ficha Interna Reservada, y proponer la designación del encargado de protección de datos en persona funcionaria de la dotación (transitoria quinta)</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Fiscalía</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45 días</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R5</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Elaborar el presupuesto detallado del programa como entregable de F0, incluyendo la estimación de dotación de perfiles informáticos y la evaluación de la inversión futura en el nodo de inferencia (conceptual)</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Administración y Finanzas</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30 días desde inicio de F0</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R6</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Incorporar al plan anual la verificación independiente de P0 y P1, del acta de volúmenes y de la cadena de custodia de la migración selectiva</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Auditoría Interna</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Plan anual vigente</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R7</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Ejecutar y certificar el plan P0 de endurecimiento inmediato del clúster (DT-2, DT-3, DT-4, DT-7)</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Desarrollo Institucional</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30 días</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R8</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Ejecutar la fase F0: acta de reglas vigentes con las unidades, acta de volúmenes con huella criptográfica (Anexo B) y protocolo de casos vigentes al corte</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Desarrollo Institucional, con las cuatro Unidades de Destino</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2 semanas desde aprobación</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R9</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Calendarizar y ejecutar el plan P1 de conformidad de régimen, con hito de término no posterior al 1 de noviembre de 2026, y preparar el expediente de acreditación de medidas ante la Agencia</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Desarrollo Institucional y Fiscalía</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01-11-2026</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R10</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Designar usuarias y usuarios líderes por sede y unidad para la validación funcional y los pilotos de la Fase Beta</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Coordinaciones Regionales y Jefaturas de Sede</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15 días</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R11</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Consolidar los runbooks de plataforma (servidor, contenedores Docker/WSL, respaldos, reversa) y ejecutar las pruebas de esfuerzo de la Beta</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TI de Infraestructura</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Durante F2–F3</w:t>
            </w:r>
          </w:p>
        </w:tc>
      </w:tr>
      <w:tr>
        <w:tc>
          <w:tcPr>
            <w:tcW w:type="dxa" w:w="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R12</w:t>
            </w:r>
          </w:p>
        </w:tc>
        <w:tc>
          <w:tcPr>
            <w:tcW w:type="dxa" w:w="5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Comunicar institucionalmente el programa y sus fechas ancla: acreditación al 01-11-2026; decisión go/no-go el 15-12-2026; congelamiento del legado el 31-12-2026; operación oficial nacional desde el 01-01-2027 con correlativo 0/2027</w:t>
            </w:r>
          </w:p>
        </w:tc>
        <w:tc>
          <w:tcPr>
            <w:tcW w:type="dxa" w:w="20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Dirección Nacional</w:t>
            </w:r>
          </w:p>
        </w:tc>
        <w:tc>
          <w:tcPr>
            <w:tcW w:type="dxa" w:w="15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Junto a R1</w:t>
            </w:r>
          </w:p>
        </w:tc>
      </w:tr>
    </w:tbl>
    <w:p>
      <w:pPr>
        <w:spacing w:after="100"/>
      </w:pPr>
      <w:r>
        <w:rPr>
          <w:sz w:val="4"/>
          <w:szCs w:val="4"/>
        </w:rPr>
        <w:t xml:space="preserve"/>
      </w:r>
    </w:p>
    <w:p>
      <w:pPr>
        <w:pStyle w:val="Heading1"/>
        <w:pageBreakBefore/>
      </w:pPr>
      <w:r>
        <w:t xml:space="preserve">16. Anexos</w:t>
      </w:r>
    </w:p>
    <w:p>
      <w:pPr>
        <w:pStyle w:val="Heading2"/>
      </w:pPr>
      <w:r>
        <w:t xml:space="preserve">16.1. Anexo A — Verificación independiente del esquema de plataforma (D8)</w:t>
      </w:r>
    </w:p>
    <w:p>
      <w:pPr>
        <w:spacing w:after="120" w:line="288"/>
        <w:jc w:val="both"/>
      </w:pPr>
      <w:r>
        <w:rPr>
          <w:b/>
          <w:bCs/>
        </w:rPr>
        <w:t xml:space="preserve">Objeto.</w:t>
      </w:r>
      <w:r>
        <w:t xml:space="preserve"> Acreditar, de forma reproducible por cualquier revisor, las afirmaciones de este informe sobre el esquema físico del runtime, a partir del volcado D8 (archivo ai_req-sin_datos_clienes.sql, esquema ai_defensoria_req_qa, ambiente QA, sin datos de personas).</w:t>
      </w:r>
    </w:p>
    <w:p>
      <w:pPr>
        <w:spacing w:after="120" w:line="288"/>
        <w:jc w:val="both"/>
      </w:pPr>
      <w:r>
        <w:rPr>
          <w:b/>
          <w:bCs/>
        </w:rPr>
        <w:t xml:space="preserve">Método.</w:t>
      </w:r>
      <w:r>
        <w:t xml:space="preserve"> Conteo directo de patrones sobre el archivo de texto del volcado, mediante utilidades estándar de búsqueda, con los comandos y resultados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700"/>
        <w:gridCol w:w="2100"/>
      </w:tblGrid>
      <w:tr>
        <w:tc>
          <w:tcPr>
            <w:tcW w:type="dxa" w:w="55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Verificación (comando aplicado sobre el archivo D8)</w:t>
            </w:r>
          </w:p>
        </w:tc>
        <w:tc>
          <w:tcPr>
            <w:tcW w:type="dxa" w:w="17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Resultado</w:t>
            </w:r>
          </w:p>
        </w:tc>
        <w:tc>
          <w:tcPr>
            <w:tcW w:type="dxa" w:w="21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Lectura</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 "CREATE TABLE"</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122</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Tablas definidas en el volcado</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 "ENGINE=MyISAM"</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89</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Tablas en motor sin transaccionalidad (73 por ciento)</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 "ENGINE=InnoDB"</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33</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Tablas en motor transaccional</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 "CHARSET=latin1"</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122</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Totalidad de las tablas en codificación sin Unicode completo</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-ci "blob"</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0</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Ausencia de columnas binarias en este esquema (véase L2)</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-c "alt_key"</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15</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Presencia de identificadores universales en el modelo (facilita el mapeo de migración, sección 8.6)</w:t>
            </w:r>
          </w:p>
        </w:tc>
      </w:tr>
      <w:tr>
        <w:tc>
          <w:tcPr>
            <w:tcW w:type="dxa" w:w="55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grep -n "http_header"</w:t>
            </w:r>
          </w:p>
        </w:tc>
        <w:tc>
          <w:tcPr>
            <w:tcW w:type="dxa" w:w="17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1 columna, línea 1273</w:t>
            </w:r>
          </w:p>
        </w:tc>
        <w:tc>
          <w:tcPr>
            <w:tcW w:type="dxa" w:w="2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Columna http_header varchar(4000) en la tabla de log: retención de cabeceras íntegras (sección 4.3)</w:t>
            </w:r>
          </w:p>
        </w:tc>
      </w:tr>
    </w:tbl>
    <w:p>
      <w:pPr>
        <w:spacing w:after="100"/>
      </w:pPr>
      <w:r>
        <w:rPr>
          <w:sz w:val="4"/>
          <w:szCs w:val="4"/>
        </w:rPr>
        <w:t xml:space="preserve"/>
      </w:r>
    </w:p>
    <w:p>
      <w:pPr>
        <w:spacing w:after="120" w:line="288"/>
        <w:jc w:val="both"/>
      </w:pPr>
      <w:r>
        <w:rPr>
          <w:b/>
          <w:bCs/>
        </w:rPr>
        <w:t xml:space="preserve">Alcance y lo que esta verificación no prueba.</w:t>
      </w:r>
      <w:r>
        <w:t xml:space="preserve"> D8 corresponde al </w:t>
      </w:r>
      <w:r>
        <w:rPr>
          <w:b/>
          <w:bCs/>
        </w:rPr>
        <w:t xml:space="preserve">esquema de plataforma en ambiente QA</w:t>
      </w:r>
      <w:r>
        <w:t xml:space="preserve">; no contiene el esquema funcional de 149 tablas ni datos de personas. Por ello: (i) los conteos difieren de los del ambiente productivo reportados por D1 (136 tablas de runtime, 103 en MyISAM), siendo ambos consistentes en orden de magnitud y proporción —la divergencia se declara como limitación L7—; (ii) la ausencia de columnas binarias en este volcado </w:t>
      </w:r>
      <w:r>
        <w:rPr>
          <w:b/>
          <w:bCs/>
        </w:rPr>
        <w:t xml:space="preserve">no</w:t>
      </w:r>
      <w:r>
        <w:t xml:space="preserve"> permite concluir la modalidad de persistencia de los adjuntos del sistema (limitación L2); y (iii) ninguna verificación sobre QA sustituye el acta de volúmenes sobre producción del Anexo B.</w:t>
      </w:r>
    </w:p>
    <w:p>
      <w:pPr>
        <w:pStyle w:val="Heading2"/>
      </w:pPr>
      <w:r>
        <w:t xml:space="preserve">16.2. Anexo B — Protocolo de acta de volúmenes productivos</w:t>
      </w:r>
    </w:p>
    <w:p>
      <w:pPr>
        <w:spacing w:after="120" w:line="288"/>
        <w:jc w:val="both"/>
      </w:pPr>
      <w:r>
        <w:rPr>
          <w:b/>
          <w:bCs/>
        </w:rPr>
        <w:t xml:space="preserve">Objeto.</w:t>
      </w:r>
      <w:r>
        <w:t xml:space="preserve"> Sustituir las métricas aproximadas de D1 (limitación L1) por cifras certificadas, en dos momentos: al inicio de F0 (línea base) y al corte del 31 de diciembre de 2026 (frontera de series).</w:t>
      </w:r>
    </w:p>
    <w:p>
      <w:pPr>
        <w:pStyle w:val="ListParagraph"/>
        <w:numPr>
          <w:ilvl w:val="0"/>
          <w:numId w:val="8"/>
        </w:numPr>
        <w:spacing w:after="60" w:line="276"/>
        <w:jc w:val="both"/>
      </w:pPr>
      <w:r>
        <w:rPr>
          <w:b/>
          <w:bCs/>
        </w:rPr>
        <w:t xml:space="preserve">Entidades a certificar.</w:t>
      </w:r>
      <w:r>
        <w:t xml:space="preserve"> Requerimientos; casos; archivos adjuntos (cantidad y volumen total en bytes); entradas de bitácora; personas (distinguiendo naturales y jurídicas); Fichas Internas Reservadas (fichas y versiones); registros de log de cambios.</w:t>
      </w:r>
    </w:p>
    <w:p>
      <w:pPr>
        <w:pStyle w:val="ListParagraph"/>
        <w:numPr>
          <w:ilvl w:val="0"/>
          <w:numId w:val="8"/>
        </w:numPr>
        <w:spacing w:after="60" w:line="276"/>
        <w:jc w:val="both"/>
      </w:pPr>
      <w:r>
        <w:rPr>
          <w:b/>
          <w:bCs/>
        </w:rPr>
        <w:t xml:space="preserve">Extracción.</w:t>
      </w:r>
      <w:r>
        <w:t xml:space="preserve"> Consultas de conteo ejecutadas sobre el ambiente productivo por TI de Infraestructura en presencia de Desarrollo Institucional, en ventana de baja actividad, con registro de fecha, hora y versión del sistema.</w:t>
      </w:r>
    </w:p>
    <w:p>
      <w:pPr>
        <w:pStyle w:val="ListParagraph"/>
        <w:numPr>
          <w:ilvl w:val="0"/>
          <w:numId w:val="8"/>
        </w:numPr>
        <w:spacing w:after="60" w:line="276"/>
        <w:jc w:val="both"/>
      </w:pPr>
      <w:r>
        <w:rPr>
          <w:b/>
          <w:bCs/>
        </w:rPr>
        <w:t xml:space="preserve">Integridad.</w:t>
      </w:r>
      <w:r>
        <w:t xml:space="preserve"> El resultado se exporta a un archivo de cifras cuyo resumen criptográfico SHA-256 se calcula en el acto y se transcribe al acta.</w:t>
      </w:r>
    </w:p>
    <w:p>
      <w:pPr>
        <w:pStyle w:val="ListParagraph"/>
        <w:numPr>
          <w:ilvl w:val="0"/>
          <w:numId w:val="8"/>
        </w:numPr>
        <w:spacing w:after="60" w:line="276"/>
        <w:jc w:val="both"/>
      </w:pPr>
      <w:r>
        <w:rPr>
          <w:b/>
          <w:bCs/>
        </w:rPr>
        <w:t xml:space="preserve">Acta.</w:t>
      </w:r>
      <w:r>
        <w:t xml:space="preserve"> Documento firmado por TI de Infraestructura, Desarrollo Institucional y la jefatura de la unidad propietaria del dato (UEG para series estadísticas), con distribución a Auditoría Interna.</w:t>
      </w:r>
    </w:p>
    <w:p>
      <w:pPr>
        <w:pStyle w:val="ListParagraph"/>
        <w:numPr>
          <w:ilvl w:val="0"/>
          <w:numId w:val="8"/>
        </w:numPr>
        <w:spacing w:after="60" w:line="276"/>
        <w:jc w:val="both"/>
      </w:pPr>
      <w:r>
        <w:rPr>
          <w:b/>
          <w:bCs/>
        </w:rPr>
        <w:t xml:space="preserve">Repetición al corte.</w:t>
      </w:r>
      <w:r>
        <w:t xml:space="preserve"> El mismo protocolo se ejecuta sobre el estado congelado del 31 de diciembre de 2026; ambas actas constituyen la base de conciliación de la migración selectiva (sección 10.5) y la certificación de la frontera estadística 2026/2027.</w:t>
      </w:r>
    </w:p>
    <w:p>
      <w:pPr>
        <w:pStyle w:val="Heading2"/>
      </w:pPr>
      <w:r>
        <w:t xml:space="preserve">16.3. Anexo C — Fichas normativas esenciales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4260"/>
        <w:gridCol w:w="2500"/>
      </w:tblGrid>
      <w:tr>
        <w:tc>
          <w:tcPr>
            <w:tcW w:type="dxa" w:w="11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Norma</w:t>
            </w:r>
          </w:p>
        </w:tc>
        <w:tc>
          <w:tcPr>
            <w:tcW w:type="dxa" w:w="145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Disposición</w:t>
            </w:r>
          </w:p>
        </w:tc>
        <w:tc>
          <w:tcPr>
            <w:tcW w:type="dxa" w:w="42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Contenido esencial</w:t>
            </w:r>
          </w:p>
        </w:tc>
        <w:tc>
          <w:tcPr>
            <w:tcW w:type="dxa" w:w="25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Relevancia en este informe</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21.067</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4, letras e, g, i</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Requerir antecedentes con plazo máximo de 60 días; denunciar vulneraciones remitiendo antecedentes; observar y hacer seguimiento conforme a un plan</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Exigencias operativas de plazos, integridad y seguimiento; base legal directa de SGS (8.2)</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21.067</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19</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Resoluciones exentas de toma de razón</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autonomía exige controles internos robustos (5.1)</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21.430</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7</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Interés superior como derecho, principio y norma de procedimiento</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Exige capacidad de evaluación integral; incompatible con silos (4.5, 6.1)</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21.430</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33 y 34</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Vida privada y protección de datos de NNA; reserva y confidencialidad de funcionarios; reserva de comunicaciones, incluidas las tecnológicas</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Deberes vigentes hoy que el legado no permite acreditar (6.2.1)</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21.430</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62 y 63</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Inexcusabilidad con registro e información en 5 días hábiles; denuncia en 24 horas con calificación de falta grave</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Plazos perentorios que exigen motor de alertas (6.2.3)</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21.430</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64</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Obligada reserva de los organismos, adoptando las medidas oportunas sobre la información y los registros en los que consta</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Ancla textual: el deber alcanza a los sistemas (5.2); fundamento del modelo territorial de identidad (8.5)</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Transitoria primera</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Vigencia el día primero del mes vigésimo cuarto posterior a la publicación: 1 de diciembre de 2026</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Fecha ancla del programa (6.4, 10.4)</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20 y 21</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Licitud del tratamiento por órganos públicos para funciones legales; principios de coordinación, probidad y eficiencia</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Base de licitud y estándar de gestión (5.3.1, 5.4)</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14 bis, 14 quáter, 14 quinquies</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Secreto; protección desde el diseño y por defecto; seguridad y comunicación de vulneraciones</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Estándar que la Beta acredita anticipadamente (10.4); subsunción de hallazgos (6.1)</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16 quáter</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Estatuto de datos de NNA: interés superior, autonomía progresiva, obligación especial de las entidades</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Estatuto reforzado del dominio institucional (5.3.2, 8.7)</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8° bis</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Decisiones automatizadas: explicación, intervención humana, revisión, en todos los casos</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Patrón implementado por SGS y ESNNA (8.2, 8.3, 8.8)</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Título V, art. 27</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Transferencia internacional: niveles adecuados, garantías o habilitaciones</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Régimen aplicable a la externalización de procesamiento (8.8, DT-8)</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 24, letra d</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Régimen especial de datos amparados por normas propias de secreto o reserva; el receptor mantiene la obligación</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Estatuto de la FIR (5.3.2, R4)</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44, 45 y 46</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Responsabilidad del jefe superior (multa de 20 a 50 por ciento de su remuneración; datos sensibles: 50 por ciento y suspensión hasta 30 días; publicación de la sanción) y de los funcionarios (sumario; probidad)</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Consecuencia personal y publicable desde el 01-12-2026 (5.3.3, O10)</w:t>
            </w:r>
          </w:p>
        </w:tc>
      </w:tr>
      <w:tr>
        <w:tc>
          <w:tcPr>
            <w:tcW w:type="dxa" w:w="11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18.575</w:t>
            </w:r>
          </w:p>
        </w:tc>
        <w:tc>
          <w:tcPr>
            <w:tcW w:type="dxa" w:w="145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Arts. 3°, 5° y 53</w:t>
            </w:r>
          </w:p>
        </w:tc>
        <w:tc>
          <w:tcPr>
            <w:tcW w:type="dxa" w:w="4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Eficiencia y eficacia; idónea administración de medios públicos; medios idóneos de diagnóstico, decisión y control</w:t>
            </w:r>
          </w:p>
        </w:tc>
        <w:tc>
          <w:tcPr>
            <w:tcW w:type="dxa" w:w="25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Estándar de gestión aplicable por triple vía (5.4)</w:t>
            </w:r>
          </w:p>
        </w:tc>
      </w:tr>
    </w:tbl>
    <w:p>
      <w:pPr>
        <w:spacing w:after="100"/>
      </w:pPr>
      <w:r>
        <w:rPr>
          <w:sz w:val="4"/>
          <w:szCs w:val="4"/>
        </w:rPr>
        <w:t xml:space="preserve"/>
      </w:r>
    </w:p>
    <w:p>
      <w:pPr>
        <w:pStyle w:val="Heading2"/>
      </w:pPr>
      <w:r>
        <w:t xml:space="preserve">16.4. Anexo D —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Término</w:t>
            </w:r>
          </w:p>
        </w:tc>
        <w:tc>
          <w:tcPr>
            <w:tcW w:type="dxa" w:w="70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Definición operativa en este informe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API</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Interfaz de programación que permite a sistemas distintos intercambiar datos bajo un contrato estable, separando presentación y lógica.</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API Gateway</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Punto único de entrada del clúster: valida credenciales, audita tráfico y enruta cada solicitud al servicio correspondiente.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BCrypt</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Algoritmo de protección de contraseñas mediante hash adaptativo con costo configurable.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Cadena de custodia</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Conjunto de actas, conteos, huellas criptográficas y firmas que acreditan que un dato migrado es íntegro y trazable respecto de su origen.</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Cifrado en reposo</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Protección criptográfica de los datos almacenados, de modo que el acceso físico al medio no revele su contenido.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Claim (token)</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Atributo contenido en la credencial digital —por ejemplo, sede y unidad— que los servicios usan para acotar cada consulta.</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Confianza Cero</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Paradigma de seguridad que no presume confiable ninguna red, exigiendo verificación explícita de cada acceso a cada recurso.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CORS</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Política del navegador que define desde qué orígenes web puede consumirse una API.</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CSP</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Política de seguridad de contenido del navegador que restringe qué recursos y scripts puede ejecutar una página, mitigando XSS.</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ETL</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Proceso automatizado de extracción, transformación y carga de datos entre sistemas.</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Frameset</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Técnica obsoleta de HTML que compone la pantalla con múltiples marcos anidados; rompe la navegación y dificulta la seguridad.</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Huella criptográfica (hash)</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Resumen matemático único de un contenido; cualquier alteración del contenido cambia la huella, lo que permite verificar integridad.</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IDOR</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Referencia directa insegura a objetos: exposición de identificadores internos que permite acceder a recursos ajenos alterando un parámetro.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InnoDB</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Motor de base de datos transaccional con integridad referencial y recuperación ante fallas.</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JWT</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Token firmado que porta la identidad y los atributos de la persona usuaria entre servicios, sin estado de sesión en el servidor.</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latin1 / utf8mb4</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Codificaciones de texto; la primera no cubre el repertorio Unicode completo, la segunda sí.</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Microservicio</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Servicio autónomo responsable de un subdominio del negocio, desplegable y escalable de forma independiente.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MinIO</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Almacén de objetos compatible con el estándar S3, usado para los expedientes y documentos del clúster.</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mTLS</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Autenticación mutua por certificados entre servicios, que cifra y verifica ambos extremos del canal.</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MyISAM</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Motor de base de datos sin transacciones ni claves foráneas efectivas; su recuperación ante caídas es por reparación de tablas.</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Patrón estrangulador</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Estrategia de reemplazo progresivo de un sistema legado, módulo a módulo, sin corte abrupto.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RabbitMQ</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Servicio de mensajería que desacopla procesos mediante colas, evitando bloqueos en la operación.</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Runbook</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Procedimiento operativo escrito y probado para desplegar, respaldar, revertir o recuperar un servicio.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Seudonimización</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Sustitución de identificadores directos por códigos, de modo que el dato no identifique a la persona sin información adicional resguardada.</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Snapshot desnormalizado</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Copia local y acotada de datos de otro servicio, mantenida por eventos, para evitar llamadas remotas constantes.</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TLS</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Cifrado del canal de comunicación que impide la captura del tráfico en tránsito.</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UUID (alt_key)</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Identificador universal estable, independiente de las llaves internas de cada base.</w:t>
            </w:r>
          </w:p>
        </w:tc>
      </w:tr>
      <w:tr>
        <w:tc>
          <w:tcPr>
            <w:tcW w:type="dxa" w:w="23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WSL</w:t>
            </w:r>
          </w:p>
        </w:tc>
        <w:tc>
          <w:tcPr>
            <w:tcW w:type="dxa" w:w="70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Subsistema de Windows para Linux, que permite ejecutar contenedores Docker sobre el Windows Server institucional.</w:t>
            </w:r>
          </w:p>
        </w:tc>
      </w:tr>
    </w:tbl>
    <w:p>
      <w:pPr>
        <w:spacing w:after="100"/>
      </w:pPr>
      <w:r>
        <w:rPr>
          <w:sz w:val="4"/>
          <w:szCs w:val="4"/>
        </w:rPr>
        <w:t xml:space="preserve"/>
      </w:r>
    </w:p>
    <w:p>
      <w:pPr>
        <w:pStyle w:val="Heading2"/>
      </w:pPr>
      <w:r>
        <w:t xml:space="preserve">16.5. Anexo E — Trazabilidad de las afirmaciones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3100"/>
      </w:tblGrid>
      <w:tr>
        <w:tc>
          <w:tcPr>
            <w:tcW w:type="dxa" w:w="626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Afirmación del informe</w:t>
            </w:r>
          </w:p>
        </w:tc>
        <w:tc>
          <w:tcPr>
            <w:tcW w:type="dxa" w:w="3100"/>
            <w:tcBorders>
              <w:top w:val="single" w:color="C9C9C9" w:sz="1"/>
              <w:left w:val="single" w:color="C9C9C9" w:sz="1"/>
              <w:bottom w:val="single" w:color="C9C9C9" w:sz="1"/>
              <w:right w:val="single" w:color="C9C9C9" w:sz="1"/>
            </w:tcBorders>
            <w:shd w:fill="EAEAEA" w:val="clear"/>
            <w:tcMar>
              <w:top w:type="dxa" w:w="70"/>
              <w:left w:type="dxa" w:w="110"/>
              <w:bottom w:type="dxa" w:w="70"/>
              <w:right w:type="dxa" w:w="110"/>
            </w:tcMar>
          </w:tcPr>
          <w:p>
            <w:pPr>
              <w:spacing w:after="0" w:line="252"/>
            </w:pPr>
            <w:r>
              <w:rPr>
                <w:b/>
                <w:bCs/>
                <w:sz w:val="19"/>
                <w:szCs w:val="19"/>
              </w:rPr>
              <w:t xml:space="preserve">Fuente que la sostiene</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SIGER opera con framesets HTML 4.01 anidados, sin API, con renderizado síncrono</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tráfico interno circula por HTTP sin TLS y expone IP y puertos internos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Existe vulnerabilidad IDOR: identificadores de base de datos en la URL con acceso entre unidades y sedes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refactorización del legado fue dictaminada inviable; se recomendó mantenimiento crítico</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D2</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stack contratado fue Tomcat 7.x, J2SDK 1.7 y MySQL 5.x; la oferta fue de 1.667,2 UF (convenio marco 2239-3-LP15)</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D3</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stack actual está fuera de soporte oficial de sus fabricantes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(y condición pública verificable de fin de ciclo de vida)</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ambiente productivo posee 285 tablas (149 funcionales; 136 de runtime, 103 en MyISAM) y los volúmenes aproximados de la sección 3.3</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(con limitación L1)</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esquema de plataforma en QA registra 122 tablas, 89 en MyISAM, totalidad en latin1, sin columnas binarias, con http_header varchar(4000)</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D8; Anexo A (con limitaciones L2 y L7)</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FIR exige acceso restringido, versionado y cifrado, y se activa en complejidad mediana o alta</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 D7; RF019 en D3</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acción Responder inmediatamente registra pero no envía comunicaciones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D6</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El Gateway valida JWT forzando el algoritmo de firma y normaliza errores; el clúster opera seis servicios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D9</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identidad implementa la jerarquía Sede, Unidad, Profesional con claims territoriales, BCrypt y respuesta antienumeración</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D10</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SGS persiste el desdoble propuesta algorítmica inmutable y veredicto humano, con auditoría de modelo, tokens y hashes, nunca contenido</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D11</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ESNNA computa el semáforo con regla determinista en el backend y audita modelos, versión de protocolo, hashes, usuario, tokens y costo</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D14</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deuda declarada del clúster (secretos en configuración, autorización por roles desactivada, esquema en modo automático, cifrado en reposo pendiente)</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D10, D11, D12, D13, D14</w:t>
            </w:r>
          </w:p>
        </w:tc>
      </w:tr>
      <w:tr>
        <w:tc>
          <w:tcPr>
            <w:tcW w:type="dxa" w:w="626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La vigencia de la Ley N° 21.719 es el 1 de diciembre de 2026, sin gracia para órganos públicos; responsabilidad personal de jefaturas y funcionarios</w:t>
            </w:r>
          </w:p>
        </w:tc>
        <w:tc>
          <w:tcPr>
            <w:tcW w:type="dxa" w:w="3100"/>
            <w:tcBorders>
              <w:top w:val="single" w:color="C9C9C9" w:sz="1"/>
              <w:left w:val="single" w:color="C9C9C9" w:sz="1"/>
              <w:bottom w:val="single" w:color="C9C9C9" w:sz="1"/>
              <w:right w:val="single" w:color="C9C9C9" w:sz="1"/>
            </w:tcBorders>
            <w:tcMar>
              <w:top w:type="dxa" w:w="70"/>
              <w:left w:type="dxa" w:w="110"/>
              <w:bottom w:type="dxa" w:w="70"/>
              <w:right w:type="dxa" w:w="110"/>
            </w:tcMar>
          </w:tcPr>
          <w:p>
            <w:pPr>
              <w:spacing w:after="0" w:line="252"/>
            </w:pPr>
            <w:r>
              <w:rPr>
                <w:b w:val="false"/>
                <w:bCs w:val="false"/>
                <w:sz w:val="19"/>
                <w:szCs w:val="19"/>
              </w:rPr>
              <w:t xml:space="preserve">Ley 21.719: transitoria primera y sexta; arts. 44 a 46</w:t>
            </w:r>
          </w:p>
        </w:tc>
      </w:tr>
    </w:tbl>
    <w:p>
      <w:pPr>
        <w:spacing w:after="100"/>
      </w:pPr>
      <w:r>
        <w:rPr>
          <w:sz w:val="4"/>
          <w:szCs w:val="4"/>
        </w:rPr>
        <w:t xml:space="preserve"/>
      </w:r>
    </w:p>
    <w:p>
      <w:pPr>
        <w:spacing w:after="100"/>
      </w:pPr>
      <w:r>
        <w:rPr>
          <w:color w:val="595959"/>
          <w:sz w:val="17"/>
          <w:szCs w:val="17"/>
        </w:rPr>
        <w:t xml:space="preserve">Fin del documento. Las observaciones de las unidades destinatarias se incorporarán en la versión 1.1 conforme al control del documento.</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Obsolescencia de SIGER y Consolidación de la Nueva Arquitectura Institucional — v1.0</w:t>
    </w:r>
    <w:r>
      <w:rPr>
        <w:color w:val="595959"/>
        <w:sz w:val="16"/>
        <w:szCs w:val="16"/>
      </w:rPr>
      <w:t xml:space="preserve">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2"/>
        <w:szCs w:val="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Defensoría de los Derechos de la Niñez</w:t>
    </w:r>
    <w:r>
      <w:rPr>
        <w:color w:val="595959"/>
        <w:sz w:val="16"/>
        <w:szCs w:val="16"/>
      </w:rPr>
      <w:t xml:space="preserve">	Informe Técnico-Jurídico · Reservado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00000"/>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1A"/>
      <w:sz w:val="25"/>
      <w:szCs w:val="25"/>
    </w:rPr>
  </w:style>
  <w:style w:type="paragraph" w:styleId="Heading3">
    <w:name w:val="Heading 3"/>
    <w:basedOn w:val="Normal"/>
    <w:next w:val="Normal"/>
    <w:qFormat/>
    <w:pPr>
      <w:spacing w:after="110" w:before="220"/>
      <w:outlineLvl w:val="2"/>
    </w:pPr>
    <w:rPr>
      <w:rFonts w:ascii="Arial" w:cs="Arial" w:eastAsia="Arial" w:hAnsi="Arial"/>
      <w:b/>
      <w:bCs/>
      <w:i/>
      <w:i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2026-06-11T10:28:12.435Z</dcterms:created>
  <dcterms:modified xsi:type="dcterms:W3CDTF">2026-06-11T10:28:12.435Z</dcterms:modified>
</cp:coreProperties>
</file>

<file path=docProps/custom.xml><?xml version="1.0" encoding="utf-8"?>
<Properties xmlns="http://schemas.openxmlformats.org/officeDocument/2006/custom-properties" xmlns:vt="http://schemas.openxmlformats.org/officeDocument/2006/docPropsVTypes"/>
</file>