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DEFENSORÍA DE LOS DERECHOS DE LA NIÑEZ</w:t>
      </w:r>
    </w:p>
    <w:p>
      <w:pPr>
        <w:pBdr>
          <w:bottom w:val="single" w:color="404040" w:sz="8" w:space="8"/>
        </w:pBdr>
        <w:spacing w:after="200"/>
        <w:jc w:val="center"/>
      </w:pPr>
      <w:r>
        <w:rPr>
          <w:color w:val="595959"/>
          <w:sz w:val="18"/>
          <w:szCs w:val="18"/>
        </w:rPr>
        <w:t xml:space="preserve">República de Chile</w:t>
      </w:r>
    </w:p>
    <w:p>
      <w:pPr>
        <w:spacing w:after="40"/>
      </w:pPr>
      <w:r>
        <w:rPr>
          <w:b/>
          <w:bCs/>
          <w:color w:val="7A1F1F"/>
          <w:sz w:val="23"/>
          <w:szCs w:val="23"/>
        </w:rPr>
        <w:t xml:space="preserve">MINUTA DE GESTIÓN DIRECTIVA N° 1/2026</w:t>
      </w:r>
    </w:p>
    <w:p>
      <w:pPr>
        <w:spacing w:after="140" w:line="290"/>
      </w:pPr>
      <w:r>
        <w:rPr>
          <w:b/>
          <w:bCs/>
          <w:sz w:val="28"/>
          <w:szCs w:val="28"/>
        </w:rPr>
        <w:t xml:space="preserve">Diagnóstico normativo: por qué el sistema actual constituye hoy un riesgo operacional para la confidencialidad de los datos de NNA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Fecha: </w:t>
      </w:r>
      <w:r>
        <w:rPr>
          <w:color w:val="333333"/>
          <w:sz w:val="18"/>
          <w:szCs w:val="18"/>
        </w:rPr>
        <w:t xml:space="preserve">10 de junio de 2026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Origen: </w:t>
      </w:r>
      <w:r>
        <w:rPr>
          <w:color w:val="333333"/>
          <w:sz w:val="18"/>
          <w:szCs w:val="18"/>
        </w:rPr>
        <w:t xml:space="preserve">Desarrollo Institucional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Distribución: </w:t>
      </w:r>
      <w:r>
        <w:rPr>
          <w:color w:val="333333"/>
          <w:sz w:val="18"/>
          <w:szCs w:val="18"/>
        </w:rPr>
        <w:t xml:space="preserve">Todas las jefaturas, unidades y funcionarias/os de la Defensoría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Carácter: </w:t>
      </w:r>
      <w:r>
        <w:rPr>
          <w:color w:val="333333"/>
          <w:sz w:val="18"/>
          <w:szCs w:val="18"/>
        </w:rPr>
        <w:t xml:space="preserve">Reservado — uso interno institucional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Referencia: </w:t>
      </w:r>
      <w:r>
        <w:rPr>
          <w:color w:val="333333"/>
          <w:sz w:val="18"/>
          <w:szCs w:val="18"/>
        </w:rPr>
        <w:t xml:space="preserve">Informe Técnico-Jurídico-Administrativo «Obsolescencia de SIGER y Consolidación de la Nueva Arquitectura Institucional», v1.0 (10-06-2026)</w:t>
      </w:r>
    </w:p>
    <w:p>
      <w:pPr>
        <w:pBdr>
          <w:bottom w:val="single" w:color="BFBFBF" w:sz="4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1. Objeto de esta minuta</w:t>
      </w:r>
    </w:p>
    <w:p>
      <w:pPr>
        <w:spacing w:after="110" w:line="280"/>
        <w:jc w:val="both"/>
      </w:pPr>
      <w:r>
        <w:t xml:space="preserve">Esta minuta levanta, con transparencia y responsabilidad, el estado real de la plataforma que sostiene la operación nacional de requerimientos y casos (SIGER). No es una queja informática ni una solicitud de equipamiento: es la </w:t>
      </w:r>
      <w:r>
        <w:rPr>
          <w:b/>
          <w:bCs/>
        </w:rPr>
        <w:t xml:space="preserve">identificación formal de un riesgo institucional que ya tiene una solución soberana en ejecución</w:t>
      </w:r>
      <w:r>
        <w:t xml:space="preserve">, descrita en las Minutas N° 2 y N° 3. Su contenido resume, en lenguaje de gestión, el Informe Técnico-Jurídico-Administrativo de referencia, disponible íntegro para las jefaturas que requieran el detalle y la evidencia.</w:t>
      </w:r>
    </w:p>
    <w:p>
      <w:pPr>
        <w:pStyle w:val="Heading1"/>
      </w:pPr>
      <w:r>
        <w:t xml:space="preserve">2. Un ciclo tecnológico cumplido, no un diseño fallido</w:t>
      </w:r>
    </w:p>
    <w:p>
      <w:pPr>
        <w:spacing w:after="110" w:line="280"/>
        <w:jc w:val="both"/>
      </w:pPr>
      <w:r>
        <w:t xml:space="preserve">SIGER fue construido en 2019 conforme a las prácticas y herramientas correctas de su época, y ha prestado años de servicio valioso. Nada de lo que sigue constituye una crítica a su diseño original ni a quienes lo operaron: </w:t>
      </w:r>
      <w:r>
        <w:rPr>
          <w:b/>
          <w:bCs/>
        </w:rPr>
        <w:t xml:space="preserve">lo que ocurrió es que su ciclo tecnológico terminó</w:t>
      </w:r>
      <w:r>
        <w:t xml:space="preserve">. Los fabricantes de los componentes sobre los que funciona </w:t>
      </w:r>
      <w:r>
        <w:rPr>
          <w:b/>
          <w:bCs/>
        </w:rPr>
        <w:t xml:space="preserve">dejaron de darles soporte hace años</w:t>
      </w:r>
      <w:r>
        <w:t xml:space="preserve">, lo que significa que las fallas de seguridad que se descubren en ellos </w:t>
      </w:r>
      <w:r>
        <w:rPr>
          <w:b/>
          <w:bCs/>
        </w:rPr>
        <w:t xml:space="preserve">ya no reciben ni recibirán reparación</w:t>
      </w:r>
      <w:r>
        <w:t xml:space="preserve">, por mucho esfuerzo o presupuesto que la institución destine. A ello se suma una fragilidad interna documentada: ante una falla en plena operación, el sistema </w:t>
      </w:r>
      <w:r>
        <w:rPr>
          <w:b/>
          <w:bCs/>
        </w:rPr>
        <w:t xml:space="preserve">puede dejar registros a medio camino</w:t>
      </w:r>
      <w:r>
        <w:t xml:space="preserve">, con </w:t>
      </w:r>
      <w:r>
        <w:rPr>
          <w:b/>
          <w:bCs/>
        </w:rPr>
        <w:t xml:space="preserve">riesgo físico de alteración o pérdida de relatos</w:t>
      </w:r>
      <w:r>
        <w:t xml:space="preserve"> y antecedentes de los casos. El estándar legal y de seguridad cambió después de su construcción; la plataforma, sencillamente, no puede acompañarlo.</w:t>
      </w:r>
    </w:p>
    <w:p>
      <w:pPr>
        <w:pStyle w:val="Heading1"/>
      </w:pPr>
      <w:r>
        <w:t xml:space="preserve">3. El hallazgo de máxima gravedad: acceso cruzado entre sedes y unidades</w:t>
      </w:r>
    </w:p>
    <w:p>
      <w:pPr>
        <w:spacing w:after="110" w:line="280"/>
        <w:jc w:val="both"/>
      </w:pPr>
      <w:r>
        <w:t xml:space="preserve">La auditoría técnica documentó una </w:t>
      </w:r>
      <w:r>
        <w:rPr>
          <w:b/>
          <w:bCs/>
        </w:rPr>
        <w:t xml:space="preserve">vulnerabilidad de acceso cruzado que rompe la confidencialidad territorial</w:t>
      </w:r>
      <w:r>
        <w:t xml:space="preserve">: el sistema identifica cada expediente con un número visible en la dirección de navegación (URL) y </w:t>
      </w:r>
      <w:r>
        <w:rPr>
          <w:b/>
          <w:bCs/>
        </w:rPr>
        <w:t xml:space="preserve">no verifica, registro a registro, si quien consulta tiene permiso sobre ese expediente</w:t>
      </w:r>
      <w:r>
        <w:t xml:space="preserve">. Confía únicamente en que la persona está dentro de la red institucional. En consecuencia, </w:t>
      </w:r>
      <w:r>
        <w:rPr>
          <w:b/>
          <w:bCs/>
        </w:rPr>
        <w:t xml:space="preserve">cualquier credencial básica válida puede, alterando ese número, llegar a expedientes de otras sedes y de otras unidades</w:t>
      </w:r>
      <w:r>
        <w:t xml:space="preserve">, incluidas las </w:t>
      </w:r>
      <w:r>
        <w:rPr>
          <w:b/>
          <w:bCs/>
        </w:rPr>
        <w:t xml:space="preserve">Fichas Internas Reservadas (FIR)</w:t>
      </w:r>
      <w:r>
        <w:t xml:space="preserve"> —el repositorio más sensible de la institución, que reúne relatos de vulneraciones, análisis de criticidad, testigos y antecedentes judiciales custodiados por la UPRJ y por cada región—. La puerta del edificio está cerrada; </w:t>
      </w:r>
      <w:r>
        <w:rPr>
          <w:b/>
          <w:bCs/>
        </w:rPr>
        <w:t xml:space="preserve">las puertas interiores no existen</w:t>
      </w:r>
      <w:r>
        <w:t xml:space="preserve">.</w:t>
      </w:r>
    </w:p>
    <w:p>
      <w:pPr>
        <w:pStyle w:val="Heading1"/>
      </w:pPr>
      <w:r>
        <w:t xml:space="preserve">4. Lo que esto significa hoy frente a la Ley N° 21.430</w:t>
      </w:r>
    </w:p>
    <w:p>
      <w:pPr>
        <w:spacing w:after="110" w:line="280"/>
        <w:jc w:val="both"/>
      </w:pPr>
      <w:r>
        <w:t xml:space="preserve">El deber de reserva y confidencialidad sobre la información de los NNA </w:t>
      </w:r>
      <w:r>
        <w:rPr>
          <w:b/>
          <w:bCs/>
        </w:rPr>
        <w:t xml:space="preserve">rige hoy</w:t>
      </w:r>
      <w:r>
        <w:t xml:space="preserve">, no en el futuro: los artículos 33 y 64 de la Ley N° 21.430 obligan a guardar reserva y a </w:t>
      </w:r>
      <w:r>
        <w:rPr>
          <w:b/>
          <w:bCs/>
        </w:rPr>
        <w:t xml:space="preserve">adoptar las medidas oportunas sobre la información y sobre los registros donde ella consta</w:t>
      </w:r>
      <w:r>
        <w:t xml:space="preserve">. La conclusión de esta minuta es directa y debe decirse con todas sus letras: </w:t>
      </w:r>
      <w:r>
        <w:rPr>
          <w:b/>
          <w:bCs/>
        </w:rPr>
        <w:t xml:space="preserve">hoy, el cumplimiento de ese deber descansa en la buena fe, el criterio y la disciplina de cada funcionaria y funcionario, y no en la seguridad de la plataforma</w:t>
      </w:r>
      <w:r>
        <w:t xml:space="preserve">. El equipo humano de la Defensoría ha sostenido esa confidencialidad con su conducta; pero una obligación legal de esta entidad </w:t>
      </w:r>
      <w:r>
        <w:rPr>
          <w:b/>
          <w:bCs/>
        </w:rPr>
        <w:t xml:space="preserve">no puede depender de la suerte ni de la memoria: debe ser una propiedad del sistema</w:t>
      </w:r>
      <w:r>
        <w:t xml:space="preserve">.</w:t>
      </w:r>
    </w:p>
    <w:p>
      <w:pPr>
        <w:pStyle w:val="Heading1"/>
      </w:pPr>
      <w:r>
        <w:t xml:space="preserve">5. Qué se solicita en lo inmediato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Tratar esta minuta y su informe de respaldo con reserva estricta</w:t>
      </w:r>
      <w:r>
        <w:t xml:space="preserve">: describe debilidades de un sistema aún en producción.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Reforzar prácticas de cuidado</w:t>
      </w:r>
      <w:r>
        <w:t xml:space="preserve"> mientras dura la transición: no compartir enlaces internos del sistema fuera del circuito de trabajo y canalizar toda anomalía de acceso a la jefatura directa.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Respaldar la estrategia de transición ya en ejecución</w:t>
      </w:r>
      <w:r>
        <w:t xml:space="preserve">, cuyo calendario y compromisos se presentan en las Minutas N° 2 y N° 3.</w:t>
      </w:r>
    </w:p>
    <w:p>
      <w:pPr>
        <w:pBdr>
          <w:left w:val="single" w:color="BFBFBF" w:sz="14" w:space="6"/>
        </w:pBdr>
        <w:spacing w:after="110" w:line="268"/>
        <w:ind w:left="420"/>
      </w:pPr>
      <w:r>
        <w:rPr>
          <w:i/>
          <w:iCs/>
          <w:color w:val="444444"/>
        </w:rPr>
        <w:t xml:space="preserve">La confidencialidad territorial de los datos de NNA no se decreta: se construye en la plataforma. Ese es exactamente el trabajo que está en curso.</w:t>
      </w:r>
    </w:p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Minuta N° 1 — Diagnóstico normativo del sistema actual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Defensoría de los Derechos de la Niñez</w:t>
    </w:r>
    <w:r>
      <w:rPr>
        <w:color w:val="595959"/>
        <w:sz w:val="16"/>
        <w:szCs w:val="16"/>
      </w:rPr>
      <w:t xml:space="preserve">	Minuta de Gestión Directiva · Reservado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2026-06-11T11:06:18.024Z</dcterms:created>
  <dcterms:modified xsi:type="dcterms:W3CDTF">2026-06-11T11:06:18.041Z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