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DEFENSORÍA DE LOS DERECHOS DE LA NIÑEZ</w:t>
      </w:r>
    </w:p>
    <w:p>
      <w:pPr>
        <w:pBdr>
          <w:bottom w:val="single" w:color="404040" w:sz="8" w:space="8"/>
        </w:pBdr>
        <w:spacing w:after="200"/>
        <w:jc w:val="center"/>
      </w:pPr>
      <w:r>
        <w:rPr>
          <w:color w:val="595959"/>
          <w:sz w:val="18"/>
          <w:szCs w:val="18"/>
        </w:rPr>
        <w:t xml:space="preserve">República de Chile</w:t>
      </w:r>
    </w:p>
    <w:p>
      <w:pPr>
        <w:spacing w:after="40"/>
      </w:pPr>
      <w:r>
        <w:rPr>
          <w:b/>
          <w:bCs/>
          <w:color w:val="7A1F1F"/>
          <w:sz w:val="23"/>
          <w:szCs w:val="23"/>
        </w:rPr>
        <w:t xml:space="preserve">MINUTA DE GESTIÓN DIRECTIVA N° 2/2026</w:t>
      </w:r>
    </w:p>
    <w:p>
      <w:pPr>
        <w:spacing w:after="140" w:line="290"/>
      </w:pPr>
      <w:r>
        <w:rPr>
          <w:b/>
          <w:bCs/>
          <w:sz w:val="28"/>
          <w:szCs w:val="28"/>
        </w:rPr>
        <w:t xml:space="preserve">La palanca legal y la urgencia institucional: plazos fatales del nuevo régimen de protección de datos personales (Ley N° 21.719)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Fecha: </w:t>
      </w:r>
      <w:r>
        <w:rPr>
          <w:color w:val="333333"/>
          <w:sz w:val="18"/>
          <w:szCs w:val="18"/>
        </w:rPr>
        <w:t xml:space="preserve">10 de junio de 2026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Origen: </w:t>
      </w:r>
      <w:r>
        <w:rPr>
          <w:color w:val="333333"/>
          <w:sz w:val="18"/>
          <w:szCs w:val="18"/>
        </w:rPr>
        <w:t xml:space="preserve">Desarrollo Institucional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Distribución: </w:t>
      </w:r>
      <w:r>
        <w:rPr>
          <w:color w:val="333333"/>
          <w:sz w:val="18"/>
          <w:szCs w:val="18"/>
        </w:rPr>
        <w:t xml:space="preserve">Todas las jefaturas, unidades y funcionarias/os de la Defensoría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Carácter: </w:t>
      </w:r>
      <w:r>
        <w:rPr>
          <w:color w:val="333333"/>
          <w:sz w:val="18"/>
          <w:szCs w:val="18"/>
        </w:rPr>
        <w:t xml:space="preserve">Reservado — uso interno institucional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Referencia: </w:t>
      </w:r>
      <w:r>
        <w:rPr>
          <w:color w:val="333333"/>
          <w:sz w:val="18"/>
          <w:szCs w:val="18"/>
        </w:rPr>
        <w:t xml:space="preserve">Informe Técnico-Jurídico-Administrativo «Obsolescencia de SIGER y Consolidación de la Nueva Arquitectura Institucional», v1.0 (10-06-2026)</w:t>
      </w:r>
    </w:p>
    <w:p>
      <w:pPr>
        <w:pBdr>
          <w:bottom w:val="single" w:color="BFBFBF" w:sz="4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1. La fecha que ordena todas las decisiones</w:t>
      </w:r>
    </w:p>
    <w:p>
      <w:pPr>
        <w:spacing w:after="110" w:line="280"/>
        <w:jc w:val="both"/>
      </w:pPr>
      <w:r>
        <w:t xml:space="preserve">El </w:t>
      </w:r>
      <w:r>
        <w:rPr>
          <w:b/>
          <w:bCs/>
        </w:rPr>
        <w:t xml:space="preserve">1 de diciembre de 2026</w:t>
      </w:r>
      <w:r>
        <w:t xml:space="preserve"> entra en vigencia el nuevo régimen de protección de datos personales de la </w:t>
      </w:r>
      <w:r>
        <w:rPr>
          <w:b/>
          <w:bCs/>
        </w:rPr>
        <w:t xml:space="preserve">Ley N° 21.719</w:t>
      </w:r>
      <w:r>
        <w:t xml:space="preserve">. La fecha no es estimada ni interpretable: está fijada en la propia ley. Y un punto debe quedar establecido desde la primera línea: </w:t>
      </w:r>
      <w:r>
        <w:rPr>
          <w:b/>
          <w:bCs/>
        </w:rPr>
        <w:t xml:space="preserve">la gradualidad inicial que la norma contempla beneficia solo a pequeñas y medianas empresas; para los órganos públicos no existe período de gracia</w:t>
      </w:r>
      <w:r>
        <w:t xml:space="preserve">. Desde ese día, la Defensoría —que custodia datos sensibles de NNA, la categoría más protegida del nuevo régimen— queda plenamente sujeta a fiscalización de la nueva Agencia de Protección de Datos Personales.</w:t>
      </w:r>
    </w:p>
    <w:p>
      <w:pPr>
        <w:pStyle w:val="Heading1"/>
      </w:pPr>
      <w:r>
        <w:t xml:space="preserve">2. Consecuencias directas y personales para la autoridad y los equipos</w:t>
      </w:r>
    </w:p>
    <w:p>
      <w:pPr>
        <w:spacing w:after="110" w:line="280"/>
        <w:jc w:val="both"/>
      </w:pPr>
      <w:r>
        <w:t xml:space="preserve">La novedad de fondo del nuevo régimen no es técnica: es que </w:t>
      </w:r>
      <w:r>
        <w:rPr>
          <w:b/>
          <w:bCs/>
        </w:rPr>
        <w:t xml:space="preserve">traslada las consecuencias del sistema a las personas</w:t>
      </w:r>
      <w:r>
        <w:t xml:space="preserve">. En traducción directa: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5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Consecuencia establecida por la ley</w:t>
            </w:r>
          </w:p>
        </w:tc>
      </w:tr>
      <w:t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Infracción del órgano en el tratamiento de datos</w:t>
            </w:r>
          </w:p>
        </w:tc>
        <w:tc>
          <w:tcPr>
            <w:tcW w:type="dxa" w:w="5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Multa directa al sueldo de la jefatura superior</w:t>
            </w:r>
            <w:r>
              <w:rPr>
                <w:b w:val="false"/>
                <w:bCs w:val="false"/>
                <w:sz w:val="19"/>
                <w:szCs w:val="19"/>
              </w:rPr>
              <w:t xml:space="preserve">: entre el 20 y el 50 por ciento de su remuneración mensual</w:t>
            </w:r>
          </w:p>
        </w:tc>
      </w:tr>
      <w:t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Infracción que involucra datos sensibles (los de NNA lo son)</w:t>
            </w:r>
          </w:p>
        </w:tc>
        <w:tc>
          <w:tcPr>
            <w:tcW w:type="dxa" w:w="5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Multa del </w:t>
            </w:r>
            <w:r>
              <w:rPr>
                <w:b w:val="false"/>
                <w:bCs w:val="false"/>
                <w:sz w:val="19"/>
                <w:szCs w:val="19"/>
              </w:rPr>
              <w:t xml:space="preserve">50 por ciento de la remuneración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 la jefatura superior y </w:t>
            </w:r>
            <w:r>
              <w:rPr>
                <w:b w:val="false"/>
                <w:bCs w:val="false"/>
                <w:sz w:val="19"/>
                <w:szCs w:val="19"/>
              </w:rPr>
              <w:t xml:space="preserve">suspensión del cargo de hasta 30 días</w:t>
            </w:r>
          </w:p>
        </w:tc>
      </w:tr>
      <w:t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Persistencia en la infracción</w:t>
            </w:r>
          </w:p>
        </w:tc>
        <w:tc>
          <w:tcPr>
            <w:tcW w:type="dxa" w:w="5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doble de la sanción</w:t>
            </w:r>
            <w:r>
              <w:rPr>
                <w:b w:val="false"/>
                <w:bCs w:val="false"/>
                <w:sz w:val="19"/>
                <w:szCs w:val="19"/>
              </w:rPr>
              <w:t xml:space="preserve"> originalmente impuesta</w:t>
            </w:r>
          </w:p>
        </w:tc>
      </w:tr>
      <w:t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sanción firme</w:t>
            </w:r>
          </w:p>
        </w:tc>
        <w:tc>
          <w:tcPr>
            <w:tcW w:type="dxa" w:w="5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Publicación obligatoria en el sitio web de la Agencia y del propio órgano</w:t>
            </w:r>
            <w:r>
              <w:rPr>
                <w:b w:val="false"/>
                <w:bCs w:val="false"/>
                <w:sz w:val="19"/>
                <w:szCs w:val="19"/>
              </w:rPr>
              <w:t xml:space="preserve">: la consecuencia es pública, no interna</w:t>
            </w:r>
          </w:p>
        </w:tc>
      </w:tr>
      <w:tr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Responsabilidad de funcionarias/os</w:t>
            </w:r>
          </w:p>
        </w:tc>
        <w:tc>
          <w:tcPr>
            <w:tcW w:type="dxa" w:w="5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Sumarios conducidos por la Contraloría</w:t>
            </w:r>
            <w:r>
              <w:rPr>
                <w:b w:val="false"/>
                <w:bCs w:val="false"/>
                <w:sz w:val="19"/>
                <w:szCs w:val="19"/>
              </w:rPr>
              <w:t xml:space="preserve"> a petición de la Agencia; las infracciones más severas se califican como </w:t>
            </w:r>
            <w:r>
              <w:rPr>
                <w:b w:val="false"/>
                <w:bCs w:val="false"/>
                <w:sz w:val="19"/>
                <w:szCs w:val="19"/>
              </w:rPr>
              <w:t xml:space="preserve">falta grave a la probidad administrativa</w:t>
            </w:r>
          </w:p>
        </w:tc>
      </w:tr>
    </w:tbl>
    <w:p>
      <w:pPr>
        <w:spacing w:after="90"/>
      </w:pPr>
      <w:r>
        <w:rPr>
          <w:sz w:val="4"/>
          <w:szCs w:val="4"/>
        </w:rPr>
        <w:t xml:space="preserve"/>
      </w:r>
    </w:p>
    <w:p>
      <w:pPr>
        <w:spacing w:after="110" w:line="280"/>
        <w:jc w:val="both"/>
      </w:pPr>
      <w:r>
        <w:t xml:space="preserve">A ello se suman deberes nuevos y verificables: medidas de seguridad </w:t>
      </w:r>
      <w:r>
        <w:rPr>
          <w:b/>
          <w:bCs/>
        </w:rPr>
        <w:t xml:space="preserve">adecuadas desde el diseño</w:t>
      </w:r>
      <w:r>
        <w:t xml:space="preserve"> de los sistemas, y la obligación de </w:t>
      </w:r>
      <w:r>
        <w:rPr>
          <w:b/>
          <w:bCs/>
        </w:rPr>
        <w:t xml:space="preserve">detectar y comunicar las fallas de seguridad</w:t>
      </w:r>
      <w:r>
        <w:t xml:space="preserve"> —omitir esa comunicación es, por sí sola, una infracción grave—.</w:t>
      </w:r>
    </w:p>
    <w:p>
      <w:pPr>
        <w:pStyle w:val="Heading1"/>
      </w:pPr>
      <w:r>
        <w:t xml:space="preserve">3. Por qué el cumplimiento no se puede improvisar</w:t>
      </w:r>
    </w:p>
    <w:p>
      <w:pPr>
        <w:spacing w:after="110" w:line="280"/>
        <w:jc w:val="both"/>
      </w:pPr>
      <w:r>
        <w:t xml:space="preserve">Cumplir este régimen </w:t>
      </w:r>
      <w:r>
        <w:rPr>
          <w:b/>
          <w:bCs/>
        </w:rPr>
        <w:t xml:space="preserve">no consiste en firmar un protocolo en noviembre</w:t>
      </w:r>
      <w:r>
        <w:t xml:space="preserve">: consiste en tener un sistema operando con medidas verificables y un expediente de evidencia que lo demuestre. Construir eso toma, según el plan validado, </w:t>
      </w:r>
      <w:r>
        <w:rPr>
          <w:b/>
          <w:bCs/>
        </w:rPr>
        <w:t xml:space="preserve">entre 24 y 32 semanas de trabajo</w:t>
      </w:r>
      <w:r>
        <w:t xml:space="preserve">. Entre hoy y el 1 de enero de 2027 median exactamente </w:t>
      </w:r>
      <w:r>
        <w:rPr>
          <w:b/>
          <w:bCs/>
        </w:rPr>
        <w:t xml:space="preserve">29 semanas</w:t>
      </w:r>
      <w:r>
        <w:t xml:space="preserve">. La aritmética es la conclusión: </w:t>
      </w:r>
      <w:r>
        <w:rPr>
          <w:b/>
          <w:bCs/>
        </w:rPr>
        <w:t xml:space="preserve">la ventana disponible es el tiempo justo para una transición segura y ordenada; cada semana de demora consume el único margen que existe</w:t>
      </w:r>
      <w:r>
        <w:t xml:space="preserve">.</w:t>
      </w:r>
    </w:p>
    <w:p>
      <w:pPr>
        <w:pStyle w:val="Heading1"/>
      </w:pPr>
      <w:r>
        <w:t xml:space="preserve">4. La protección de la firma de la autoridad</w:t>
      </w:r>
    </w:p>
    <w:p>
      <w:pPr>
        <w:spacing w:after="110" w:line="280"/>
        <w:jc w:val="both"/>
      </w:pPr>
      <w:r>
        <w:t xml:space="preserve">La estrategia institucional en curso contempla una </w:t>
      </w:r>
      <w:r>
        <w:rPr>
          <w:b/>
          <w:bCs/>
        </w:rPr>
        <w:t xml:space="preserve">Fase Beta en marcha blanca durante este mismo semestre</w:t>
      </w:r>
      <w:r>
        <w:t xml:space="preserve">, que genera —antes del plazo legal— el expediente que acredita ante la Agencia la </w:t>
      </w:r>
      <w:r>
        <w:rPr>
          <w:b/>
          <w:bCs/>
        </w:rPr>
        <w:t xml:space="preserve">adopción anticipada y proactiva de medidas técnicas adecuadas</w:t>
      </w:r>
      <w:r>
        <w:t xml:space="preserve">: acceso territorial verificado registro a registro, huella de toda consulta a información reservada y cierre calendarizado de cada brecha conocida. Ese expediente es la </w:t>
      </w:r>
      <w:r>
        <w:rPr>
          <w:b/>
          <w:bCs/>
        </w:rPr>
        <w:t xml:space="preserve">mejor defensa administrativa posible de la jefatura superior y de cada firma institucional</w:t>
      </w:r>
      <w:r>
        <w:t xml:space="preserve">: ante cualquier fiscalización, la Defensoría exhibe diligencia documentada y medidas en operación, no promesas. Llegar a diciembre cumpliendo no será cuestión de suerte: </w:t>
      </w:r>
      <w:r>
        <w:rPr>
          <w:b/>
          <w:bCs/>
        </w:rPr>
        <w:t xml:space="preserve">será el resultado de decisiones tomadas en junio</w:t>
      </w:r>
      <w:r>
        <w:t xml:space="preserve">.</w:t>
      </w:r>
    </w:p>
    <w:p>
      <w:pPr>
        <w:pStyle w:val="Heading1"/>
      </w:pPr>
      <w:r>
        <w:t xml:space="preserve">5. Decisiones que se solicitan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Sancionar las fechas ancla</w:t>
      </w:r>
      <w:r>
        <w:t xml:space="preserve"> del programa: acreditación de medidas no posterior al </w:t>
      </w:r>
      <w:r>
        <w:rPr>
          <w:b/>
          <w:bCs/>
        </w:rPr>
        <w:t xml:space="preserve">1 de noviembre de 2026</w:t>
      </w:r>
      <w:r>
        <w:t xml:space="preserve">; decisión de continuidad el </w:t>
      </w:r>
      <w:r>
        <w:rPr>
          <w:b/>
          <w:bCs/>
        </w:rPr>
        <w:t xml:space="preserve">15 de diciembre</w:t>
      </w:r>
      <w:r>
        <w:t xml:space="preserve">; congelamiento del sistema actual el </w:t>
      </w:r>
      <w:r>
        <w:rPr>
          <w:b/>
          <w:bCs/>
        </w:rPr>
        <w:t xml:space="preserve">31 de diciembre</w:t>
      </w:r>
      <w:r>
        <w:t xml:space="preserve">; operación oficial el </w:t>
      </w:r>
      <w:r>
        <w:rPr>
          <w:b/>
          <w:bCs/>
        </w:rPr>
        <w:t xml:space="preserve">1 de enero de 2027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Instruir a Administración y Finanzas</w:t>
      </w:r>
      <w:r>
        <w:t xml:space="preserve"> la elaboración del presupuesto detallado del programa como primer entregable de la fase de arranque.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Encargar a Fiscalía</w:t>
      </w:r>
      <w:r>
        <w:t xml:space="preserve"> la evaluación de impacto en protección de datos y la validación del marco aplicado, incluida la regulación de todo proveedor externo de procesamiento.</w:t>
      </w:r>
    </w:p>
    <w:p>
      <w:pPr>
        <w:pBdr>
          <w:left w:val="single" w:color="BFBFBF" w:sz="14" w:space="6"/>
        </w:pBdr>
        <w:spacing w:after="110" w:line="268"/>
        <w:ind w:left="420"/>
      </w:pPr>
      <w:r>
        <w:rPr>
          <w:i/>
          <w:iCs/>
          <w:color w:val="444444"/>
        </w:rPr>
        <w:t xml:space="preserve">El riesgo ya existe; lo único que vence el 1 de diciembre es la oportunidad de demostrarle a la Agencia que la institución actuó antes y por decisión propia.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Minuta N° 2 — Urgencia institucional y plazos legales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Defensoría de los Derechos de la Niñez</w:t>
    </w:r>
    <w:r>
      <w:rPr>
        <w:color w:val="595959"/>
        <w:sz w:val="16"/>
        <w:szCs w:val="16"/>
      </w:rPr>
      <w:t xml:space="preserve">	Minuta de Gestión Directiva · Reservado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2026-06-11T11:06:18.272Z</dcterms:created>
  <dcterms:modified xsi:type="dcterms:W3CDTF">2026-06-11T11:06:18.272Z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