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DEFENSORÍA DE LOS DERECHOS DE LA NIÑEZ</w:t>
      </w:r>
    </w:p>
    <w:p>
      <w:pPr>
        <w:pBdr>
          <w:bottom w:val="single" w:color="404040" w:sz="8" w:space="8"/>
        </w:pBdr>
        <w:spacing w:after="200"/>
        <w:jc w:val="center"/>
      </w:pPr>
      <w:r>
        <w:rPr>
          <w:color w:val="595959"/>
          <w:sz w:val="18"/>
          <w:szCs w:val="18"/>
        </w:rPr>
        <w:t xml:space="preserve">República de Chile</w:t>
      </w:r>
    </w:p>
    <w:p>
      <w:pPr>
        <w:spacing w:after="40"/>
      </w:pPr>
      <w:r>
        <w:rPr>
          <w:b/>
          <w:bCs/>
          <w:color w:val="7A1F1F"/>
          <w:sz w:val="23"/>
          <w:szCs w:val="23"/>
        </w:rPr>
        <w:t xml:space="preserve">MINUTA DE GESTIÓN DIRECTIVA N° 3/2026</w:t>
      </w:r>
    </w:p>
    <w:p>
      <w:pPr>
        <w:spacing w:after="140" w:line="290"/>
      </w:pPr>
      <w:r>
        <w:rPr>
          <w:b/>
          <w:bCs/>
          <w:sz w:val="28"/>
          <w:szCs w:val="28"/>
        </w:rPr>
        <w:t xml:space="preserve">El compromiso soberano y la hoja de ruta SMID: continuidad garantizada y corte limpio al 1 de enero de 2027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Fecha: </w:t>
      </w:r>
      <w:r>
        <w:rPr>
          <w:color w:val="333333"/>
          <w:sz w:val="18"/>
          <w:szCs w:val="18"/>
        </w:rPr>
        <w:t xml:space="preserve">10 de junio de 2026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Origen: </w:t>
      </w:r>
      <w:r>
        <w:rPr>
          <w:color w:val="333333"/>
          <w:sz w:val="18"/>
          <w:szCs w:val="18"/>
        </w:rPr>
        <w:t xml:space="preserve">Desarrollo Institucional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Distribución: </w:t>
      </w:r>
      <w:r>
        <w:rPr>
          <w:color w:val="333333"/>
          <w:sz w:val="18"/>
          <w:szCs w:val="18"/>
        </w:rPr>
        <w:t xml:space="preserve">Todas las jefaturas, unidades y funcionarias/os de la Defensoría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Carácter: </w:t>
      </w:r>
      <w:r>
        <w:rPr>
          <w:color w:val="333333"/>
          <w:sz w:val="18"/>
          <w:szCs w:val="18"/>
        </w:rPr>
        <w:t xml:space="preserve">Reservado — uso interno institucional</w:t>
      </w:r>
    </w:p>
    <w:p>
      <w:pPr>
        <w:spacing w:after="30"/>
      </w:pPr>
      <w:r>
        <w:rPr>
          <w:b/>
          <w:bCs/>
          <w:color w:val="333333"/>
          <w:sz w:val="18"/>
          <w:szCs w:val="18"/>
        </w:rPr>
        <w:t xml:space="preserve">Referencia: </w:t>
      </w:r>
      <w:r>
        <w:rPr>
          <w:color w:val="333333"/>
          <w:sz w:val="18"/>
          <w:szCs w:val="18"/>
        </w:rPr>
        <w:t xml:space="preserve">Informe Técnico-Jurídico-Administrativo «Obsolescencia de SIGER y Consolidación de la Nueva Arquitectura Institucional», v1.0 (10-06-2026)</w:t>
      </w:r>
    </w:p>
    <w:p>
      <w:pPr>
        <w:pBdr>
          <w:bottom w:val="single" w:color="BFBFBF" w:sz="4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1. El compromiso, en una línea</w:t>
      </w:r>
    </w:p>
    <w:p>
      <w:pPr>
        <w:spacing w:after="110" w:line="280"/>
        <w:jc w:val="both"/>
      </w:pPr>
      <w:r>
        <w:t xml:space="preserve">El Desarrollo Institucional (</w:t>
      </w:r>
      <w:r>
        <w:rPr>
          <w:b/>
          <w:bCs/>
        </w:rPr>
        <w:t xml:space="preserve">Benjamín Torrejón</w:t>
      </w:r>
      <w:r>
        <w:t xml:space="preserve">) asume el </w:t>
      </w:r>
      <w:r>
        <w:rPr>
          <w:b/>
          <w:bCs/>
        </w:rPr>
        <w:t xml:space="preserve">compromiso cerrado</w:t>
      </w:r>
      <w:r>
        <w:t xml:space="preserve"> de entregar, </w:t>
      </w:r>
      <w:r>
        <w:rPr>
          <w:b/>
          <w:bCs/>
        </w:rPr>
        <w:t xml:space="preserve">dentro de los 34 días restantes de su actual práctica profesional</w:t>
      </w:r>
      <w:r>
        <w:t xml:space="preserve">, el </w:t>
      </w:r>
      <w:r>
        <w:rPr>
          <w:b/>
          <w:bCs/>
        </w:rPr>
        <w:t xml:space="preserve">núcleo fundacional de tres módulos del nuevo sistema</w:t>
      </w:r>
      <w:r>
        <w:t xml:space="preserve"> —Identidad y Acceso, Personas, y Requerimientos—, que </w:t>
      </w:r>
      <w:r>
        <w:rPr>
          <w:b/>
          <w:bCs/>
        </w:rPr>
        <w:t xml:space="preserve">absorbe por completo el ingreso y la admisibilidad nacional</w:t>
      </w:r>
      <w:r>
        <w:t xml:space="preserve"> (procesos USR.01 y USR.02), dejándolo desplegado en marcha blanca para su validación. El grueso del esfuerzo está </w:t>
      </w:r>
      <w:r>
        <w:rPr>
          <w:b/>
          <w:bCs/>
        </w:rPr>
        <w:t xml:space="preserve">internalizado</w:t>
      </w:r>
      <w:r>
        <w:t xml:space="preserve">: sin licitaciones, sin licencias recurrentes, sobre el </w:t>
      </w:r>
      <w:r>
        <w:rPr>
          <w:b/>
          <w:bCs/>
        </w:rPr>
        <w:t xml:space="preserve">servidor institucional ya existente y sus entornos en operación</w:t>
      </w:r>
      <w:r>
        <w:t xml:space="preserve">, cuya administración de plataforma y respaldos corresponde íntegramente a los </w:t>
      </w:r>
      <w:r>
        <w:rPr>
          <w:b/>
          <w:bCs/>
        </w:rPr>
        <w:t xml:space="preserve">dos ingenieros de sistemas de TI de Infraestructura</w:t>
      </w:r>
      <w:r>
        <w:t xml:space="preserve"> —a quienes este programa </w:t>
      </w:r>
      <w:r>
        <w:rPr>
          <w:b/>
          <w:bCs/>
        </w:rPr>
        <w:t xml:space="preserve">no asigna ninguna función de desarrollo de software</w:t>
      </w:r>
      <w:r>
        <w:t xml:space="preserve">—.</w:t>
      </w:r>
    </w:p>
    <w:p>
      <w:pPr>
        <w:pStyle w:val="Heading1"/>
      </w:pPr>
      <w:r>
        <w:t xml:space="preserve">2. Qué hace cada módulo y cómo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Identidad y Acceso — quién entra y qué puede ver.</w:t>
      </w:r>
      <w:r>
        <w:t xml:space="preserve"> Cada credencial nace ligada a su </w:t>
      </w:r>
      <w:r>
        <w:rPr>
          <w:b/>
          <w:bCs/>
        </w:rPr>
        <w:t xml:space="preserve">sede y unidad</w:t>
      </w:r>
      <w:r>
        <w:t xml:space="preserve">, y toda consulta pasa por un </w:t>
      </w:r>
      <w:r>
        <w:rPr>
          <w:b/>
          <w:bCs/>
        </w:rPr>
        <w:t xml:space="preserve">punto único de control que verifica y registra</w:t>
      </w:r>
      <w:r>
        <w:t xml:space="preserve">. El efecto práctico: </w:t>
      </w:r>
      <w:r>
        <w:rPr>
          <w:b/>
          <w:bCs/>
        </w:rPr>
        <w:t xml:space="preserve">cada región y unidad ve exclusivamente lo suyo</w:t>
      </w:r>
      <w:r>
        <w:t xml:space="preserve">, y queda huella de cada acceso. Este módulo </w:t>
      </w:r>
      <w:r>
        <w:rPr>
          <w:b/>
          <w:bCs/>
        </w:rPr>
        <w:t xml:space="preserve">cierra de raíz el acceso cruzado</w:t>
      </w:r>
      <w:r>
        <w:t xml:space="preserve"> descrito en la Minuta N° 1 y materializa el deber de reserva territorial de la Ley N° 21.430.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Personas — un registro maestro único y confiable.</w:t>
      </w:r>
      <w:r>
        <w:t xml:space="preserve"> Concentra a NNA, personas requirentes, instituciones y testigos, </w:t>
      </w:r>
      <w:r>
        <w:rPr>
          <w:b/>
          <w:bCs/>
        </w:rPr>
        <w:t xml:space="preserve">validando por RUT y detectando duplicados en el acto</w:t>
      </w:r>
      <w:r>
        <w:t xml:space="preserve">. Su padrón histórico (del orden de 27.000 registros) se traslada con </w:t>
      </w:r>
      <w:r>
        <w:rPr>
          <w:b/>
          <w:bCs/>
        </w:rPr>
        <w:t xml:space="preserve">acta de cifras, verificación de integridad y conciliación uno a uno</w:t>
      </w:r>
      <w:r>
        <w:t xml:space="preserve"> —cadena de custodia con doble firma—, de modo que el dato que alimenta todo lo demás nace ordenado y certificado.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Requerimientos — el ciclo de entrada completo.</w:t>
      </w:r>
      <w:r>
        <w:t xml:space="preserve"> Reproduce con fidelidad el ingreso actual —</w:t>
      </w:r>
      <w:r>
        <w:rPr>
          <w:b/>
          <w:bCs/>
        </w:rPr>
        <w:t xml:space="preserve">manteniendo la flexibilidad del formulario</w:t>
      </w:r>
      <w:r>
        <w:t xml:space="preserve">, pensada para el primer contacto en situaciones de urgencia— y la admisibilidad con sus </w:t>
      </w:r>
      <w:r>
        <w:rPr>
          <w:b/>
          <w:bCs/>
        </w:rPr>
        <w:t xml:space="preserve">tres decisiones</w:t>
      </w:r>
      <w:r>
        <w:t xml:space="preserve">: declarar inadmisible con escalamiento a la Defensora, responder de inmediato, o asignar a un profesional responsable; ahora con </w:t>
      </w:r>
      <w:r>
        <w:rPr>
          <w:b/>
          <w:bCs/>
        </w:rPr>
        <w:t xml:space="preserve">plazos visibles y trazabilidad de cada gestión</w:t>
      </w:r>
      <w:r>
        <w:t xml:space="preserve">.</w:t>
      </w:r>
    </w:p>
    <w:p>
      <w:pPr>
        <w:pStyle w:val="Heading1"/>
      </w:pPr>
      <w:r>
        <w:t xml:space="preserve">3. Continuidad garantizada: el factor humano, declarado y mitigado</w:t>
      </w:r>
    </w:p>
    <w:p>
      <w:pPr>
        <w:spacing w:after="110" w:line="280"/>
        <w:jc w:val="both"/>
      </w:pPr>
      <w:r>
        <w:t xml:space="preserve">La institución debe saber que esta fase fue diseñada y construida por una sola persona, y debe saber también que ese riesgo está </w:t>
      </w:r>
      <w:r>
        <w:rPr>
          <w:b/>
          <w:bCs/>
        </w:rPr>
        <w:t xml:space="preserve">declarado y mitigado en tres planos</w:t>
      </w:r>
      <w:r>
        <w:t xml:space="preserve">: primero, la </w:t>
      </w:r>
      <w:r>
        <w:rPr>
          <w:b/>
          <w:bCs/>
        </w:rPr>
        <w:t xml:space="preserve">documentación técnica exhaustiva entregada como activo institucional de primera clase</w:t>
      </w:r>
      <w:r>
        <w:t xml:space="preserve"> —el conocimiento queda en la Defensoría, no en la memoria de nadie—; segundo, la </w:t>
      </w:r>
      <w:r>
        <w:rPr>
          <w:b/>
          <w:bCs/>
        </w:rPr>
        <w:t xml:space="preserve">continuidad del despliegue está asegurada por la permanencia proyectada para la segunda práctica profesional de Ingeniería</w:t>
      </w:r>
      <w:r>
        <w:t xml:space="preserve">, que cubre la conducción de los horizontes siguientes; tercero, esa base documentada deja la </w:t>
      </w:r>
      <w:r>
        <w:rPr>
          <w:b/>
          <w:bCs/>
        </w:rPr>
        <w:t xml:space="preserve">pista preparada para la incorporación planificada de perfiles técnicos</w:t>
      </w:r>
      <w:r>
        <w:t xml:space="preserve"> (analistas programadores e ingenieras/os de informática), que acelerarán los módulos restantes y las herramientas analíticas ya operativas </w:t>
      </w:r>
      <w:r>
        <w:rPr>
          <w:b/>
          <w:bCs/>
        </w:rPr>
        <w:t xml:space="preserve">SGS v2 y ESNNA v2</w:t>
      </w:r>
      <w:r>
        <w:t xml:space="preserve">.</w:t>
      </w:r>
    </w:p>
    <w:p>
      <w:pPr>
        <w:pStyle w:val="Heading1"/>
      </w:pPr>
      <w:r>
        <w:t xml:space="preserve">4. La estrategia de dos horizontes: por qué no se rompe la operación a mitad de año</w:t>
      </w:r>
    </w:p>
    <w:p>
      <w:pPr>
        <w:spacing w:after="110" w:line="280"/>
        <w:jc w:val="both"/>
      </w:pPr>
      <w:r>
        <w:t xml:space="preserve">Cambiar de sistema a mitad de año </w:t>
      </w:r>
      <w:r>
        <w:rPr>
          <w:b/>
          <w:bCs/>
        </w:rPr>
        <w:t xml:space="preserve">partiría en dos las series estadísticas anuales de la UEG y la numeración interna de cada Sede Regional</w:t>
      </w:r>
      <w:r>
        <w:t xml:space="preserve">, y forzar el traslado masivo del archivo histórico arriesgaría la </w:t>
      </w:r>
      <w:r>
        <w:rPr>
          <w:b/>
          <w:bCs/>
        </w:rPr>
        <w:t xml:space="preserve">alteración física de relatos confidenciales</w:t>
      </w:r>
      <w:r>
        <w:t xml:space="preserve">. La estrategia resuelve ambas cosas: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Horizonte 1 — Fase Beta (este semestre).</w:t>
      </w:r>
      <w:r>
        <w:t xml:space="preserve"> El núcleo fundacional opera en </w:t>
      </w:r>
      <w:r>
        <w:rPr>
          <w:b/>
          <w:bCs/>
        </w:rPr>
        <w:t xml:space="preserve">marcha blanca, en sedes piloto y en paralelo</w:t>
      </w:r>
      <w:r>
        <w:t xml:space="preserve">, sin tocar el registro oficial. Permite </w:t>
      </w:r>
      <w:r>
        <w:rPr>
          <w:b/>
          <w:bCs/>
        </w:rPr>
        <w:t xml:space="preserve">capacitar a las personas usuarias, someter a prueba de esfuerzo la infraestructura</w:t>
      </w:r>
      <w:r>
        <w:t xml:space="preserve"> y —lo decisivo— </w:t>
      </w:r>
      <w:r>
        <w:rPr>
          <w:b/>
          <w:bCs/>
        </w:rPr>
        <w:t xml:space="preserve">acreditar ante la Agencia, antes de diciembre, la adopción proactiva de medidas técnicas adecuadas</w:t>
      </w:r>
      <w:r>
        <w:t xml:space="preserve"> (Minuta N° 2).</w:t>
      </w:r>
    </w:p>
    <w:p>
      <w:pPr>
        <w:pStyle w:val="ListParagraph"/>
        <w:numPr>
          <w:ilvl w:val="0"/>
          <w:numId w:val="2"/>
        </w:numPr>
        <w:spacing w:after="50" w:line="268"/>
        <w:jc w:val="both"/>
      </w:pPr>
      <w:r>
        <w:rPr>
          <w:b/>
          <w:bCs/>
        </w:rPr>
        <w:t xml:space="preserve">Horizonte 2 — Corte Limpio (1 de enero de 2027).</w:t>
      </w:r>
      <w:r>
        <w:t xml:space="preserve"> El </w:t>
      </w:r>
      <w:r>
        <w:rPr>
          <w:b/>
          <w:bCs/>
        </w:rPr>
        <w:t xml:space="preserve">31 de diciembre de 2026</w:t>
      </w:r>
      <w:r>
        <w:t xml:space="preserve"> el sistema actual se </w:t>
      </w:r>
      <w:r>
        <w:rPr>
          <w:b/>
          <w:bCs/>
        </w:rPr>
        <w:t xml:space="preserve">congela como repositorio histórico de solo consulta, blindado tras un acceso único, controlado y con registro</w:t>
      </w:r>
      <w:r>
        <w:t xml:space="preserve"> —lo que clausura también para el archivo la falla de acceso cruzado—. El 1 de enero, la operación nacional arranca con el </w:t>
      </w:r>
      <w:r>
        <w:rPr>
          <w:b/>
          <w:bCs/>
        </w:rPr>
        <w:t xml:space="preserve">correlativo inmaculado 0/2027</w:t>
      </w:r>
      <w:r>
        <w:t xml:space="preserve">: año completo bajo el sistema nuevo, </w:t>
      </w:r>
      <w:r>
        <w:rPr>
          <w:b/>
          <w:bCs/>
        </w:rPr>
        <w:t xml:space="preserve">series anuales de la UEG intactas y certificadas</w:t>
      </w:r>
      <w:r>
        <w:t xml:space="preserve"> con acta de cifras al inicio y al corte, y cierres y numeración de cada Sede Regional </w:t>
      </w:r>
      <w:r>
        <w:rPr>
          <w:b/>
          <w:bCs/>
        </w:rPr>
        <w:t xml:space="preserve">protegidos</w:t>
      </w:r>
      <w:r>
        <w:t xml:space="preserve">.</w:t>
      </w:r>
    </w:p>
    <w:p>
      <w:pPr>
        <w:pStyle w:val="Heading1"/>
      </w:pPr>
      <w:r>
        <w:t xml:space="preserve">5. Qué se solicita para cumplir el calendario</w:t>
      </w:r>
    </w:p>
    <w:p>
      <w:pPr>
        <w:pStyle w:val="ListParagraph"/>
        <w:numPr>
          <w:ilvl w:val="0"/>
          <w:numId w:val="3"/>
        </w:numPr>
        <w:spacing w:after="50" w:line="268"/>
        <w:jc w:val="both"/>
      </w:pPr>
      <w:r>
        <w:rPr>
          <w:b/>
          <w:bCs/>
        </w:rPr>
        <w:t xml:space="preserve">Respaldo formal de la Dirección Nacional</w:t>
      </w:r>
      <w:r>
        <w:t xml:space="preserve"> a las fechas ancla y al alcance del núcleo fundacional.</w:t>
      </w:r>
    </w:p>
    <w:p>
      <w:pPr>
        <w:pStyle w:val="ListParagraph"/>
        <w:numPr>
          <w:ilvl w:val="0"/>
          <w:numId w:val="3"/>
        </w:numPr>
        <w:spacing w:after="50" w:line="268"/>
        <w:jc w:val="both"/>
      </w:pPr>
      <w:r>
        <w:rPr>
          <w:b/>
          <w:bCs/>
        </w:rPr>
        <w:t xml:space="preserve">Designación de usuarias y usuarios líderes</w:t>
      </w:r>
      <w:r>
        <w:t xml:space="preserve"> por las Coordinaciones Regionales y las unidades, dentro de 15 días, para la validación funcional y los pilotos.</w:t>
      </w:r>
    </w:p>
    <w:p>
      <w:pPr>
        <w:pStyle w:val="ListParagraph"/>
        <w:numPr>
          <w:ilvl w:val="0"/>
          <w:numId w:val="3"/>
        </w:numPr>
        <w:spacing w:after="50" w:line="268"/>
        <w:jc w:val="both"/>
      </w:pPr>
      <w:r>
        <w:rPr>
          <w:b/>
          <w:bCs/>
        </w:rPr>
        <w:t xml:space="preserve">Presupuesto de la fase de arranque</w:t>
      </w:r>
      <w:r>
        <w:t xml:space="preserve"> a cargo de Administración y Finanzas, incluyendo la estimación de los perfiles técnicos por incorporar.</w:t>
      </w:r>
    </w:p>
    <w:p>
      <w:pPr>
        <w:pBdr>
          <w:left w:val="single" w:color="BFBFBF" w:sz="14" w:space="6"/>
        </w:pBdr>
        <w:spacing w:after="110" w:line="268"/>
        <w:ind w:left="420"/>
      </w:pPr>
      <w:r>
        <w:rPr>
          <w:i/>
          <w:iCs/>
          <w:color w:val="444444"/>
        </w:rPr>
        <w:t xml:space="preserve">El sistema es nuestro, el conocimiento queda en casa y el calendario está a favor: lo único que falta es la decisión.</w:t>
      </w:r>
    </w:p>
    <w:sectPr>
      <w:headerReference w:type="default" r:id="rId7"/>
      <w:footerReference w:type="default" r:id="rId8"/>
      <w:pgSz w:w="12240" w:h="15840" w:orient="portrait"/>
      <w:pgMar w:top="1240" w:right="1440" w:bottom="12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Minuta N° 3 — Compromiso soberano y hoja de ruta SMID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Defensoría de los Derechos de la Niñez</w:t>
    </w:r>
    <w:r>
      <w:rPr>
        <w:color w:val="595959"/>
        <w:sz w:val="16"/>
        <w:szCs w:val="16"/>
      </w:rPr>
      <w:t xml:space="preserve">	Minuta de Gestión Directiva · Reservado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2026-06-11T11:06:18.346Z</dcterms:created>
  <dcterms:modified xsi:type="dcterms:W3CDTF">2026-06-11T11:06:18.346Z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