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B3D91"/>
          <w:sz w:val="44"/>
          <w:szCs w:val="44"/>
        </w:rPr>
        <w:t xml:space="preserve">AAPL — Worked Example</w:t>
      </w:r>
    </w:p>
    <w:p>
      <w:pPr>
        <w:spacing w:after="1000" w:before="200"/>
        <w:jc w:val="center"/>
      </w:pPr>
      <w:r>
        <w:rPr>
          <w:i/>
          <w:iCs/>
          <w:color w:val="6b7280"/>
        </w:rPr>
        <w:t xml:space="preserve">End-to-end trace from Excel ingest through rule firing to the final action  (snapshot_date = 2026-05-07)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0B3D91"/>
          <w:sz w:val="36"/>
          <w:szCs w:val="36"/>
        </w:rPr>
        <w:t xml:space="preserve">Reading guide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This document follows one ticker, AAPL, on a single snapshot_date (2026-05-07) through the entire pipeline. The numerical values are illustrative — exact values depend on actual market data — but the columns, table writes, and rule evaluations match what the code does. The ingestion stage differs between the two load paths; from Stage 4 (drv_ma) onward the two paths converge.</w:t>
      </w:r>
    </w:p>
    <w:p>
      <w:pPr>
        <w:pStyle w:val="Heading2"/>
        <w:spacing w:after="110" w:before="220"/>
      </w:pPr>
      <w:r>
        <w:rPr>
          <w:b/>
          <w:bCs/>
          <w:color w:val="0B3D91"/>
          <w:sz w:val="28"/>
          <w:szCs w:val="28"/>
        </w:rPr>
        <w:t xml:space="preserve">Trace overview</w:t>
      </w:r>
    </w:p>
    <w:p>
      <w:pPr>
        <w:spacing w:after="100" w:before="100"/>
        <w:jc w:val="center"/>
      </w:pPr>
      <w:r>
        <w:drawing>
          <wp:inline distT="0" distB="0" distL="0" distR="0">
            <wp:extent cx="6286500" cy="7239000"/>
            <wp:effectExtent t="0" r="0" b="0" l="0"/>
            <wp:docPr id="1" name="aapl_trace.png" descr="aapl_trace.png" title="aapl_tr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80"/>
      </w:pPr>
      <w:r>
        <w:rPr>
          <w:b/>
          <w:bCs/>
          <w:color w:val="0B3D91"/>
          <w:sz w:val="36"/>
          <w:szCs w:val="36"/>
        </w:rPr>
        <w:t xml:space="preserve">Initial load (one full Tickers workbook)</w:t>
      </w:r>
    </w:p>
    <w:p>
      <w:pPr>
        <w:pStyle w:val="Heading2"/>
        <w:spacing w:after="110" w:before="220"/>
      </w:pPr>
      <w:r>
        <w:rPr>
          <w:b/>
          <w:bCs/>
          <w:color w:val="0B3D91"/>
          <w:sz w:val="28"/>
          <w:szCs w:val="28"/>
        </w:rPr>
        <w:t xml:space="preserve">Stage 1 — ingest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`python -m etl.tickers_initial_load` opens `Tickers 2026-05-07.xlsx`. The orchestrator parses `2026-05-07` from the filename, computes a SHA-256, registers a `meta_file_processed` entry, and runs Step A across REF_MAPS, the data-tab loaders, the Trig loader, and HIST_MAPS. AAPL appears in roughly a dozen tabs (Y, TL, TD, TW, TO, RR, II, ssH, call, etf, ps5/psRk/psTn if the workbook captured the prior Friday).</w:t>
      </w:r>
    </w:p>
    <w:p>
      <w:pPr>
        <w:pStyle w:val="Heading2"/>
        <w:spacing w:after="110" w:before="220"/>
      </w:pPr>
      <w:r>
        <w:rPr>
          <w:b/>
          <w:bCs/>
          <w:color w:val="0B3D91"/>
          <w:sz w:val="28"/>
          <w:szCs w:val="28"/>
        </w:rPr>
        <w:t xml:space="preserve">Stage 2 — hist_* rows for AAPL on 2026-05-07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AAPL row (illustrative)</w:t>
            </w:r>
          </w:p>
        </w:tc>
      </w:tr>
      <w:tr>
        <w:tc>
          <w:tcPr>
            <w:tcW w:type="dxa" w:w="24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hist_y</w:t>
            </w:r>
          </w:p>
        </w:tc>
        <w:tc>
          <w:tcPr>
            <w:tcW w:type="dxa" w:w="69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(2026-05-07,'AAPL',1) last_price=$214.50, volume_y=42M</w:t>
            </w:r>
          </w:p>
        </w:tc>
      </w:tr>
      <w:tr>
        <w:tc>
          <w:tcPr>
            <w:tcW w:type="dxa" w:w="24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hist_tl</w:t>
            </w:r>
          </w:p>
        </w:tc>
        <w:tc>
          <w:tcPr>
            <w:tcW w:type="dxa" w:w="69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(2026-05-07,'AAPL',N) imp_volatility=0.27, sequence=N (final intraday print)</w:t>
            </w:r>
          </w:p>
        </w:tc>
      </w:tr>
      <w:tr>
        <w:tc>
          <w:tcPr>
            <w:tcW w:type="dxa" w:w="24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hist_td</w:t>
            </w:r>
          </w:p>
        </w:tc>
        <w:tc>
          <w:tcPr>
            <w:tcW w:type="dxa" w:w="69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(2026-05-07,'AAPL',1) bb_top=$220.4, bb_bot=$200.1, iv_pct=44, hv_pct=38, rsi=63</w:t>
            </w:r>
          </w:p>
        </w:tc>
      </w:tr>
      <w:tr>
        <w:tc>
          <w:tcPr>
            <w:tcW w:type="dxa" w:w="24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hist_rr</w:t>
            </w:r>
          </w:p>
        </w:tc>
        <w:tc>
          <w:tcPr>
            <w:tcW w:type="dxa" w:w="69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(2026-05-07,'AAPL') rr_outlook=BULLISH, rr_brr=+0.52, a_trade_value=$210, a_trend_value=$203</w:t>
            </w:r>
          </w:p>
        </w:tc>
      </w:tr>
      <w:tr>
        <w:tc>
          <w:tcPr>
            <w:tcW w:type="dxa" w:w="24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hist_ii / hist_call / hist_etf / hist_ssh</w:t>
            </w:r>
          </w:p>
        </w:tc>
        <w:tc>
          <w:tcPr>
            <w:tcW w:type="dxa" w:w="69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weekly export rows; outlook fields filled per source</w:t>
            </w:r>
          </w:p>
        </w:tc>
      </w:tr>
      <w:tr>
        <w:tc>
          <w:tcPr>
            <w:tcW w:type="dxa" w:w="24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hist_to / hist_tw / hist_ps* / hist_f / hist_cs</w:t>
            </w:r>
          </w:p>
        </w:tc>
        <w:tc>
          <w:tcPr>
            <w:tcW w:type="dxa" w:w="69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 the workbook captured them; F/CS only if AAPL is held</w:t>
            </w:r>
          </w:p>
        </w:tc>
      </w:tr>
    </w:tbl>
    <w:p>
      <w:pPr>
        <w:pStyle w:val="Heading2"/>
        <w:spacing w:after="110" w:before="220"/>
      </w:pPr>
      <w:r>
        <w:rPr>
          <w:b/>
          <w:bCs/>
          <w:color w:val="0B3D91"/>
          <w:sz w:val="28"/>
          <w:szCs w:val="28"/>
        </w:rPr>
        <w:t xml:space="preserve">Stage 3 — per-row derives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After Step A, derive_all(2026-05-07) runs in dependency order. Per-row derives compute: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drv_tl     vlm_projected = volume * 390 / mins_since_open  (≈ 58M)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imp_volatility_clean = 0.27   (NaN scrubbed)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drv_td     bb_top_15d, bb_bot_15d, range_compression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d_iv_to_hv = iv_pct - hv_pct = +6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d_vlt_caution = 'N'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rsi family: rsi_overbought_streak = 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drv_tw   (v2)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sma_50 = $212, sma_200 = $197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w_pct_change_wk = +1.3%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a_macd_brr = +,  a_macdh_d_brr = +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drv_call  outlook = BULLISH → ref_param('outlook','BULLISH').weight = +3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entry/cont via ref_param_lookup('buysell', ...)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drv_etf   (v2)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drv_ii    (v2) outlook = BULLISH → weight = +3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drv_ssh   (v2) signal_sign computed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drv_ssl   AAPL row from hist_ssh on 2026-04-30 (lag 7d)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drv_sss   (v2) wk/mn/3m deltas, sss_entry/sss_cont</w:t>
      </w:r>
    </w:p>
    <w:p>
      <w:pPr>
        <w:pStyle w:val="Heading2"/>
        <w:spacing w:after="110" w:before="220"/>
      </w:pPr>
      <w:r>
        <w:rPr>
          <w:b/>
          <w:bCs/>
          <w:color w:val="0B3D91"/>
          <w:sz w:val="28"/>
          <w:szCs w:val="28"/>
        </w:rPr>
        <w:t xml:space="preserve">Stage 4 — drv_ma master row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`_derive_ma_impl` joins ref_sector with the latest hist_* and drv_* values ≤ 2026-05-07 for every symbol. For AAPL, the row contains roughly: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(2026-05-07, 'AAPL')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description    = 'Apple Inc.'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sector         = 'Information Technology'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asset_class    = 'Equity'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last_price     = 214.50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a_trade_value  = 210.00     a_trend_value = 203.00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pct_brr        = (203.00 - 214.50) * 100 / (203.00 - 210.00)  =  164.3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rr_outlook     = 'BULLISH'  rr_brr        = +0.52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call_outlook   = 'BULLISH'  call_modifier = '+1'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etf_outlook    = 'BULLISH'  ii_outlook    = 'BULLISH'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ssh_signal_sign= +1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iv_percentile  = 44         hv_percentile = 38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rsi            = 63         range_compression = 0.18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a_macd_brr     = +          a_macdh_d_brr = +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a_bb_streak    = +3         a_bb_top      = 220.4   a_bb_bottom = 200.1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sma_50         = 212        sma_200       = 197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earnings_days  = 28         volume        = 42_000_000   vlm_projected = 58_000_000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All ~50 columns of drv_ma are filled this way; columns absent from the source data are NULL.</w:t>
      </w:r>
    </w:p>
    <w:p>
      <w:pPr>
        <w:pStyle w:val="Heading2"/>
        <w:spacing w:after="110" w:before="220"/>
      </w:pPr>
      <w:r>
        <w:rPr>
          <w:b/>
          <w:bCs/>
          <w:color w:val="0B3D91"/>
          <w:sz w:val="28"/>
          <w:szCs w:val="28"/>
        </w:rPr>
        <w:t xml:space="preserve">Stage 5 — rule evaluation in `_derive_stks_impl`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The function loads non-deprecated atomic rules and the composite mapping once. For AAPL on 2026-05-07, six representative atomic rules (real names, drawn from the migration table in db/12_atomic_rule_name_migration.sql):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100"/>
        <w:gridCol w:w="26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ma_column</w:t>
            </w:r>
          </w:p>
        </w:tc>
        <w:tc>
          <w:tcPr>
            <w:tcW w:type="dxa" w:w="11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6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thresholds (lo / hi)</w:t>
            </w:r>
          </w:p>
        </w:tc>
        <w:tc>
          <w:tcPr>
            <w:tcW w:type="dxa" w:w="16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scoring_mode → weight</w:t>
            </w:r>
          </w:p>
        </w:tc>
      </w:tr>
      <w:tr>
        <w:tc>
          <w:tcPr>
            <w:tcW w:type="dxa" w:w="22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RSI Rule</w:t>
            </w:r>
          </w:p>
        </w:tc>
        <w:tc>
          <w:tcPr>
            <w:tcW w:type="dxa" w:w="18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rsi</w:t>
            </w:r>
          </w:p>
        </w:tc>
        <w:tc>
          <w:tcPr>
            <w:tcW w:type="dxa" w:w="11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63</w:t>
            </w:r>
          </w:p>
        </w:tc>
        <w:tc>
          <w:tcPr>
            <w:tcW w:type="dxa" w:w="26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(40, 70)</w:t>
            </w:r>
          </w:p>
        </w:tc>
        <w:tc>
          <w:tcPr>
            <w:tcW w:type="dxa" w:w="16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jump → wt_between = +1</w:t>
            </w:r>
          </w:p>
        </w:tc>
      </w:tr>
      <w:tr>
        <w:tc>
          <w:tcPr>
            <w:tcW w:type="dxa" w:w="22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MACD Direction</w:t>
            </w:r>
          </w:p>
        </w:tc>
        <w:tc>
          <w:tcPr>
            <w:tcW w:type="dxa" w:w="18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a_macd_brr</w:t>
            </w:r>
          </w:p>
        </w:tc>
        <w:tc>
          <w:tcPr>
            <w:tcW w:type="dxa" w:w="11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+</w:t>
            </w:r>
          </w:p>
        </w:tc>
        <w:tc>
          <w:tcPr>
            <w:tcW w:type="dxa" w:w="26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(0, 0) sign-test</w:t>
            </w:r>
          </w:p>
        </w:tc>
        <w:tc>
          <w:tcPr>
            <w:tcW w:type="dxa" w:w="16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jump → wt_above = +2</w:t>
            </w:r>
          </w:p>
        </w:tc>
      </w:tr>
      <w:tr>
        <w:tc>
          <w:tcPr>
            <w:tcW w:type="dxa" w:w="22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200-DMA-Rule</w:t>
            </w:r>
          </w:p>
        </w:tc>
        <w:tc>
          <w:tcPr>
            <w:tcW w:type="dxa" w:w="18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sma_200</w:t>
            </w:r>
          </w:p>
        </w:tc>
        <w:tc>
          <w:tcPr>
            <w:tcW w:type="dxa" w:w="11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197</w:t>
            </w:r>
          </w:p>
        </w:tc>
        <w:tc>
          <w:tcPr>
            <w:tcW w:type="dxa" w:w="26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(price-5%, price+5%) ≈ (203.8, 225.2)</w:t>
            </w:r>
          </w:p>
        </w:tc>
        <w:tc>
          <w:tcPr>
            <w:tcW w:type="dxa" w:w="16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jump → wt_below = +2 (price &gt; sma_200 by 8%)</w:t>
            </w:r>
          </w:p>
        </w:tc>
      </w:tr>
      <w:tr>
        <w:tc>
          <w:tcPr>
            <w:tcW w:type="dxa" w:w="22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BRR% Rule</w:t>
            </w:r>
          </w:p>
        </w:tc>
        <w:tc>
          <w:tcPr>
            <w:tcW w:type="dxa" w:w="18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pct_brr</w:t>
            </w:r>
          </w:p>
        </w:tc>
        <w:tc>
          <w:tcPr>
            <w:tcW w:type="dxa" w:w="11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164.3</w:t>
            </w:r>
          </w:p>
        </w:tc>
        <w:tc>
          <w:tcPr>
            <w:tcW w:type="dxa" w:w="26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(0, 100)</w:t>
            </w:r>
          </w:p>
        </w:tc>
        <w:tc>
          <w:tcPr>
            <w:tcW w:type="dxa" w:w="16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jump → wt_above = +1</w:t>
            </w:r>
          </w:p>
        </w:tc>
      </w:tr>
      <w:tr>
        <w:tc>
          <w:tcPr>
            <w:tcW w:type="dxa" w:w="22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IVPercentile</w:t>
            </w:r>
          </w:p>
        </w:tc>
        <w:tc>
          <w:tcPr>
            <w:tcW w:type="dxa" w:w="18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iv_percentile</w:t>
            </w:r>
          </w:p>
        </w:tc>
        <w:tc>
          <w:tcPr>
            <w:tcW w:type="dxa" w:w="11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26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(30, 70)</w:t>
            </w:r>
          </w:p>
        </w:tc>
        <w:tc>
          <w:tcPr>
            <w:tcW w:type="dxa" w:w="16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jump → wt_between = 0</w:t>
            </w:r>
          </w:p>
        </w:tc>
      </w:tr>
      <w:tr>
        <w:tc>
          <w:tcPr>
            <w:tcW w:type="dxa" w:w="22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BB Top</w:t>
            </w:r>
          </w:p>
        </w:tc>
        <w:tc>
          <w:tcPr>
            <w:tcW w:type="dxa" w:w="18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a_bb_streak</w:t>
            </w:r>
          </w:p>
        </w:tc>
        <w:tc>
          <w:tcPr>
            <w:tcW w:type="dxa" w:w="11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+3</w:t>
            </w:r>
          </w:p>
        </w:tc>
        <w:tc>
          <w:tcPr>
            <w:tcW w:type="dxa" w:w="26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(0, 5)</w:t>
            </w:r>
          </w:p>
        </w:tc>
        <w:tc>
          <w:tcPr>
            <w:tcW w:type="dxa" w:w="16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jump → wt_between = +1</w:t>
            </w:r>
          </w:p>
        </w:tc>
      </w:tr>
    </w:tbl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These atomic results are summed per composite rule. Two illustrative composites are reached by AAPL on this date: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`BM-Momentum-Up` ← {MACD Direction, BB Top, RSI Rule}: score = +2 + +1 + +1 = +4 → triggered = true (positive momentum).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`899-SA-Trend-Breaks` ← {RSI Rule, MACD Direction, 200-DMA-Rule, BRR% Rule}: score = +1 + +2 + +2 + +1 = +6 → on the bullish side of the rule, so the SA action does not fire (an SA composite fires when its score is sufficiently negative).</w:t>
      </w:r>
    </w:p>
    <w:p>
      <w:pPr>
        <w:pStyle w:val="Heading2"/>
        <w:spacing w:after="110" w:before="220"/>
      </w:pPr>
      <w:r>
        <w:rPr>
          <w:b/>
          <w:bCs/>
          <w:color w:val="0B3D91"/>
          <w:sz w:val="28"/>
          <w:szCs w:val="28"/>
        </w:rPr>
        <w:t xml:space="preserve">Stage 6 — persisted outputs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`_derive_stks_impl` writes one row to drv_stks for AAPL on 2026-05-07: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drv_stks (2026-05-07, 'AAPL')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composite_outlook = +5.2          composite_label = 'BULLISH'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triggered_atomic_ids =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{rule_id: &lt;RSI Rule's ID&gt;,  weight: +1, value: 63 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{rule_id: &lt;MACD Dir's ID&gt;,  weight: +2, value: '+'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{rule_id: &lt;200-DMA's ID&gt;,   weight: +2, value: 197  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{rule_id: &lt;BRR% Rule's ID&gt;, weight: +1, value: 164.3},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{rule_id: &lt;BB Top's ID&gt;,    weight: +1, value: +3   } 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triggered_composite_ids = [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{rule_id: 'BM-Momentum-Up',     score: +4},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{rule_id: '899-SA-Trend-Breaks', score: +6}, ... 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source_run_id = &lt;FK to meta_derived_run&gt;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`_derive_trig_impl` runs separately and writes one drv_trig row per (composite, symbol) — about 30 rows for AAPL on this date. The score there is computed with the legacy `_bucket_weight`; for AAPL, all of the sample rules are jump-mode so the scores agree with drv_stks. For a non-jump rule, drv_stks and drv_trig will diverge.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`_derive_dash_impl` projects drv_ma into drv_dash, classifies AAPL as section='Stock', and writes threshold_low/high/zone_signal as NULL (currently unwired).</w:t>
      </w:r>
    </w:p>
    <w:p>
      <w:pPr>
        <w:pStyle w:val="Heading2"/>
        <w:spacing w:after="110" w:before="220"/>
      </w:pPr>
      <w:r>
        <w:rPr>
          <w:b/>
          <w:bCs/>
          <w:color w:val="0B3D91"/>
          <w:sz w:val="28"/>
          <w:szCs w:val="28"/>
        </w:rPr>
        <w:t xml:space="preserve">Stage 7 — user-facing flow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The browser hits `GET /api/stks?date=2026-05-07&amp;limit=5000`. The Cockpit row for AAPL shows last_price=214.50, composite_label=BULLISH, and chips for the top 3 contributing composite rules. Clicking the row opens the right-hand drawer — the JSONB columns provide everything the drawer needs: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Triggered atomic rules table (rule, category, value, weight).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Triggered composite rules table (rule, score, contributors).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Pressing 'I Took This Action' calls `POST /api/actions { as_of_date: 2026-05-07, symbol: 'AAPL', action_code: 'ACTED' }`. The endpoint reads triggered_atomic_ids/triggered_composite_ids from drv_stks and INSERTs a row into user_action_log with `triggered_rules = str(...)` (current code; should be json.dumps).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Five trading days later (≈ 2026-05-14), the next nightly `python -m etl.compute_outcomes` finds the user_action_log row, pulls AAPL's last_price on 2026-05-07 ($214.50) and on 2026-05-14 from drv_ma, computes fwd_5d_pct (e.g. +1.6%), pulls 20d as well, calls `_determine_hit('ACTED', 1.6)` — which falls through to `return False` because 'ACTED' isn't one of the recognized codes. One drv_rule_outcome row is inserted for each rule in the triggered list with hit=False. v_rule_performance picks up the data on its next read; the Rule Performance UI shows AAPL's ACTED-flagged rules with hit-rate 0% until either the action codes are unified or `_determine_hit` is taught to score 'ACTED'.</w:t>
      </w:r>
    </w:p>
    <w:p>
      <w:pPr>
        <w:pStyle w:val="Heading1"/>
        <w:spacing w:after="140" w:before="280"/>
      </w:pPr>
      <w:r>
        <w:rPr>
          <w:b/>
          <w:bCs/>
          <w:color w:val="0B3D91"/>
          <w:sz w:val="36"/>
          <w:szCs w:val="36"/>
        </w:rPr>
        <w:t xml:space="preserve">Ongoing load (single source-file)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If on 2026-05-08 a new `RR 2026-05-08.xlsx` lands in `C:\Ashok\Investing\Stocks\RR\Archive\`, the watchdog scheduler picks it up, debounces 3s, waits 2s for the file to quiesce, and calls `etl_load.load_one_file`. Differences from the initial-load path: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Only one tab is loaded — the one whose `target_tab` matches the file_type ('RR' → hist_rr).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File hash is checked first against meta_file_processed; identical content = silent skip.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After load, `derive_all(2026-05-08)` runs and rebuilds drv_* for that date, including AAPL (assuming AAPL data exists on or before 2026-05-08 — the latest hist_y, hist_tl, hist_td, etc. ≤ 2026-05-08 are picked up).</w:t>
      </w:r>
    </w:p>
    <w:p>
      <w:pPr>
        <w:spacing w:after="60" w:before="60"/>
        <w:jc w:val="left"/>
      </w:pPr>
      <w:r>
        <w:rPr>
          <w:b w:val="false"/>
          <w:bCs w:val="false"/>
          <w:i w:val="false"/>
          <w:iCs w:val="false"/>
        </w:rPr>
        <w:t xml:space="preserve">From `derive_all(2026-05-08)` onward, the trace through Stages 4–7 is identical to the initial load: drv_ma → atomic eval → composite aggregation → drv_stks + drv_trig → API → Cockpit → user_action_log → compute_outcomes.</w:t>
      </w:r>
    </w:p>
    <w:p>
      <w:pPr>
        <w:pStyle w:val="Heading1"/>
        <w:spacing w:after="140" w:before="280"/>
      </w:pPr>
      <w:r>
        <w:rPr>
          <w:b/>
          <w:bCs/>
          <w:color w:val="0B3D91"/>
          <w:sz w:val="36"/>
          <w:szCs w:val="36"/>
        </w:rPr>
        <w:t xml:space="preserve">Summary table — AAPL on 2026-05-07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rPr>
          <w:tblHeader/>
        </w:trPr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it lives</w:t>
            </w:r>
          </w:p>
        </w:tc>
        <w:tc>
          <w:tcPr>
            <w:tcW w:type="dxa" w:w="41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 for AAPL</w:t>
            </w:r>
          </w:p>
        </w:tc>
      </w:tr>
      <w:tr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Ingest</w:t>
            </w:r>
          </w:p>
        </w:tc>
        <w:tc>
          <w:tcPr>
            <w:tcW w:type="dxa" w:w="3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filesystem → workbook</w:t>
            </w:r>
          </w:p>
        </w:tc>
        <w:tc>
          <w:tcPr>
            <w:tcW w:type="dxa" w:w="41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Tickers 2026-05-07.xlsx parsed; SHA-256 noted</w:t>
            </w:r>
          </w:p>
        </w:tc>
      </w:tr>
      <w:tr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Raw history</w:t>
            </w:r>
          </w:p>
        </w:tc>
        <w:tc>
          <w:tcPr>
            <w:tcW w:type="dxa" w:w="3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hist_y, hist_tl, hist_td, hist_rr, hist_ii, hist_call, hist_etf, hist_ssh ...</w:t>
            </w:r>
          </w:p>
        </w:tc>
        <w:tc>
          <w:tcPr>
            <w:tcW w:type="dxa" w:w="41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One row per source per (date, symbol)</w:t>
            </w:r>
          </w:p>
        </w:tc>
      </w:tr>
      <w:tr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Per-row derives</w:t>
            </w:r>
          </w:p>
        </w:tc>
        <w:tc>
          <w:tcPr>
            <w:tcW w:type="dxa" w:w="3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drv_tl, drv_td, drv_tw, drv_call, drv_etf, drv_ii, drv_ssh, drv_ssl, drv_sss</w:t>
            </w:r>
          </w:p>
        </w:tc>
        <w:tc>
          <w:tcPr>
            <w:tcW w:type="dxa" w:w="41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Cleaned and computed columns</w:t>
            </w:r>
          </w:p>
        </w:tc>
      </w:tr>
      <w:tr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Master join</w:t>
            </w:r>
          </w:p>
        </w:tc>
        <w:tc>
          <w:tcPr>
            <w:tcW w:type="dxa" w:w="3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drv_ma</w:t>
            </w:r>
          </w:p>
        </w:tc>
        <w:tc>
          <w:tcPr>
            <w:tcW w:type="dxa" w:w="41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(2026-05-07, AAPL) wide row, ~50 columns</w:t>
            </w:r>
          </w:p>
        </w:tc>
      </w:tr>
      <w:tr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Rule eval</w:t>
            </w:r>
          </w:p>
        </w:tc>
        <w:tc>
          <w:tcPr>
            <w:tcW w:type="dxa" w:w="3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_derive_stks_impl + eval_atomic_rule</w:t>
            </w:r>
          </w:p>
        </w:tc>
        <w:tc>
          <w:tcPr>
            <w:tcW w:type="dxa" w:w="41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atomics fire, 2 composites trigger</w:t>
            </w:r>
          </w:p>
        </w:tc>
      </w:tr>
      <w:tr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Per-(symbol,date) actions</w:t>
            </w:r>
          </w:p>
        </w:tc>
        <w:tc>
          <w:tcPr>
            <w:tcW w:type="dxa" w:w="3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drv_stks, drv_trig</w:t>
            </w:r>
          </w:p>
        </w:tc>
        <w:tc>
          <w:tcPr>
            <w:tcW w:type="dxa" w:w="41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composite_label = BULLISH; triggered_* JSONB</w:t>
            </w:r>
          </w:p>
        </w:tc>
      </w:tr>
      <w:tr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UI</w:t>
            </w:r>
          </w:p>
        </w:tc>
        <w:tc>
          <w:tcPr>
            <w:tcW w:type="dxa" w:w="3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/cockpit drawer</w:t>
            </w:r>
          </w:p>
        </w:tc>
        <w:tc>
          <w:tcPr>
            <w:tcW w:type="dxa" w:w="41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AAPL row + drawer breakdown</w:t>
            </w:r>
          </w:p>
        </w:tc>
      </w:tr>
      <w:tr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Action log</w:t>
            </w:r>
          </w:p>
        </w:tc>
        <w:tc>
          <w:tcPr>
            <w:tcW w:type="dxa" w:w="3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user_action_log</w:t>
            </w:r>
          </w:p>
        </w:tc>
        <w:tc>
          <w:tcPr>
            <w:tcW w:type="dxa" w:w="41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ACTED / SKIP click captured</w:t>
            </w:r>
          </w:p>
        </w:tc>
      </w:tr>
      <w:tr>
        <w:tc>
          <w:tcPr>
            <w:tcW w:type="dxa" w:w="17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Outcome</w:t>
            </w:r>
          </w:p>
        </w:tc>
        <w:tc>
          <w:tcPr>
            <w:tcW w:type="dxa" w:w="350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drv_rule_outcome → v_rule_performance</w:t>
            </w:r>
          </w:p>
        </w:tc>
        <w:tc>
          <w:tcPr>
            <w:tcW w:type="dxa" w:w="416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Computed 5 trading days later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b7280"/>
        <w:sz w:val="18"/>
        <w:szCs w:val="18"/>
      </w:rPr>
      <w:t xml:space="preserve">   |   Trading Dashboard   |   2026-05-08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AAPL Worked Example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0B3D9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0B3D9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Calibri" w:cs="Calibri" w:eastAsia="Calibri" w:hAnsi="Calibri"/>
      <w:b/>
      <w:bCs/>
      <w:color w:val="1f3b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e78c78d3533e466ee18d70e33ec7e7551149ca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AAPL Worked Example</dc:title>
  <dc:creator>Trading Dashboard / Cowork analysis</dc:creator>
  <dc:description>AAPL Worked Example</dc:description>
  <cp:lastModifiedBy>Un-named</cp:lastModifiedBy>
  <cp:revision>1</cp:revision>
  <dcterms:created xsi:type="dcterms:W3CDTF">2026-05-08T22:11:08.233Z</dcterms:created>
  <dcterms:modified xsi:type="dcterms:W3CDTF">2026-05-08T22:11:08.233Z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