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B3D91"/>
          <w:sz w:val="48"/>
          <w:szCs w:val="48"/>
        </w:rPr>
        <w:t xml:space="preserve">Trading Dashboard</w:t>
      </w:r>
    </w:p>
    <w:p>
      <w:pPr>
        <w:jc w:val="center"/>
      </w:pPr>
      <w:r>
        <w:rPr>
          <w:b/>
          <w:bCs/>
          <w:color w:val="1f3b80"/>
          <w:sz w:val="32"/>
          <w:szCs w:val="32"/>
        </w:rPr>
        <w:t xml:space="preserve">Data Flow Diagrams</w:t>
      </w:r>
    </w:p>
    <w:p>
      <w:pPr>
        <w:spacing w:before="1000"/>
        <w:jc w:val="center"/>
      </w:pPr>
      <w:r>
        <w:rPr>
          <w:i/>
          <w:iCs/>
          <w:color w:val="6b7280"/>
        </w:rPr>
        <w:t xml:space="preserve">Initial load (Tickers workbook) and Ongoing load (watchdog scheduler).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Notation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These diagrams use Gane–Sarson DFD notation: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Squares (yellow) — external entities (User, browser, source files, source folders).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Rounded rectangles — processes (Python functions, FastAPI handlers).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Cylinders — data stores (database tables grouped by family).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Solid arrows — primary flows; dashed arrows — control / status 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Edge labels describe the data being passed and the persistence semantics (ON CONFLICT DO NOTHING / DELETE-then-INSERT).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PNG files are embedded for inline reading; the matching SVG files live next to this document and import cleanly into Microsoft Visio (File → Insert → SVG) or any modern diagramming tool.</w:t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1. Initial load — DFD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Triggered by `python -m etl.tickers_initial_load`. One Tickers YYYY-MM-DD.xlsx workbook produces one full ref_* + hist_* + drv_* refresh for that date.</w:t>
      </w:r>
    </w:p>
    <w:p>
      <w:pPr>
        <w:spacing w:after="100" w:before="100"/>
        <w:jc w:val="center"/>
      </w:pPr>
      <w:r>
        <w:drawing>
          <wp:inline distT="0" distB="0" distL="0" distR="0">
            <wp:extent cx="6286500" cy="3619500"/>
            <wp:effectExtent t="0" r="0" b="0" l="0"/>
            <wp:docPr id="1" name="dfd_initial_load.png" descr="dfd_initial_load.png" title="dfd_initial_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Process narrative: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(1) The orchestrator opens the workbook, parses the date from the filename, registers in meta_file_processed, and decides which sub-loaders to run (gated by meta_etl_run).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(2) The generic loader maps Excel columns to ref_* and hist_* columns via REF_MAPS / HIST_MAPS in `etl/mappings.py` and inserts in 1000-row batches.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(3) Custom loaders handle non-rectangular tabs (Data, Parm, HQuad, HQds, Trig, etfchg, iichg).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(4) derive_all(D) runs 15 derive_* functions in dependency order. Each is `DELETE WHERE as_of_date=D` then `INSERT`.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(5) Atomic rules are evaluated against drv_ma columns; composite rules sum their contributions.</w:t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2. Ongoing load — DFD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Triggered automatically by `python -m etl.scheduler` (watchdog) or manually with `python -m etl.etl_load &lt;file&gt;`. One source-file produces one hist_* table refresh for that file's date plus a single derive_all rebuild for that date.</w:t>
      </w:r>
    </w:p>
    <w:p>
      <w:pPr>
        <w:spacing w:after="100" w:before="100"/>
        <w:jc w:val="center"/>
      </w:pPr>
      <w:r>
        <w:drawing>
          <wp:inline distT="0" distB="0" distL="0" distR="0">
            <wp:extent cx="6286500" cy="3619500"/>
            <wp:effectExtent t="0" r="0" b="0" l="0"/>
            <wp:docPr id="1" name="dfd_ongoing_load.png" descr="dfd_ongoing_load.png" title="dfd_ongoing_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Key persistence and idempotency contracts: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File dedupe by SHA-256 — same content, same path = no-op (status='skipped').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Original files are never deleted or moved; only copied to etl/working/.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Step-A inserts use ON CONFLICT DO NOTHING. Step-B derives use DELETE+INSERT scoped to as_of_date.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FastAPI reads through SQL functions (v_dash, v_stks, v_ma, v_dash_summary, v_available_dates, v_rule_performance) so a date-locked snapshot is the contract between API and DB.</w:t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3. Component view (for context)</w:t>
      </w:r>
    </w:p>
    <w:p>
      <w:pPr>
        <w:spacing w:after="100" w:before="100"/>
        <w:jc w:val="center"/>
      </w:pPr>
      <w:r>
        <w:drawing>
          <wp:inline distT="0" distB="0" distL="0" distR="0">
            <wp:extent cx="6286500" cy="4572000"/>
            <wp:effectExtent t="0" r="0" b="0" l="0"/>
            <wp:docPr id="1" name="architecture.png" descr="architecture.png" titl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b7280"/>
        <w:sz w:val="18"/>
        <w:szCs w:val="18"/>
      </w:rPr>
      <w:t xml:space="preserve">   |   Trading Dashboard   |   2026-05-08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DataFlow Diagrams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B3D9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0B3D9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1f3b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3b71cdb8d1bd3e06fb7a1316f995b92bdc174e.png"/><Relationship Id="rId10" Type="http://schemas.openxmlformats.org/officeDocument/2006/relationships/image" Target="media/74dd322676cfc11c19b83a932a8c3b6f78efd2f2.png"/><Relationship Id="rId11" Type="http://schemas.openxmlformats.org/officeDocument/2006/relationships/image" Target="media/565a1989ae3a44de84f12f8f6fbe95c1998fd99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DataFlow Diagrams</dc:title>
  <dc:creator>Trading Dashboard / Cowork analysis</dc:creator>
  <dc:description>DataFlow Diagrams</dc:description>
  <cp:lastModifiedBy>Un-named</cp:lastModifiedBy>
  <cp:revision>1</cp:revision>
  <dcterms:created xsi:type="dcterms:W3CDTF">2026-05-08T22:11:07.767Z</dcterms:created>
  <dcterms:modified xsi:type="dcterms:W3CDTF">2026-05-08T22:11:07.767Z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