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color w:val="0B3D91"/>
          <w:sz w:val="56"/>
          <w:szCs w:val="56"/>
        </w:rPr>
        <w:t xml:space="preserve">Trading Dashboard</w:t>
      </w:r>
    </w:p>
    <w:p>
      <w:pPr>
        <w:jc w:val="center"/>
      </w:pPr>
      <w:r>
        <w:rPr>
          <w:b/>
          <w:bCs/>
          <w:color w:val="1f3b80"/>
          <w:sz w:val="36"/>
          <w:szCs w:val="36"/>
        </w:rPr>
        <w:t xml:space="preserve">Design Document</w:t>
      </w:r>
    </w:p>
    <w:p>
      <w:pPr>
        <w:spacing w:after="1200" w:before="200"/>
        <w:jc w:val="center"/>
      </w:pPr>
      <w:r>
        <w:rPr>
          <w:i/>
          <w:iCs/>
          <w:color w:val="6b7280"/>
          <w:sz w:val="22"/>
          <w:szCs w:val="22"/>
        </w:rPr>
        <w:t xml:space="preserve">Local web app + PostgreSQL replacement for the Tickers Excel workbook</w:t>
      </w:r>
    </w:p>
    <w:p>
      <w:pPr>
        <w:jc w:val="center"/>
      </w:pPr>
      <w:r>
        <w:rPr>
          <w:color w:val="6b7280"/>
          <w:sz w:val="20"/>
          <w:szCs w:val="20"/>
        </w:rPr>
        <w:t xml:space="preserve">Owner: Ashok (chashok@yahoo.com)   ·   Version: code state of 2026-05-08   ·   Single-user, local</w:t>
      </w:r>
    </w:p>
    <w:p>
      <w:r>
        <w:br w:type="page"/>
      </w:r>
    </w:p>
    <w:p>
      <w:pPr>
        <w:pStyle w:val="Heading1"/>
        <w:spacing w:after="140" w:before="280"/>
      </w:pPr>
      <w:r>
        <w:rPr>
          <w:b/>
          <w:bCs/>
          <w:color w:val="0B3D91"/>
          <w:sz w:val="36"/>
          <w:szCs w:val="36"/>
        </w:rPr>
        <w:t xml:space="preserve">1. Purpose and scope</w:t>
      </w:r>
    </w:p>
    <w:p>
      <w:pPr>
        <w:spacing w:after="60" w:before="60"/>
        <w:jc w:val="left"/>
      </w:pPr>
      <w:r>
        <w:rPr>
          <w:b w:val="false"/>
          <w:bCs w:val="false"/>
          <w:i w:val="false"/>
          <w:iCs w:val="false"/>
        </w:rPr>
        <w:t xml:space="preserve">This document describes the design of the Trading Dashboard, a local-only web application that replaces a 34-tab Excel workbook (Tickers YYYY-MM-DD.xlsx) used to track daily stock data, run dozens of trading rules, and present a dashboard of recommended actions. It is the up-to-date authoritative description of how the system is built today — every behavior described matches what is in the source code as of 2026-05-08.</w:t>
      </w:r>
    </w:p>
    <w:p>
      <w:pPr>
        <w:spacing w:after="60" w:before="60"/>
        <w:jc w:val="left"/>
      </w:pPr>
      <w:r>
        <w:rPr>
          <w:b w:val="false"/>
          <w:bCs w:val="false"/>
          <w:i w:val="false"/>
          <w:iCs w:val="false"/>
        </w:rPr>
        <w:t xml:space="preserve">The intended audience is the project owner (operator), any future developer (or future AI session) picking up the project, and reviewers asked to evaluate the rule engine. Everything described here is implemented; deviations between this document and CLAUDE.md are explicitly called out at the end of each section.</w:t>
      </w:r>
    </w:p>
    <w:p>
      <w:pPr>
        <w:pStyle w:val="Heading1"/>
        <w:spacing w:after="140" w:before="280"/>
      </w:pPr>
      <w:r>
        <w:rPr>
          <w:b/>
          <w:bCs/>
          <w:color w:val="0B3D91"/>
          <w:sz w:val="36"/>
          <w:szCs w:val="36"/>
        </w:rPr>
        <w:t xml:space="preserve">2. Architectural overview</w:t>
      </w:r>
    </w:p>
    <w:p>
      <w:pPr>
        <w:spacing w:after="60" w:before="60"/>
        <w:jc w:val="left"/>
      </w:pPr>
      <w:r>
        <w:rPr>
          <w:b w:val="false"/>
          <w:bCs w:val="false"/>
          <w:i w:val="false"/>
          <w:iCs w:val="false"/>
        </w:rPr>
        <w:t xml:space="preserve">The system is a four-layer pipeline: ingest → normalize/derive → serve → present. Excel files arrive in 17 source folders. A Python ETL parses them into PostgreSQL hist_* tables. A second Python derive layer rebuilds the drv_* aggregates for the affected date. FastAPI exposes the drv_* and ref_* tables over JSON. A vanilla-JS frontend renders seven distinct views over those endpoints. There is no auth; the API binds to 127.0.0.1 only.</w:t>
      </w:r>
    </w:p>
    <w:p>
      <w:pPr>
        <w:pStyle w:val="Heading2"/>
        <w:spacing w:after="110" w:before="220"/>
      </w:pPr>
      <w:r>
        <w:rPr>
          <w:b/>
          <w:bCs/>
          <w:color w:val="0B3D91"/>
          <w:sz w:val="28"/>
          <w:szCs w:val="28"/>
        </w:rPr>
        <w:t xml:space="preserve">2.1 Component diagram</w:t>
      </w:r>
    </w:p>
    <w:p>
      <w:pPr>
        <w:spacing w:after="100" w:before="100"/>
        <w:jc w:val="center"/>
      </w:pPr>
      <w:r>
        <w:drawing>
          <wp:inline distT="0" distB="0" distL="0" distR="0">
            <wp:extent cx="6096000" cy="4572000"/>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572000"/>
                    </a:xfrm>
                    <a:prstGeom prst="rect">
                      <a:avLst/>
                    </a:prstGeom>
                  </pic:spPr>
                </pic:pic>
              </a:graphicData>
            </a:graphic>
          </wp:inline>
        </w:drawing>
      </w:r>
    </w:p>
    <w:p>
      <w:pPr>
        <w:pStyle w:val="Heading2"/>
        <w:spacing w:after="110" w:before="220"/>
      </w:pPr>
      <w:r>
        <w:rPr>
          <w:b/>
          <w:bCs/>
          <w:color w:val="0B3D91"/>
          <w:sz w:val="28"/>
          <w:szCs w:val="28"/>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C4CC" w:sz="4"/>
              <w:left w:val="single" w:color="BFC4CC" w:sz="4"/>
              <w:bottom w:val="single" w:color="BFC4CC" w:sz="4"/>
              <w:right w:val="single" w:color="BFC4CC" w:sz="4"/>
            </w:tcBorders>
            <w:shd w:fill="DBEAFE" w:val="clear"/>
            <w:tcMar>
              <w:top w:type="dxa" w:w="80"/>
              <w:left w:type="dxa" w:w="120"/>
              <w:bottom w:type="dxa" w:w="80"/>
              <w:right w:type="dxa" w:w="120"/>
            </w:tcMar>
          </w:tcPr>
          <w:p>
            <w:r>
              <w:rPr>
                <w:b/>
                <w:bCs/>
                <w:sz w:val="20"/>
                <w:szCs w:val="20"/>
              </w:rPr>
              <w:t xml:space="preserve">Layer</w:t>
            </w:r>
          </w:p>
        </w:tc>
        <w:tc>
          <w:tcPr>
            <w:tcW w:type="dxa" w:w="3200"/>
            <w:tcBorders>
              <w:top w:val="single" w:color="BFC4CC" w:sz="4"/>
              <w:left w:val="single" w:color="BFC4CC" w:sz="4"/>
              <w:bottom w:val="single" w:color="BFC4CC" w:sz="4"/>
              <w:right w:val="single" w:color="BFC4CC" w:sz="4"/>
            </w:tcBorders>
            <w:shd w:fill="DBEAFE" w:val="clear"/>
            <w:tcMar>
              <w:top w:type="dxa" w:w="80"/>
              <w:left w:type="dxa" w:w="120"/>
              <w:bottom w:type="dxa" w:w="80"/>
              <w:right w:type="dxa" w:w="120"/>
            </w:tcMar>
          </w:tcPr>
          <w:p>
            <w:r>
              <w:rPr>
                <w:b/>
                <w:bCs/>
                <w:sz w:val="20"/>
                <w:szCs w:val="20"/>
              </w:rPr>
              <w:t xml:space="preserve">Component</w:t>
            </w:r>
          </w:p>
        </w:tc>
        <w:tc>
          <w:tcPr>
            <w:tcW w:type="dxa" w:w="3960"/>
            <w:tcBorders>
              <w:top w:val="single" w:color="BFC4CC" w:sz="4"/>
              <w:left w:val="single" w:color="BFC4CC" w:sz="4"/>
              <w:bottom w:val="single" w:color="BFC4CC" w:sz="4"/>
              <w:right w:val="single" w:color="BFC4CC" w:sz="4"/>
            </w:tcBorders>
            <w:shd w:fill="DBEAFE" w:val="clear"/>
            <w:tcMar>
              <w:top w:type="dxa" w:w="80"/>
              <w:left w:type="dxa" w:w="120"/>
              <w:bottom w:type="dxa" w:w="80"/>
              <w:right w:type="dxa" w:w="120"/>
            </w:tcMar>
          </w:tcPr>
          <w:p>
            <w:r>
              <w:rPr>
                <w:b/>
                <w:bCs/>
                <w:sz w:val="20"/>
                <w:szCs w:val="20"/>
              </w:rPr>
              <w:t xml:space="preserve">Notes</w:t>
            </w:r>
          </w:p>
        </w:tc>
      </w:tr>
      <w:tr>
        <w:tc>
          <w:tcPr>
            <w:tcW w:type="dxa" w:w="22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Database</w:t>
            </w:r>
          </w:p>
        </w:tc>
        <w:tc>
          <w:tcPr>
            <w:tcW w:type="dxa" w:w="32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PostgreSQL 17 — `trading`</w:t>
            </w:r>
          </w:p>
        </w:tc>
        <w:tc>
          <w:tcPr>
            <w:tcW w:type="dxa" w:w="39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localhost:5432; ~60 tables across ref_*, hist_*, drv_*, meta_*, plus rule-engine-v2 additions</w:t>
            </w:r>
          </w:p>
        </w:tc>
      </w:tr>
      <w:tr>
        <w:tc>
          <w:tcPr>
            <w:tcW w:type="dxa" w:w="22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ETL</w:t>
            </w:r>
          </w:p>
        </w:tc>
        <w:tc>
          <w:tcPr>
            <w:tcW w:type="dxa" w:w="32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Python 3.11, openpyxl, SQLAlchemy 2 + psycopg v3, watchdog</w:t>
            </w:r>
          </w:p>
        </w:tc>
        <w:tc>
          <w:tcPr>
            <w:tcW w:type="dxa" w:w="39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Per-batch (1000-row) commits; ON CONFLICT DO NOTHING for hist_* and ref_*; DELETE+INSERT for drv_*</w:t>
            </w:r>
          </w:p>
        </w:tc>
      </w:tr>
      <w:tr>
        <w:tc>
          <w:tcPr>
            <w:tcW w:type="dxa" w:w="22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API</w:t>
            </w:r>
          </w:p>
        </w:tc>
        <w:tc>
          <w:tcPr>
            <w:tcW w:type="dxa" w:w="32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FastAPI 0.x + uvicorn</w:t>
            </w:r>
          </w:p>
        </w:tc>
        <w:tc>
          <w:tcPr>
            <w:tcW w:type="dxa" w:w="39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127.0.0.1:8000; CORS=*; pydantic models in `api/models.py`</w:t>
            </w:r>
          </w:p>
        </w:tc>
      </w:tr>
      <w:tr>
        <w:tc>
          <w:tcPr>
            <w:tcW w:type="dxa" w:w="22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Frontend</w:t>
            </w:r>
          </w:p>
        </w:tc>
        <w:tc>
          <w:tcPr>
            <w:tcW w:type="dxa" w:w="32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Vanilla JS + Chart.js 4 (CDN)</w:t>
            </w:r>
          </w:p>
        </w:tc>
        <w:tc>
          <w:tcPr>
            <w:tcW w:type="dxa" w:w="39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Seven HTML pages served from `web/`; no build step</w:t>
            </w:r>
          </w:p>
        </w:tc>
      </w:tr>
      <w:tr>
        <w:tc>
          <w:tcPr>
            <w:tcW w:type="dxa" w:w="22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Config</w:t>
            </w:r>
          </w:p>
        </w:tc>
        <w:tc>
          <w:tcPr>
            <w:tcW w:type="dxa" w:w="32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pydantic-settings + .env</w:t>
            </w:r>
          </w:p>
        </w:tc>
        <w:tc>
          <w:tcPr>
            <w:tcW w:type="dxa" w:w="39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PG credentials, paths, retention; .env is gitignored</w:t>
            </w:r>
          </w:p>
        </w:tc>
      </w:tr>
      <w:tr>
        <w:tc>
          <w:tcPr>
            <w:tcW w:type="dxa" w:w="22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Scheduling</w:t>
            </w:r>
          </w:p>
        </w:tc>
        <w:tc>
          <w:tcPr>
            <w:tcW w:type="dxa" w:w="32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watchdog + Windows-style batch entry points</w:t>
            </w:r>
          </w:p>
        </w:tc>
        <w:tc>
          <w:tcPr>
            <w:tcW w:type="dxa" w:w="39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scheduler.py monitors 17 folders; setup.bat / start.bat are the operator UX</w:t>
            </w:r>
          </w:p>
        </w:tc>
      </w:tr>
    </w:tbl>
    <w:p>
      <w:pPr>
        <w:pStyle w:val="Heading1"/>
        <w:spacing w:after="140" w:before="280"/>
      </w:pPr>
      <w:r>
        <w:rPr>
          <w:b/>
          <w:bCs/>
          <w:color w:val="0B3D91"/>
          <w:sz w:val="36"/>
          <w:szCs w:val="36"/>
        </w:rPr>
        <w:t xml:space="preserve">3. Source-code layout</w:t>
      </w:r>
    </w:p>
    <w:p>
      <w:pPr>
        <w:spacing w:after="60" w:before="60"/>
        <w:jc w:val="left"/>
      </w:pPr>
      <w:r>
        <w:rPr>
          <w:b w:val="false"/>
          <w:bCs w:val="false"/>
          <w:i w:val="false"/>
          <w:iCs w:val="false"/>
        </w:rPr>
        <w:t xml:space="preserve">Top-level structure of `C:\Ashok\Invest\Projects\trading-dashboard`:</w:t>
      </w:r>
    </w:p>
    <w:p>
      <w:pPr>
        <w:shd w:fill="F3F4F6" w:val="clear"/>
        <w:spacing w:after="60" w:before="60"/>
      </w:pPr>
      <w:r>
        <w:rPr>
          <w:rFonts w:ascii="Consolas" w:cs="Consolas" w:eastAsia="Consolas" w:hAnsi="Consolas"/>
          <w:sz w:val="18"/>
          <w:szCs w:val="18"/>
        </w:rPr>
        <w:t xml:space="preserve">api/                FastAPI app — main.py (~870 lines), models.py</w:t>
      </w:r>
      <w:r>
        <w:br/>
      </w:r>
      <w:r>
        <w:rPr>
          <w:rFonts w:ascii="Consolas" w:cs="Consolas" w:eastAsia="Consolas" w:hAnsi="Consolas"/>
          <w:sz w:val="18"/>
          <w:szCs w:val="18"/>
        </w:rPr>
        <w:t xml:space="preserve">config/             pydantic settings; reads .env</w:t>
      </w:r>
      <w:r>
        <w:br/>
      </w:r>
      <w:r>
        <w:rPr>
          <w:rFonts w:ascii="Consolas" w:cs="Consolas" w:eastAsia="Consolas" w:hAnsi="Consolas"/>
          <w:sz w:val="18"/>
          <w:szCs w:val="18"/>
        </w:rPr>
        <w:t xml:space="preserve">db/                 11 SQL DDL files (01..13) + init_db.py + reset_db.py</w:t>
      </w:r>
      <w:r>
        <w:br/>
      </w:r>
      <w:r>
        <w:rPr>
          <w:rFonts w:ascii="Consolas" w:cs="Consolas" w:eastAsia="Consolas" w:hAnsi="Consolas"/>
          <w:sz w:val="18"/>
          <w:szCs w:val="18"/>
        </w:rPr>
        <w:t xml:space="preserve">etl/                tickers_initial_load, etl_load, scheduler, load_raw,</w:t>
      </w:r>
      <w:r>
        <w:br/>
      </w:r>
      <w:r>
        <w:rPr>
          <w:rFonts w:ascii="Consolas" w:cs="Consolas" w:eastAsia="Consolas" w:hAnsi="Consolas"/>
          <w:sz w:val="18"/>
          <w:szCs w:val="18"/>
        </w:rPr>
        <w:t xml:space="preserve">                    derive (+derive_v2 overrides), refresh_ref, cleanup,</w:t>
      </w:r>
      <w:r>
        <w:br/>
      </w:r>
      <w:r>
        <w:rPr>
          <w:rFonts w:ascii="Consolas" w:cs="Consolas" w:eastAsia="Consolas" w:hAnsi="Consolas"/>
          <w:sz w:val="18"/>
          <w:szCs w:val="18"/>
        </w:rPr>
        <w:t xml:space="preserve">                    compute_outcomes, casters, db, mappings, excel_io</w:t>
      </w:r>
      <w:r>
        <w:br/>
      </w:r>
      <w:r>
        <w:rPr>
          <w:rFonts w:ascii="Consolas" w:cs="Consolas" w:eastAsia="Consolas" w:hAnsi="Consolas"/>
          <w:sz w:val="18"/>
          <w:szCs w:val="18"/>
        </w:rPr>
        <w:t xml:space="preserve">web/                index/cockpit/rules/rule_performance/trig/explore/ref</w:t>
      </w:r>
      <w:r>
        <w:br/>
      </w:r>
      <w:r>
        <w:rPr>
          <w:rFonts w:ascii="Consolas" w:cs="Consolas" w:eastAsia="Consolas" w:hAnsi="Consolas"/>
          <w:sz w:val="18"/>
          <w:szCs w:val="18"/>
        </w:rPr>
        <w:t xml:space="preserve">                    .html + .js  (one page each), styles.css</w:t>
      </w:r>
      <w:r>
        <w:br/>
      </w:r>
      <w:r>
        <w:rPr>
          <w:rFonts w:ascii="Consolas" w:cs="Consolas" w:eastAsia="Consolas" w:hAnsi="Consolas"/>
          <w:sz w:val="18"/>
          <w:szCs w:val="18"/>
        </w:rPr>
        <w:t xml:space="preserve">docs/               this document, DFDs, AAPL trace, rules-engine design,</w:t>
      </w:r>
      <w:r>
        <w:br/>
      </w:r>
      <w:r>
        <w:rPr>
          <w:rFonts w:ascii="Consolas" w:cs="Consolas" w:eastAsia="Consolas" w:hAnsi="Consolas"/>
          <w:sz w:val="18"/>
          <w:szCs w:val="18"/>
        </w:rPr>
        <w:t xml:space="preserve">                    recommendations  (generated 2026-05-08)</w:t>
      </w:r>
      <w:r>
        <w:br/>
      </w:r>
      <w:r>
        <w:rPr>
          <w:rFonts w:ascii="Consolas" w:cs="Consolas" w:eastAsia="Consolas" w:hAnsi="Consolas"/>
          <w:sz w:val="18"/>
          <w:szCs w:val="18"/>
        </w:rPr>
        <w:t xml:space="preserve">.env(.example), setup.bat, start.bat, README.md, CLAUDE.md, requirements.txt</w:t>
      </w:r>
    </w:p>
    <w:p>
      <w:pPr>
        <w:pStyle w:val="Heading1"/>
        <w:spacing w:after="140" w:before="280"/>
      </w:pPr>
      <w:r>
        <w:rPr>
          <w:b/>
          <w:bCs/>
          <w:color w:val="0B3D91"/>
          <w:sz w:val="36"/>
          <w:szCs w:val="36"/>
        </w:rPr>
        <w:t xml:space="preserve">4. Data model</w:t>
      </w:r>
    </w:p>
    <w:p>
      <w:pPr>
        <w:spacing w:after="60" w:before="60"/>
        <w:jc w:val="left"/>
      </w:pPr>
      <w:r>
        <w:rPr>
          <w:b w:val="false"/>
          <w:bCs w:val="false"/>
          <w:i w:val="false"/>
          <w:iCs w:val="false"/>
        </w:rPr>
        <w:t xml:space="preserve">Four families plus the rule-engine v2 additions. Naming is consistent: ref_* lookup data, hist_* raw history (append-only), drv_* derived (idempotent rebuild per as_of_date), meta_* operational/audit.</w:t>
      </w:r>
    </w:p>
    <w:p>
      <w:pPr>
        <w:pStyle w:val="Heading2"/>
        <w:spacing w:after="110" w:before="220"/>
      </w:pPr>
      <w:r>
        <w:rPr>
          <w:b/>
          <w:bCs/>
          <w:color w:val="0B3D91"/>
          <w:sz w:val="28"/>
          <w:szCs w:val="28"/>
        </w:rPr>
        <w:t xml:space="preserve">4.1 ref_* (16 lookup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1960"/>
      </w:tblGrid>
      <w:tr>
        <w:trPr>
          <w:tblHeader/>
        </w:trPr>
        <w:tc>
          <w:tcPr>
            <w:tcW w:type="dxa" w:w="3000"/>
            <w:tcBorders>
              <w:top w:val="single" w:color="BFC4CC" w:sz="4"/>
              <w:left w:val="single" w:color="BFC4CC" w:sz="4"/>
              <w:bottom w:val="single" w:color="BFC4CC" w:sz="4"/>
              <w:right w:val="single" w:color="BFC4CC" w:sz="4"/>
            </w:tcBorders>
            <w:shd w:fill="DBEAFE" w:val="clear"/>
            <w:tcMar>
              <w:top w:type="dxa" w:w="80"/>
              <w:left w:type="dxa" w:w="120"/>
              <w:bottom w:type="dxa" w:w="80"/>
              <w:right w:type="dxa" w:w="120"/>
            </w:tcMar>
          </w:tcPr>
          <w:p>
            <w:r>
              <w:rPr>
                <w:b/>
                <w:bCs/>
                <w:sz w:val="20"/>
                <w:szCs w:val="20"/>
              </w:rPr>
              <w:t xml:space="preserve">Table</w:t>
            </w:r>
          </w:p>
        </w:tc>
        <w:tc>
          <w:tcPr>
            <w:tcW w:type="dxa" w:w="4400"/>
            <w:tcBorders>
              <w:top w:val="single" w:color="BFC4CC" w:sz="4"/>
              <w:left w:val="single" w:color="BFC4CC" w:sz="4"/>
              <w:bottom w:val="single" w:color="BFC4CC" w:sz="4"/>
              <w:right w:val="single" w:color="BFC4CC" w:sz="4"/>
            </w:tcBorders>
            <w:shd w:fill="DBEAFE" w:val="clear"/>
            <w:tcMar>
              <w:top w:type="dxa" w:w="80"/>
              <w:left w:type="dxa" w:w="120"/>
              <w:bottom w:type="dxa" w:w="80"/>
              <w:right w:type="dxa" w:w="120"/>
            </w:tcMar>
          </w:tcPr>
          <w:p>
            <w:r>
              <w:rPr>
                <w:b/>
                <w:bCs/>
                <w:sz w:val="20"/>
                <w:szCs w:val="20"/>
              </w:rPr>
              <w:t xml:space="preserve">Source / role</w:t>
            </w:r>
          </w:p>
        </w:tc>
        <w:tc>
          <w:tcPr>
            <w:tcW w:type="dxa" w:w="1960"/>
            <w:tcBorders>
              <w:top w:val="single" w:color="BFC4CC" w:sz="4"/>
              <w:left w:val="single" w:color="BFC4CC" w:sz="4"/>
              <w:bottom w:val="single" w:color="BFC4CC" w:sz="4"/>
              <w:right w:val="single" w:color="BFC4CC" w:sz="4"/>
            </w:tcBorders>
            <w:shd w:fill="DBEAFE" w:val="clear"/>
            <w:tcMar>
              <w:top w:type="dxa" w:w="80"/>
              <w:left w:type="dxa" w:w="120"/>
              <w:bottom w:type="dxa" w:w="80"/>
              <w:right w:type="dxa" w:w="120"/>
            </w:tcMar>
          </w:tcPr>
          <w:p>
            <w:r>
              <w:rPr>
                <w:b/>
                <w:bCs/>
                <w:sz w:val="20"/>
                <w:szCs w:val="20"/>
              </w:rPr>
              <w:t xml:space="preserve">Notes</w:t>
            </w:r>
          </w:p>
        </w:tc>
      </w:tr>
      <w:tr>
        <w:tc>
          <w:tcPr>
            <w:tcW w:type="dxa" w:w="30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ref_sector</w:t>
            </w:r>
          </w:p>
        </w:tc>
        <w:tc>
          <w:tcPr>
            <w:tcW w:type="dxa" w:w="44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Sctr tab → ticker → sector / asset class</w:t>
            </w:r>
          </w:p>
        </w:tc>
        <w:tc>
          <w:tcPr>
            <w:tcW w:type="dxa" w:w="19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~822 rows; PK=ticker</w:t>
            </w:r>
          </w:p>
        </w:tc>
      </w:tr>
      <w:tr>
        <w:tc>
          <w:tcPr>
            <w:tcW w:type="dxa" w:w="30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ref_rrt</w:t>
            </w:r>
          </w:p>
        </w:tc>
        <w:tc>
          <w:tcPr>
            <w:tcW w:type="dxa" w:w="44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RRT tab → RR-name ↔ Y-ticker ↔ TOS-ticker</w:t>
            </w:r>
          </w:p>
        </w:tc>
        <w:tc>
          <w:tcPr>
            <w:tcW w:type="dxa" w:w="19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PK=rr_name</w:t>
            </w:r>
          </w:p>
        </w:tc>
      </w:tr>
      <w:tr>
        <w:tc>
          <w:tcPr>
            <w:tcW w:type="dxa" w:w="30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ref_rule_desc</w:t>
            </w:r>
          </w:p>
        </w:tc>
        <w:tc>
          <w:tcPr>
            <w:tcW w:type="dxa" w:w="44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Desc tab → rule_code → description</w:t>
            </w:r>
          </w:p>
        </w:tc>
        <w:tc>
          <w:tcPr>
            <w:tcW w:type="dxa" w:w="19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~45 rows</w:t>
            </w:r>
          </w:p>
        </w:tc>
      </w:tr>
      <w:tr>
        <w:tc>
          <w:tcPr>
            <w:tcW w:type="dxa" w:w="30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ref_holiday</w:t>
            </w:r>
          </w:p>
        </w:tc>
        <w:tc>
          <w:tcPr>
            <w:tcW w:type="dxa" w:w="44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US market holidays</w:t>
            </w:r>
          </w:p>
        </w:tc>
        <w:tc>
          <w:tcPr>
            <w:tcW w:type="dxa" w:w="19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PK=holiday_date</w:t>
            </w:r>
          </w:p>
        </w:tc>
      </w:tr>
      <w:tr>
        <w:tc>
          <w:tcPr>
            <w:tcW w:type="dxa" w:w="30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ref_econ_indicator</w:t>
            </w:r>
          </w:p>
        </w:tc>
        <w:tc>
          <w:tcPr>
            <w:tcW w:type="dxa" w:w="44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CPI / GDP / etc.</w:t>
            </w:r>
          </w:p>
        </w:tc>
        <w:tc>
          <w:tcPr>
            <w:tcW w:type="dxa" w:w="19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PK=indicator_date+indicator</w:t>
            </w:r>
          </w:p>
        </w:tc>
      </w:tr>
      <w:tr>
        <w:tc>
          <w:tcPr>
            <w:tcW w:type="dxa" w:w="30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ref_fed_blackout</w:t>
            </w:r>
          </w:p>
        </w:tc>
        <w:tc>
          <w:tcPr>
            <w:tcW w:type="dxa" w:w="44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Fed blackout windows</w:t>
            </w:r>
          </w:p>
        </w:tc>
        <w:tc>
          <w:tcPr>
            <w:tcW w:type="dxa" w:w="19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PK=start_date</w:t>
            </w:r>
          </w:p>
        </w:tc>
      </w:tr>
      <w:tr>
        <w:tc>
          <w:tcPr>
            <w:tcW w:type="dxa" w:w="30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ref_calendar_event</w:t>
            </w:r>
          </w:p>
        </w:tc>
        <w:tc>
          <w:tcPr>
            <w:tcW w:type="dxa" w:w="44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31 categories of calendar events</w:t>
            </w:r>
          </w:p>
        </w:tc>
        <w:tc>
          <w:tcPr>
            <w:tcW w:type="dxa" w:w="19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PK=category+event_date</w:t>
            </w:r>
          </w:p>
        </w:tc>
      </w:tr>
      <w:tr>
        <w:tc>
          <w:tcPr>
            <w:tcW w:type="dxa" w:w="30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ref_quad_outlook / ref_quad_periods</w:t>
            </w:r>
          </w:p>
        </w:tc>
        <w:tc>
          <w:tcPr>
            <w:tcW w:type="dxa" w:w="44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Hedgeye-style Quad regime</w:t>
            </w:r>
          </w:p>
        </w:tc>
        <w:tc>
          <w:tcPr>
            <w:tcW w:type="dxa" w:w="19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two tables</w:t>
            </w:r>
          </w:p>
        </w:tc>
      </w:tr>
      <w:tr>
        <w:tc>
          <w:tcPr>
            <w:tcW w:type="dxa" w:w="30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ref_param</w:t>
            </w:r>
          </w:p>
        </w:tc>
        <w:tc>
          <w:tcPr>
            <w:tcW w:type="dxa" w:w="44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Simple key/value pairs from Parm tab</w:t>
            </w:r>
          </w:p>
        </w:tc>
        <w:tc>
          <w:tcPr>
            <w:tcW w:type="dxa" w:w="19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PK=sheet+param_name</w:t>
            </w:r>
          </w:p>
        </w:tc>
      </w:tr>
      <w:tr>
        <w:tc>
          <w:tcPr>
            <w:tcW w:type="dxa" w:w="30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ref_param_lookup</w:t>
            </w:r>
          </w:p>
        </w:tc>
        <w:tc>
          <w:tcPr>
            <w:tcW w:type="dxa" w:w="44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Multi-column lookups (W Vol Rule, BB Range, IV Action, BuySell, …)</w:t>
            </w:r>
          </w:p>
        </w:tc>
        <w:tc>
          <w:tcPr>
            <w:tcW w:type="dxa" w:w="19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PK=table_name+code</w:t>
            </w:r>
          </w:p>
        </w:tc>
      </w:tr>
      <w:tr>
        <w:tc>
          <w:tcPr>
            <w:tcW w:type="dxa" w:w="30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ref_asset_allocation</w:t>
            </w:r>
          </w:p>
        </w:tc>
        <w:tc>
          <w:tcPr>
            <w:tcW w:type="dxa" w:w="44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Per-asset-class targets</w:t>
            </w:r>
          </w:p>
        </w:tc>
        <w:tc>
          <w:tcPr>
            <w:tcW w:type="dxa" w:w="19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PK=category</w:t>
            </w:r>
          </w:p>
        </w:tc>
      </w:tr>
      <w:tr>
        <w:tc>
          <w:tcPr>
            <w:tcW w:type="dxa" w:w="30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ref_load_files</w:t>
            </w:r>
          </w:p>
        </w:tc>
        <w:tc>
          <w:tcPr>
            <w:tcW w:type="dxa" w:w="44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Drives ETL scheduler (17 file types)</w:t>
            </w:r>
          </w:p>
        </w:tc>
        <w:tc>
          <w:tcPr>
            <w:tcW w:type="dxa" w:w="19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PK=file_type+week_day+file_time</w:t>
            </w:r>
          </w:p>
        </w:tc>
      </w:tr>
      <w:tr>
        <w:tc>
          <w:tcPr>
            <w:tcW w:type="dxa" w:w="30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ref_ismh</w:t>
            </w:r>
          </w:p>
        </w:tc>
        <w:tc>
          <w:tcPr>
            <w:tcW w:type="dxa" w:w="44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ISM PMI history</w:t>
            </w:r>
          </w:p>
        </w:tc>
        <w:tc>
          <w:tcPr>
            <w:tcW w:type="dxa" w:w="19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~10K rows; PK=for_month+index_name</w:t>
            </w:r>
          </w:p>
        </w:tc>
      </w:tr>
      <w:tr>
        <w:tc>
          <w:tcPr>
            <w:tcW w:type="dxa" w:w="30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ref_trig_atomic_rule</w:t>
            </w:r>
          </w:p>
        </w:tc>
        <w:tc>
          <w:tcPr>
            <w:tcW w:type="dxa" w:w="44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115 atomic rule definitions (extended in v2)</w:t>
            </w:r>
          </w:p>
        </w:tc>
        <w:tc>
          <w:tcPr>
            <w:tcW w:type="dxa" w:w="19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PK=atomic_rule_id (Trig row #)</w:t>
            </w:r>
          </w:p>
        </w:tc>
      </w:tr>
      <w:tr>
        <w:tc>
          <w:tcPr>
            <w:tcW w:type="dxa" w:w="30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ref_trig_composite_mapping</w:t>
            </w:r>
          </w:p>
        </w:tc>
        <w:tc>
          <w:tcPr>
            <w:tcW w:type="dxa" w:w="44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Which atomics feed which composite</w:t>
            </w:r>
          </w:p>
        </w:tc>
        <w:tc>
          <w:tcPr>
            <w:tcW w:type="dxa" w:w="19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PK=composite_rule_code+atomic_rule_id</w:t>
            </w:r>
          </w:p>
        </w:tc>
      </w:tr>
      <w:tr>
        <w:tc>
          <w:tcPr>
            <w:tcW w:type="dxa" w:w="30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ref_settings</w:t>
            </w:r>
          </w:p>
        </w:tc>
        <w:tc>
          <w:tcPr>
            <w:tcW w:type="dxa" w:w="44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Seeded outcome thresholds (added in v2)</w:t>
            </w:r>
          </w:p>
        </w:tc>
        <w:tc>
          <w:tcPr>
            <w:tcW w:type="dxa" w:w="19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PK=setting_name; not currently consulted by code</w:t>
            </w:r>
          </w:p>
        </w:tc>
      </w:tr>
    </w:tbl>
    <w:p>
      <w:pPr>
        <w:pStyle w:val="Heading2"/>
        <w:spacing w:after="110" w:before="220"/>
      </w:pPr>
      <w:r>
        <w:rPr>
          <w:b/>
          <w:bCs/>
          <w:color w:val="0B3D91"/>
          <w:sz w:val="28"/>
          <w:szCs w:val="28"/>
        </w:rPr>
        <w:t xml:space="preserve">4.2 hist_* (17 raw history tables)</w:t>
      </w:r>
    </w:p>
    <w:p>
      <w:pPr>
        <w:spacing w:after="60" w:before="60"/>
        <w:jc w:val="left"/>
      </w:pPr>
      <w:r>
        <w:rPr>
          <w:b w:val="false"/>
          <w:bCs w:val="false"/>
          <w:i w:val="false"/>
          <w:iCs w:val="false"/>
        </w:rPr>
        <w:t xml:space="preserve">Append-only. Each row is keyed by (snapshot_date, symbol[, sequence|account]). Loaded via `etl/load_raw.py` with `ON CONFLICT DO NOTHING`, batched 1000 rows. Includes `loaded_at` and `source_file` for traceability.</w:t>
      </w:r>
    </w:p>
    <w:p>
      <w:pPr>
        <w:shd w:fill="F3F4F6" w:val="clear"/>
        <w:spacing w:after="60" w:before="60"/>
      </w:pPr>
      <w:r>
        <w:rPr>
          <w:rFonts w:ascii="Consolas" w:cs="Consolas" w:eastAsia="Consolas" w:hAnsi="Consolas"/>
          <w:sz w:val="18"/>
          <w:szCs w:val="18"/>
        </w:rPr>
        <w:t xml:space="preserve">hist_y         (snapshot_date, symbol, sequence)        Yahoo daily quote</w:t>
      </w:r>
      <w:r>
        <w:br/>
      </w:r>
      <w:r>
        <w:rPr>
          <w:rFonts w:ascii="Consolas" w:cs="Consolas" w:eastAsia="Consolas" w:hAnsi="Consolas"/>
          <w:sz w:val="18"/>
          <w:szCs w:val="18"/>
        </w:rPr>
        <w:t xml:space="preserve">hist_tl        (snapshot_date, symbol, sequence)        TOS Latest (intraday)</w:t>
      </w:r>
      <w:r>
        <w:br/>
      </w:r>
      <w:r>
        <w:rPr>
          <w:rFonts w:ascii="Consolas" w:cs="Consolas" w:eastAsia="Consolas" w:hAnsi="Consolas"/>
          <w:sz w:val="18"/>
          <w:szCs w:val="18"/>
        </w:rPr>
        <w:t xml:space="preserve">hist_td        (snapshot_date, symbol, sequence)        TOS Daily</w:t>
      </w:r>
      <w:r>
        <w:br/>
      </w:r>
      <w:r>
        <w:rPr>
          <w:rFonts w:ascii="Consolas" w:cs="Consolas" w:eastAsia="Consolas" w:hAnsi="Consolas"/>
          <w:sz w:val="18"/>
          <w:szCs w:val="18"/>
        </w:rPr>
        <w:t xml:space="preserve">hist_tw        (snapshot_date, symbol, sequence)        TOS Weekly</w:t>
      </w:r>
      <w:r>
        <w:br/>
      </w:r>
      <w:r>
        <w:rPr>
          <w:rFonts w:ascii="Consolas" w:cs="Consolas" w:eastAsia="Consolas" w:hAnsi="Consolas"/>
          <w:sz w:val="18"/>
          <w:szCs w:val="18"/>
        </w:rPr>
        <w:t xml:space="preserve">hist_to        (snapshot_date, symbol, sequence)        TOS Other (Sunday)</w:t>
      </w:r>
      <w:r>
        <w:br/>
      </w:r>
      <w:r>
        <w:rPr>
          <w:rFonts w:ascii="Consolas" w:cs="Consolas" w:eastAsia="Consolas" w:hAnsi="Consolas"/>
          <w:sz w:val="18"/>
          <w:szCs w:val="18"/>
        </w:rPr>
        <w:t xml:space="preserve">hist_rr        (snapshot_date, symbol)                   Risk Range</w:t>
      </w:r>
      <w:r>
        <w:br/>
      </w:r>
      <w:r>
        <w:rPr>
          <w:rFonts w:ascii="Consolas" w:cs="Consolas" w:eastAsia="Consolas" w:hAnsi="Consolas"/>
          <w:sz w:val="18"/>
          <w:szCs w:val="18"/>
        </w:rPr>
        <w:t xml:space="preserve">hist_call      (snapshot_date, symbol)                   "Call" workbook (trimmed)</w:t>
      </w:r>
      <w:r>
        <w:br/>
      </w:r>
      <w:r>
        <w:rPr>
          <w:rFonts w:ascii="Consolas" w:cs="Consolas" w:eastAsia="Consolas" w:hAnsi="Consolas"/>
          <w:sz w:val="18"/>
          <w:szCs w:val="18"/>
        </w:rPr>
        <w:t xml:space="preserve">hist_etf       (snapshot_date, symbol)                   ETF (trimmed)</w:t>
      </w:r>
      <w:r>
        <w:br/>
      </w:r>
      <w:r>
        <w:rPr>
          <w:rFonts w:ascii="Consolas" w:cs="Consolas" w:eastAsia="Consolas" w:hAnsi="Consolas"/>
          <w:sz w:val="18"/>
          <w:szCs w:val="18"/>
        </w:rPr>
        <w:t xml:space="preserve">hist_etfchg    (event_date, symbol)                      ETF entry change history</w:t>
      </w:r>
      <w:r>
        <w:br/>
      </w:r>
      <w:r>
        <w:rPr>
          <w:rFonts w:ascii="Consolas" w:cs="Consolas" w:eastAsia="Consolas" w:hAnsi="Consolas"/>
          <w:sz w:val="18"/>
          <w:szCs w:val="18"/>
        </w:rPr>
        <w:t xml:space="preserve">hist_ii        (snapshot_date, symbol)                   II indicator (trimmed)</w:t>
      </w:r>
      <w:r>
        <w:br/>
      </w:r>
      <w:r>
        <w:rPr>
          <w:rFonts w:ascii="Consolas" w:cs="Consolas" w:eastAsia="Consolas" w:hAnsi="Consolas"/>
          <w:sz w:val="18"/>
          <w:szCs w:val="18"/>
        </w:rPr>
        <w:t xml:space="preserve">hist_iichg     (event_date, symbol)                      II change history</w:t>
      </w:r>
      <w:r>
        <w:br/>
      </w:r>
      <w:r>
        <w:rPr>
          <w:rFonts w:ascii="Consolas" w:cs="Consolas" w:eastAsia="Consolas" w:hAnsi="Consolas"/>
          <w:sz w:val="18"/>
          <w:szCs w:val="18"/>
        </w:rPr>
        <w:t xml:space="preserve">hist_ssh       (snapshot_date, symbol)                   Signal Strength current week (trimmed)</w:t>
      </w:r>
      <w:r>
        <w:br/>
      </w:r>
      <w:r>
        <w:rPr>
          <w:rFonts w:ascii="Consolas" w:cs="Consolas" w:eastAsia="Consolas" w:hAnsi="Consolas"/>
          <w:sz w:val="18"/>
          <w:szCs w:val="18"/>
        </w:rPr>
        <w:t xml:space="preserve">hist_psrk / hist_ps5 / hist_pstn       Friday rank/percent inputs</w:t>
      </w:r>
      <w:r>
        <w:br/>
      </w:r>
      <w:r>
        <w:rPr>
          <w:rFonts w:ascii="Consolas" w:cs="Consolas" w:eastAsia="Consolas" w:hAnsi="Consolas"/>
          <w:sz w:val="18"/>
          <w:szCs w:val="18"/>
        </w:rPr>
        <w:t xml:space="preserve">hist_f         (snapshot_date, account_number, symbol)  Fidelity holdings</w:t>
      </w:r>
      <w:r>
        <w:br/>
      </w:r>
      <w:r>
        <w:rPr>
          <w:rFonts w:ascii="Consolas" w:cs="Consolas" w:eastAsia="Consolas" w:hAnsi="Consolas"/>
          <w:sz w:val="18"/>
          <w:szCs w:val="18"/>
        </w:rPr>
        <w:t xml:space="preserve">hist_cs        (snapshot_date, account, symbol)         Schwab holdings</w:t>
      </w:r>
    </w:p>
    <w:p>
      <w:pPr>
        <w:spacing w:after="60" w:before="60"/>
        <w:jc w:val="left"/>
      </w:pPr>
      <w:r>
        <w:rPr>
          <w:b w:val="false"/>
          <w:bCs w:val="false"/>
          <w:i w:val="false"/>
          <w:iCs w:val="false"/>
        </w:rPr>
        <w:t xml:space="preserve">hist_call, hist_etf, hist_ii, hist_ssh are deliberately trimmed to raw imported columns; their derived columns live in drv_call, drv_etf, drv_ii, drv_ssh.</w:t>
      </w:r>
    </w:p>
    <w:p>
      <w:pPr>
        <w:pStyle w:val="Heading2"/>
        <w:spacing w:after="110" w:before="220"/>
      </w:pPr>
      <w:r>
        <w:rPr>
          <w:b/>
          <w:bCs/>
          <w:color w:val="0B3D91"/>
          <w:sz w:val="28"/>
          <w:szCs w:val="28"/>
        </w:rPr>
        <w:t xml:space="preserve">4.3 drv_* (15 derived tables)</w:t>
      </w:r>
    </w:p>
    <w:p>
      <w:pPr>
        <w:spacing w:after="60" w:before="60"/>
        <w:jc w:val="left"/>
      </w:pPr>
      <w:r>
        <w:rPr>
          <w:b w:val="false"/>
          <w:bCs w:val="false"/>
          <w:i w:val="false"/>
          <w:iCs w:val="false"/>
        </w:rPr>
        <w:t xml:space="preserve">Populated by `etl/derive.py` (with `etl/derive_v2.py` overriding tw/etf/ii/ssh/ps/sss). Idempotent: each derive function does `DELETE WHERE as_of_date=D` then `INSERT`. Each row carries `computed_at` and `source_run_id` for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C4CC" w:sz="4"/>
              <w:left w:val="single" w:color="BFC4CC" w:sz="4"/>
              <w:bottom w:val="single" w:color="BFC4CC" w:sz="4"/>
              <w:right w:val="single" w:color="BFC4CC" w:sz="4"/>
            </w:tcBorders>
            <w:shd w:fill="DBEAFE" w:val="clear"/>
            <w:tcMar>
              <w:top w:type="dxa" w:w="80"/>
              <w:left w:type="dxa" w:w="120"/>
              <w:bottom w:type="dxa" w:w="80"/>
              <w:right w:type="dxa" w:w="120"/>
            </w:tcMar>
          </w:tcPr>
          <w:p>
            <w:r>
              <w:rPr>
                <w:b/>
                <w:bCs/>
                <w:sz w:val="20"/>
                <w:szCs w:val="20"/>
              </w:rPr>
              <w:t xml:space="preserve">Table</w:t>
            </w:r>
          </w:p>
        </w:tc>
        <w:tc>
          <w:tcPr>
            <w:tcW w:type="dxa" w:w="2800"/>
            <w:tcBorders>
              <w:top w:val="single" w:color="BFC4CC" w:sz="4"/>
              <w:left w:val="single" w:color="BFC4CC" w:sz="4"/>
              <w:bottom w:val="single" w:color="BFC4CC" w:sz="4"/>
              <w:right w:val="single" w:color="BFC4CC" w:sz="4"/>
            </w:tcBorders>
            <w:shd w:fill="DBEAFE" w:val="clear"/>
            <w:tcMar>
              <w:top w:type="dxa" w:w="80"/>
              <w:left w:type="dxa" w:w="120"/>
              <w:bottom w:type="dxa" w:w="80"/>
              <w:right w:type="dxa" w:w="120"/>
            </w:tcMar>
          </w:tcPr>
          <w:p>
            <w:r>
              <w:rPr>
                <w:b/>
                <w:bCs/>
                <w:sz w:val="20"/>
                <w:szCs w:val="20"/>
              </w:rPr>
              <w:t xml:space="preserve">Built from</w:t>
            </w:r>
          </w:p>
        </w:tc>
        <w:tc>
          <w:tcPr>
            <w:tcW w:type="dxa" w:w="4160"/>
            <w:tcBorders>
              <w:top w:val="single" w:color="BFC4CC" w:sz="4"/>
              <w:left w:val="single" w:color="BFC4CC" w:sz="4"/>
              <w:bottom w:val="single" w:color="BFC4CC" w:sz="4"/>
              <w:right w:val="single" w:color="BFC4CC" w:sz="4"/>
            </w:tcBorders>
            <w:shd w:fill="DBEAFE" w:val="clear"/>
            <w:tcMar>
              <w:top w:type="dxa" w:w="80"/>
              <w:left w:type="dxa" w:w="120"/>
              <w:bottom w:type="dxa" w:w="80"/>
              <w:right w:type="dxa" w:w="120"/>
            </w:tcMar>
          </w:tcPr>
          <w:p>
            <w:r>
              <w:rPr>
                <w:b/>
                <w:bCs/>
                <w:sz w:val="20"/>
                <w:szCs w:val="20"/>
              </w:rPr>
              <w:t xml:space="preserve">Concept</w:t>
            </w:r>
          </w:p>
        </w:tc>
      </w:tr>
      <w:tr>
        <w:tc>
          <w:tcPr>
            <w:tcW w:type="dxa" w:w="24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drv_tl</w:t>
            </w:r>
          </w:p>
        </w:tc>
        <w:tc>
          <w:tcPr>
            <w:tcW w:type="dxa" w:w="28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hist_tl</w:t>
            </w:r>
          </w:p>
        </w:tc>
        <w:tc>
          <w:tcPr>
            <w:tcW w:type="dxa" w:w="41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vlm_projected, imp_volatility_clean</w:t>
            </w:r>
          </w:p>
        </w:tc>
      </w:tr>
      <w:tr>
        <w:tc>
          <w:tcPr>
            <w:tcW w:type="dxa" w:w="24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drv_td</w:t>
            </w:r>
          </w:p>
        </w:tc>
        <w:tc>
          <w:tcPr>
            <w:tcW w:type="dxa" w:w="28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hist_td history</w:t>
            </w:r>
          </w:p>
        </w:tc>
        <w:tc>
          <w:tcPr>
            <w:tcW w:type="dxa" w:w="41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BB band family, IV/HV percentiles, RSI variants, d_iv_to_hv, range_compression</w:t>
            </w:r>
          </w:p>
        </w:tc>
      </w:tr>
      <w:tr>
        <w:tc>
          <w:tcPr>
            <w:tcW w:type="dxa" w:w="24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drv_tw</w:t>
            </w:r>
          </w:p>
        </w:tc>
        <w:tc>
          <w:tcPr>
            <w:tcW w:type="dxa" w:w="28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hist_tw + history (v2)</w:t>
            </w:r>
          </w:p>
        </w:tc>
        <w:tc>
          <w:tcPr>
            <w:tcW w:type="dxa" w:w="41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weekly vol projection, MACD signals, weekly change</w:t>
            </w:r>
          </w:p>
        </w:tc>
      </w:tr>
      <w:tr>
        <w:tc>
          <w:tcPr>
            <w:tcW w:type="dxa" w:w="24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drv_call</w:t>
            </w:r>
          </w:p>
        </w:tc>
        <w:tc>
          <w:tcPr>
            <w:tcW w:type="dxa" w:w="28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hist_call + ref_param</w:t>
            </w:r>
          </w:p>
        </w:tc>
        <w:tc>
          <w:tcPr>
            <w:tcW w:type="dxa" w:w="41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outlook → weight → entry/cont action</w:t>
            </w:r>
          </w:p>
        </w:tc>
      </w:tr>
      <w:tr>
        <w:tc>
          <w:tcPr>
            <w:tcW w:type="dxa" w:w="24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drv_etf</w:t>
            </w:r>
          </w:p>
        </w:tc>
        <w:tc>
          <w:tcPr>
            <w:tcW w:type="dxa" w:w="28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hist_etf + ref_param (v2)</w:t>
            </w:r>
          </w:p>
        </w:tc>
        <w:tc>
          <w:tcPr>
            <w:tcW w:type="dxa" w:w="41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weekly + entry/cont action</w:t>
            </w:r>
          </w:p>
        </w:tc>
      </w:tr>
      <w:tr>
        <w:tc>
          <w:tcPr>
            <w:tcW w:type="dxa" w:w="24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drv_ii</w:t>
            </w:r>
          </w:p>
        </w:tc>
        <w:tc>
          <w:tcPr>
            <w:tcW w:type="dxa" w:w="28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hist_ii + ref_param (v2)</w:t>
            </w:r>
          </w:p>
        </w:tc>
        <w:tc>
          <w:tcPr>
            <w:tcW w:type="dxa" w:w="41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outlook → weight → entry/cont action</w:t>
            </w:r>
          </w:p>
        </w:tc>
      </w:tr>
      <w:tr>
        <w:tc>
          <w:tcPr>
            <w:tcW w:type="dxa" w:w="24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drv_ssh</w:t>
            </w:r>
          </w:p>
        </w:tc>
        <w:tc>
          <w:tcPr>
            <w:tcW w:type="dxa" w:w="28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hist_ssh (v2)</w:t>
            </w:r>
          </w:p>
        </w:tc>
        <w:tc>
          <w:tcPr>
            <w:tcW w:type="dxa" w:w="41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rank/signal/signal_sign + extras</w:t>
            </w:r>
          </w:p>
        </w:tc>
      </w:tr>
      <w:tr>
        <w:tc>
          <w:tcPr>
            <w:tcW w:type="dxa" w:w="24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drv_ssl</w:t>
            </w:r>
          </w:p>
        </w:tc>
        <w:tc>
          <w:tcPr>
            <w:tcW w:type="dxa" w:w="28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hist_ssh lag −7d</w:t>
            </w:r>
          </w:p>
        </w:tc>
        <w:tc>
          <w:tcPr>
            <w:tcW w:type="dxa" w:w="41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Signal Strength last week</w:t>
            </w:r>
          </w:p>
        </w:tc>
      </w:tr>
      <w:tr>
        <w:tc>
          <w:tcPr>
            <w:tcW w:type="dxa" w:w="24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drv_sss</w:t>
            </w:r>
          </w:p>
        </w:tc>
        <w:tc>
          <w:tcPr>
            <w:tcW w:type="dxa" w:w="28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hist_ssh + drv_ssl (v2)</w:t>
            </w:r>
          </w:p>
        </w:tc>
        <w:tc>
          <w:tcPr>
            <w:tcW w:type="dxa" w:w="41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Signal Strength Series with deltas</w:t>
            </w:r>
          </w:p>
        </w:tc>
      </w:tr>
      <w:tr>
        <w:tc>
          <w:tcPr>
            <w:tcW w:type="dxa" w:w="24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drv_ps</w:t>
            </w:r>
          </w:p>
        </w:tc>
        <w:tc>
          <w:tcPr>
            <w:tcW w:type="dxa" w:w="28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hist_ps* (v2)</w:t>
            </w:r>
          </w:p>
        </w:tc>
        <w:tc>
          <w:tcPr>
            <w:tcW w:type="dxa" w:w="41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Rebuilt percent-rank rollup</w:t>
            </w:r>
          </w:p>
        </w:tc>
      </w:tr>
      <w:tr>
        <w:tc>
          <w:tcPr>
            <w:tcW w:type="dxa" w:w="24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drv_ma</w:t>
            </w:r>
          </w:p>
        </w:tc>
        <w:tc>
          <w:tcPr>
            <w:tcW w:type="dxa" w:w="28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EVERYTHING above + ref_sector</w:t>
            </w:r>
          </w:p>
        </w:tc>
        <w:tc>
          <w:tcPr>
            <w:tcW w:type="dxa" w:w="41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 central wide row per (as_of_date, symbol). ~50 cols. Read by everything below.</w:t>
            </w:r>
          </w:p>
        </w:tc>
      </w:tr>
      <w:tr>
        <w:tc>
          <w:tcPr>
            <w:tcW w:type="dxa" w:w="24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drv_dash</w:t>
            </w:r>
          </w:p>
        </w:tc>
        <w:tc>
          <w:tcPr>
            <w:tcW w:type="dxa" w:w="28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drv_ma + section classifier</w:t>
            </w:r>
          </w:p>
        </w:tc>
        <w:tc>
          <w:tcPr>
            <w:tcW w:type="dxa" w:w="41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Dashboard rows. threshold_low/high/zone_signal currently NULL.</w:t>
            </w:r>
          </w:p>
        </w:tc>
      </w:tr>
      <w:tr>
        <w:tc>
          <w:tcPr>
            <w:tcW w:type="dxa" w:w="24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drv_stks</w:t>
            </w:r>
          </w:p>
        </w:tc>
        <w:tc>
          <w:tcPr>
            <w:tcW w:type="dxa" w:w="28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drv_ma + atomic + composite eval</w:t>
            </w:r>
          </w:p>
        </w:tc>
        <w:tc>
          <w:tcPr>
            <w:tcW w:type="dxa" w:w="41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Mirrors Stks tab. Adds composite_outlook, composite_label, triggered_atomic_ids JSONB, triggered_composite_ids JSONB.</w:t>
            </w:r>
          </w:p>
        </w:tc>
      </w:tr>
      <w:tr>
        <w:tc>
          <w:tcPr>
            <w:tcW w:type="dxa" w:w="24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drv_dash_summary</w:t>
            </w:r>
          </w:p>
        </w:tc>
        <w:tc>
          <w:tcPr>
            <w:tcW w:type="dxa" w:w="28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drv_ma + ref_econ + ref_holiday</w:t>
            </w:r>
          </w:p>
        </w:tc>
        <w:tc>
          <w:tcPr>
            <w:tcW w:type="dxa" w:w="41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KPI cards: BULL%, BEAR%, next econ, next holiday</w:t>
            </w:r>
          </w:p>
        </w:tc>
      </w:tr>
      <w:tr>
        <w:tc>
          <w:tcPr>
            <w:tcW w:type="dxa" w:w="24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drv_missing_symbols</w:t>
            </w:r>
          </w:p>
        </w:tc>
        <w:tc>
          <w:tcPr>
            <w:tcW w:type="dxa" w:w="28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hist_* − drv_ma</w:t>
            </w:r>
          </w:p>
        </w:tc>
        <w:tc>
          <w:tcPr>
            <w:tcW w:type="dxa" w:w="41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Tickers in some source but not in MA</w:t>
            </w:r>
          </w:p>
        </w:tc>
      </w:tr>
      <w:tr>
        <w:tc>
          <w:tcPr>
            <w:tcW w:type="dxa" w:w="24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drv_trig</w:t>
            </w:r>
          </w:p>
        </w:tc>
        <w:tc>
          <w:tcPr>
            <w:tcW w:type="dxa" w:w="28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drv_ma × ref_trig_*</w:t>
            </w:r>
          </w:p>
        </w:tc>
        <w:tc>
          <w:tcPr>
            <w:tcW w:type="dxa" w:w="41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~70 composites × every symbol × date. Uses LEGACY bucket scoring (see §6).</w:t>
            </w:r>
          </w:p>
        </w:tc>
      </w:tr>
    </w:tbl>
    <w:p>
      <w:pPr>
        <w:pStyle w:val="Heading2"/>
        <w:spacing w:after="110" w:before="220"/>
      </w:pPr>
      <w:r>
        <w:rPr>
          <w:b/>
          <w:bCs/>
          <w:color w:val="0B3D91"/>
          <w:sz w:val="28"/>
          <w:szCs w:val="28"/>
        </w:rPr>
        <w:t xml:space="preserve">4.4 meta_* (5 audit / operational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4CC" w:sz="4"/>
              <w:left w:val="single" w:color="BFC4CC" w:sz="4"/>
              <w:bottom w:val="single" w:color="BFC4CC" w:sz="4"/>
              <w:right w:val="single" w:color="BFC4CC" w:sz="4"/>
            </w:tcBorders>
            <w:shd w:fill="DBEAFE" w:val="clear"/>
            <w:tcMar>
              <w:top w:type="dxa" w:w="80"/>
              <w:left w:type="dxa" w:w="120"/>
              <w:bottom w:type="dxa" w:w="80"/>
              <w:right w:type="dxa" w:w="120"/>
            </w:tcMar>
          </w:tcPr>
          <w:p>
            <w:r>
              <w:rPr>
                <w:b/>
                <w:bCs/>
                <w:sz w:val="20"/>
                <w:szCs w:val="20"/>
              </w:rPr>
              <w:t xml:space="preserve">Table</w:t>
            </w:r>
          </w:p>
        </w:tc>
        <w:tc>
          <w:tcPr>
            <w:tcW w:type="dxa" w:w="6360"/>
            <w:tcBorders>
              <w:top w:val="single" w:color="BFC4CC" w:sz="4"/>
              <w:left w:val="single" w:color="BFC4CC" w:sz="4"/>
              <w:bottom w:val="single" w:color="BFC4CC" w:sz="4"/>
              <w:right w:val="single" w:color="BFC4CC" w:sz="4"/>
            </w:tcBorders>
            <w:shd w:fill="DBEAFE" w:val="clear"/>
            <w:tcMar>
              <w:top w:type="dxa" w:w="80"/>
              <w:left w:type="dxa" w:w="120"/>
              <w:bottom w:type="dxa" w:w="80"/>
              <w:right w:type="dxa" w:w="120"/>
            </w:tcMar>
          </w:tcPr>
          <w:p>
            <w:r>
              <w:rPr>
                <w:b/>
                <w:bCs/>
                <w:sz w:val="20"/>
                <w:szCs w:val="20"/>
              </w:rPr>
              <w:t xml:space="preserve">Purpose</w:t>
            </w:r>
          </w:p>
        </w:tc>
      </w:tr>
      <w:tr>
        <w:tc>
          <w:tcPr>
            <w:tcW w:type="dxa" w:w="30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meta_etl_run</w:t>
            </w:r>
          </w:p>
        </w:tc>
        <w:tc>
          <w:tcPr>
            <w:tcW w:type="dxa" w:w="63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One row per (file × table) load — started/finished, rows_read/inserted/skipped, status. Updated live during load.</w:t>
            </w:r>
          </w:p>
        </w:tc>
      </w:tr>
      <w:tr>
        <w:tc>
          <w:tcPr>
            <w:tcW w:type="dxa" w:w="30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meta_file_processed</w:t>
            </w:r>
          </w:p>
        </w:tc>
        <w:tc>
          <w:tcPr>
            <w:tcW w:type="dxa" w:w="63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Dedup by (file_path, file_hash). SHA-256.</w:t>
            </w:r>
          </w:p>
        </w:tc>
      </w:tr>
      <w:tr>
        <w:tc>
          <w:tcPr>
            <w:tcW w:type="dxa" w:w="30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meta_cleanup_policy</w:t>
            </w:r>
          </w:p>
        </w:tc>
        <w:tc>
          <w:tcPr>
            <w:tcW w:type="dxa" w:w="63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Per-table retention rules; consulted by cleanup.py.</w:t>
            </w:r>
          </w:p>
        </w:tc>
      </w:tr>
      <w:tr>
        <w:tc>
          <w:tcPr>
            <w:tcW w:type="dxa" w:w="30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meta_cleanup_history</w:t>
            </w:r>
          </w:p>
        </w:tc>
        <w:tc>
          <w:tcPr>
            <w:tcW w:type="dxa" w:w="63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Audit of every cleanup run.</w:t>
            </w:r>
          </w:p>
        </w:tc>
      </w:tr>
      <w:tr>
        <w:tc>
          <w:tcPr>
            <w:tcW w:type="dxa" w:w="30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meta_derived_run</w:t>
            </w:r>
          </w:p>
        </w:tc>
        <w:tc>
          <w:tcPr>
            <w:tcW w:type="dxa" w:w="63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One row per derive_* invocation.</w:t>
            </w:r>
          </w:p>
        </w:tc>
      </w:tr>
    </w:tbl>
    <w:p>
      <w:pPr>
        <w:spacing w:after="60" w:before="60"/>
        <w:jc w:val="left"/>
      </w:pPr>
      <w:r>
        <w:rPr>
          <w:b w:val="false"/>
          <w:bCs w:val="false"/>
          <w:i w:val="false"/>
          <w:iCs w:val="false"/>
        </w:rPr>
        <w:t xml:space="preserve">Caveat: db/init_db.py truncates meta_etl_run, meta_file_processed, meta_cleanup_history, meta_derived_run on every run. Until that is changed, the dedup contract on subsequent ETL is broken (every file looks new again).</w:t>
      </w:r>
    </w:p>
    <w:p>
      <w:pPr>
        <w:pStyle w:val="Heading2"/>
        <w:spacing w:after="110" w:before="220"/>
      </w:pPr>
      <w:r>
        <w:rPr>
          <w:b/>
          <w:bCs/>
          <w:color w:val="0B3D91"/>
          <w:sz w:val="28"/>
          <w:szCs w:val="28"/>
        </w:rPr>
        <w:t xml:space="preserve">4.5 Rule-engine v2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BFC4CC" w:sz="4"/>
              <w:left w:val="single" w:color="BFC4CC" w:sz="4"/>
              <w:bottom w:val="single" w:color="BFC4CC" w:sz="4"/>
              <w:right w:val="single" w:color="BFC4CC" w:sz="4"/>
            </w:tcBorders>
            <w:shd w:fill="DBEAFE" w:val="clear"/>
            <w:tcMar>
              <w:top w:type="dxa" w:w="80"/>
              <w:left w:type="dxa" w:w="120"/>
              <w:bottom w:type="dxa" w:w="80"/>
              <w:right w:type="dxa" w:w="120"/>
            </w:tcMar>
          </w:tcPr>
          <w:p>
            <w:r>
              <w:rPr>
                <w:b/>
                <w:bCs/>
                <w:sz w:val="20"/>
                <w:szCs w:val="20"/>
              </w:rPr>
              <w:t xml:space="preserve">Table / column</w:t>
            </w:r>
          </w:p>
        </w:tc>
        <w:tc>
          <w:tcPr>
            <w:tcW w:type="dxa" w:w="5660"/>
            <w:tcBorders>
              <w:top w:val="single" w:color="BFC4CC" w:sz="4"/>
              <w:left w:val="single" w:color="BFC4CC" w:sz="4"/>
              <w:bottom w:val="single" w:color="BFC4CC" w:sz="4"/>
              <w:right w:val="single" w:color="BFC4CC" w:sz="4"/>
            </w:tcBorders>
            <w:shd w:fill="DBEAFE" w:val="clear"/>
            <w:tcMar>
              <w:top w:type="dxa" w:w="80"/>
              <w:left w:type="dxa" w:w="120"/>
              <w:bottom w:type="dxa" w:w="80"/>
              <w:right w:type="dxa" w:w="120"/>
            </w:tcMar>
          </w:tcPr>
          <w:p>
            <w:r>
              <w:rPr>
                <w:b/>
                <w:bCs/>
                <w:sz w:val="20"/>
                <w:szCs w:val="20"/>
              </w:rPr>
              <w:t xml:space="preserve">Role</w:t>
            </w:r>
          </w:p>
        </w:tc>
      </w:tr>
      <w:tr>
        <w:tc>
          <w:tcPr>
            <w:tcW w:type="dxa" w:w="37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ref_trig_atomic_rule.scoring_mode / score_params / category / intent_text / deprecated_at</w:t>
            </w:r>
          </w:p>
        </w:tc>
        <w:tc>
          <w:tcPr>
            <w:tcW w:type="dxa" w:w="56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Per-rule metadata for jump | linear | sigmoid scoring and lifecycle</w:t>
            </w:r>
          </w:p>
        </w:tc>
      </w:tr>
      <w:tr>
        <w:tc>
          <w:tcPr>
            <w:tcW w:type="dxa" w:w="37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ref_trig_composite_mapping.precondition_expr / category / intent_text / deprecated_at</w:t>
            </w:r>
          </w:p>
        </w:tc>
        <w:tc>
          <w:tcPr>
            <w:tcW w:type="dxa" w:w="56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Per-composite metadata; precondition is read but not yet evaluated</w:t>
            </w:r>
          </w:p>
        </w:tc>
      </w:tr>
      <w:tr>
        <w:tc>
          <w:tcPr>
            <w:tcW w:type="dxa" w:w="37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drv_stks.triggered_atomic_ids JSONB / triggered_composite_ids JSONB</w:t>
            </w:r>
          </w:p>
        </w:tc>
        <w:tc>
          <w:tcPr>
            <w:tcW w:type="dxa" w:w="56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Per-row trace of which rules contributed and how much</w:t>
            </w:r>
          </w:p>
        </w:tc>
      </w:tr>
      <w:tr>
        <w:tc>
          <w:tcPr>
            <w:tcW w:type="dxa" w:w="37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user_action_log</w:t>
            </w:r>
          </w:p>
        </w:tc>
        <w:tc>
          <w:tcPr>
            <w:tcW w:type="dxa" w:w="56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User-clicked Cockpit decisions</w:t>
            </w:r>
          </w:p>
        </w:tc>
      </w:tr>
      <w:tr>
        <w:tc>
          <w:tcPr>
            <w:tcW w:type="dxa" w:w="37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drv_rule_outcome</w:t>
            </w:r>
          </w:p>
        </w:tc>
        <w:tc>
          <w:tcPr>
            <w:tcW w:type="dxa" w:w="56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Per-rule forward-return result (5d/20d, hit boolean)</w:t>
            </w:r>
          </w:p>
        </w:tc>
      </w:tr>
      <w:tr>
        <w:tc>
          <w:tcPr>
            <w:tcW w:type="dxa" w:w="37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v_rule_performance (view)</w:t>
            </w:r>
          </w:p>
        </w:tc>
        <w:tc>
          <w:tcPr>
            <w:tcW w:type="dxa" w:w="56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Rolling 180-day hit-rate aggregation</w:t>
            </w:r>
          </w:p>
        </w:tc>
      </w:tr>
      <w:tr>
        <w:tc>
          <w:tcPr>
            <w:tcW w:type="dxa" w:w="37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ref_settings</w:t>
            </w:r>
          </w:p>
        </w:tc>
        <w:tc>
          <w:tcPr>
            <w:tcW w:type="dxa" w:w="56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Seeded but unused threshold settings</w:t>
            </w:r>
          </w:p>
        </w:tc>
      </w:tr>
    </w:tbl>
    <w:p>
      <w:pPr>
        <w:pStyle w:val="Heading1"/>
        <w:spacing w:after="140" w:before="280"/>
      </w:pPr>
      <w:r>
        <w:rPr>
          <w:b/>
          <w:bCs/>
          <w:color w:val="0B3D91"/>
          <w:sz w:val="36"/>
          <w:szCs w:val="36"/>
        </w:rPr>
        <w:t xml:space="preserve">5. ETL — initial load</w:t>
      </w:r>
    </w:p>
    <w:p>
      <w:pPr>
        <w:spacing w:after="60" w:before="60"/>
        <w:jc w:val="left"/>
      </w:pPr>
      <w:r>
        <w:rPr>
          <w:b w:val="false"/>
          <w:bCs w:val="false"/>
          <w:i w:val="false"/>
          <w:iCs w:val="false"/>
        </w:rPr>
        <w:t xml:space="preserve">Triggered by `python -m etl.tickers_initial_load`. The orchestrator opens the Tickers workbook, parses the YYYY-MM-DD from the filename as `snapshot_date`, computes a SHA-256, and registers a `meta_file_processed` entry. It then runs Step A (load raw) and Step B (rebuild derives for that date).</w:t>
      </w:r>
    </w:p>
    <w:p>
      <w:pPr>
        <w:pStyle w:val="Heading2"/>
        <w:spacing w:after="110" w:before="220"/>
      </w:pPr>
      <w:r>
        <w:rPr>
          <w:b/>
          <w:bCs/>
          <w:color w:val="0B3D91"/>
          <w:sz w:val="28"/>
          <w:szCs w:val="28"/>
        </w:rPr>
        <w:t xml:space="preserve">5.1 Step A — load raw</w:t>
      </w:r>
    </w:p>
    <w:p>
      <w:pPr>
        <w:spacing w:after="60" w:before="60"/>
        <w:jc w:val="left"/>
      </w:pPr>
      <w:r>
        <w:rPr>
          <w:b w:val="false"/>
          <w:bCs w:val="false"/>
          <w:i w:val="false"/>
          <w:iCs w:val="false"/>
        </w:rPr>
        <w:t xml:space="preserve">Step A is a sequenced dispatch over four collections:</w:t>
      </w:r>
    </w:p>
    <w:p>
      <w:pPr>
        <w:pStyle w:val="ListParagraph"/>
        <w:numPr>
          <w:ilvl w:val="0"/>
          <w:numId w:val="2"/>
        </w:numPr>
        <w:spacing w:after="30" w:before="30"/>
      </w:pPr>
      <w:r>
        <w:t xml:space="preserve">REF_MAPS — Sctr → ref_sector, RRT → ref_rrt, Desc → ref_rule_desc, ISMH → ref_ismh.</w:t>
      </w:r>
    </w:p>
    <w:p>
      <w:pPr>
        <w:pStyle w:val="ListParagraph"/>
        <w:numPr>
          <w:ilvl w:val="0"/>
          <w:numId w:val="2"/>
        </w:numPr>
        <w:spacing w:after="30" w:before="30"/>
      </w:pPr>
      <w:r>
        <w:t xml:space="preserve">Data-tab special cases — load_data_tab_holidays, load_data_tab_econ, load_data_tab_blackout, load_data_tab_calendar_events; load_parm (writes ref_param + ref_param_lookup + ref_asset_allocation); load_hquad; load_hqds.</w:t>
      </w:r>
    </w:p>
    <w:p>
      <w:pPr>
        <w:pStyle w:val="ListParagraph"/>
        <w:numPr>
          <w:ilvl w:val="0"/>
          <w:numId w:val="2"/>
        </w:numPr>
        <w:spacing w:after="30" w:before="30"/>
      </w:pPr>
      <w:r>
        <w:t xml:space="preserve">load_trig_rules → ref_trig_atomic_rule (PK = Trig row number 4..118) + ref_trig_composite_mapping.</w:t>
      </w:r>
    </w:p>
    <w:p>
      <w:pPr>
        <w:pStyle w:val="ListParagraph"/>
        <w:numPr>
          <w:ilvl w:val="0"/>
          <w:numId w:val="2"/>
        </w:numPr>
        <w:spacing w:after="30" w:before="30"/>
      </w:pPr>
      <w:r>
        <w:t xml:space="preserve">HIST_MAPS — Y, TL, TD, TW, TO, RR, II, ssH, psRk, ps5, psTn, F, call, etf, CS via the generic loader.</w:t>
      </w:r>
    </w:p>
    <w:p>
      <w:pPr>
        <w:pStyle w:val="ListParagraph"/>
        <w:numPr>
          <w:ilvl w:val="0"/>
          <w:numId w:val="2"/>
        </w:numPr>
        <w:spacing w:after="30" w:before="30"/>
      </w:pPr>
      <w:r>
        <w:t xml:space="preserve">Custom history loaders — load_etfchg → hist_etfchg, load_iichg → hist_iichg, seed_sss → drv_sss, seed_ssl → drv_ssl.</w:t>
      </w:r>
    </w:p>
    <w:p>
      <w:pPr>
        <w:spacing w:after="60" w:before="60"/>
        <w:jc w:val="left"/>
      </w:pPr>
      <w:r>
        <w:rPr>
          <w:b w:val="false"/>
          <w:bCs w:val="false"/>
          <w:i w:val="false"/>
          <w:iCs w:val="false"/>
        </w:rPr>
        <w:t xml:space="preserve">Each loader runs inside its own session_scope, opens a meta_etl_run record, commits per 1000-row batch, and closes the run with rows_read / rows_inserted / rows_skipped counters. _already_loaded() consults meta_etl_run so the script is resumable for individual tabs.</w:t>
      </w:r>
    </w:p>
    <w:p>
      <w:pPr>
        <w:pStyle w:val="Heading2"/>
        <w:spacing w:after="110" w:before="220"/>
      </w:pPr>
      <w:r>
        <w:rPr>
          <w:b/>
          <w:bCs/>
          <w:color w:val="0B3D91"/>
          <w:sz w:val="28"/>
          <w:szCs w:val="28"/>
        </w:rPr>
        <w:t xml:space="preserve">5.2 Step B — derive_all(D)</w:t>
      </w:r>
    </w:p>
    <w:p>
      <w:pPr>
        <w:spacing w:after="60" w:before="60"/>
        <w:jc w:val="left"/>
      </w:pPr>
      <w:r>
        <w:rPr>
          <w:b w:val="false"/>
          <w:bCs w:val="false"/>
          <w:i w:val="false"/>
          <w:iCs w:val="false"/>
        </w:rPr>
        <w:t xml:space="preserve">derive_all calls 15 derive_* functions in dependency order: tl → td → tw → call → etf → ii → ssh → ssl → sss → ma → dash → stks → dash_summary → missing_symbols → trig. Each function does `DELETE WHERE as_of_date = D` then `INSERT`, so re-running for date D produces the same numbers and never touches earlier dates.</w:t>
      </w:r>
    </w:p>
    <w:p>
      <w:pPr>
        <w:pStyle w:val="Heading2"/>
        <w:spacing w:after="110" w:before="220"/>
      </w:pPr>
      <w:r>
        <w:rPr>
          <w:b/>
          <w:bCs/>
          <w:color w:val="0B3D91"/>
          <w:sz w:val="28"/>
          <w:szCs w:val="28"/>
        </w:rPr>
        <w:t xml:space="preserve">5.3 Initial-load DFD</w:t>
      </w:r>
    </w:p>
    <w:p>
      <w:pPr>
        <w:spacing w:after="100" w:before="100"/>
        <w:jc w:val="center"/>
      </w:pPr>
      <w:r>
        <w:drawing>
          <wp:inline distT="0" distB="0" distL="0" distR="0">
            <wp:extent cx="6096000" cy="3429000"/>
            <wp:effectExtent t="0" r="0" b="0" l="0"/>
            <wp:docPr id="1" name="dfd_initial_load.png" descr="dfd_initial_load.png" title="dfd_initial_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429000"/>
                    </a:xfrm>
                    <a:prstGeom prst="rect">
                      <a:avLst/>
                    </a:prstGeom>
                  </pic:spPr>
                </pic:pic>
              </a:graphicData>
            </a:graphic>
          </wp:inline>
        </w:drawing>
      </w:r>
    </w:p>
    <w:p>
      <w:pPr>
        <w:pStyle w:val="Heading1"/>
        <w:spacing w:after="140" w:before="280"/>
      </w:pPr>
      <w:r>
        <w:rPr>
          <w:b/>
          <w:bCs/>
          <w:color w:val="0B3D91"/>
          <w:sz w:val="36"/>
          <w:szCs w:val="36"/>
        </w:rPr>
        <w:t xml:space="preserve">6. ETL — ongoing load</w:t>
      </w:r>
    </w:p>
    <w:p>
      <w:pPr>
        <w:spacing w:after="60" w:before="60"/>
        <w:jc w:val="left"/>
      </w:pPr>
      <w:r>
        <w:rPr>
          <w:b w:val="false"/>
          <w:bCs w:val="false"/>
          <w:i w:val="false"/>
          <w:iCs w:val="false"/>
        </w:rPr>
        <w:t xml:space="preserve">`python -m etl.scheduler` starts a watchdog observer over the 17 directories listed in `ref_load_files`. When a new .xlsx appears, the scheduler debounces 3 seconds, waits 2 seconds for the file to quiesce, then calls `etl_load.load_one_file(path)`.</w:t>
      </w:r>
    </w:p>
    <w:p>
      <w:pPr>
        <w:spacing w:after="60" w:before="60"/>
        <w:jc w:val="left"/>
      </w:pPr>
      <w:r>
        <w:rPr>
          <w:b w:val="false"/>
          <w:bCs w:val="false"/>
          <w:i w:val="false"/>
          <w:iCs w:val="false"/>
        </w:rPr>
        <w:t xml:space="preserve">`load_one_file`:</w:t>
      </w:r>
    </w:p>
    <w:p>
      <w:pPr>
        <w:pStyle w:val="ListParagraph"/>
        <w:numPr>
          <w:ilvl w:val="0"/>
          <w:numId w:val="2"/>
        </w:numPr>
        <w:spacing w:after="30" w:before="30"/>
      </w:pPr>
      <w:r>
        <w:t xml:space="preserve">Parses the file_dt and file_type from the filename; checks the file exists.</w:t>
      </w:r>
    </w:p>
    <w:p>
      <w:pPr>
        <w:pStyle w:val="ListParagraph"/>
        <w:numPr>
          <w:ilvl w:val="0"/>
          <w:numId w:val="2"/>
        </w:numPr>
        <w:spacing w:after="30" w:before="30"/>
      </w:pPr>
      <w:r>
        <w:t xml:space="preserve">Computes SHA-256 (`file_hash`).</w:t>
      </w:r>
    </w:p>
    <w:p>
      <w:pPr>
        <w:pStyle w:val="ListParagraph"/>
        <w:numPr>
          <w:ilvl w:val="0"/>
          <w:numId w:val="2"/>
        </w:numPr>
        <w:spacing w:after="30" w:before="30"/>
      </w:pPr>
      <w:r>
        <w:t xml:space="preserve">Looks up `target_tab` in `ref_load_files WHERE LOWER(file_type)=:ft AND enabled=TRUE`.</w:t>
      </w:r>
    </w:p>
    <w:p>
      <w:pPr>
        <w:pStyle w:val="ListParagraph"/>
        <w:numPr>
          <w:ilvl w:val="0"/>
          <w:numId w:val="2"/>
        </w:numPr>
        <w:spacing w:after="30" w:before="30"/>
      </w:pPr>
      <w:r>
        <w:t xml:space="preserve">Calls `already_processed(path, file_hash)` against `meta_file_processed`. If matched, returns status='skipped' silently.</w:t>
      </w:r>
    </w:p>
    <w:p>
      <w:pPr>
        <w:pStyle w:val="ListParagraph"/>
        <w:numPr>
          <w:ilvl w:val="0"/>
          <w:numId w:val="2"/>
        </w:numPr>
        <w:spacing w:after="30" w:before="30"/>
      </w:pPr>
      <w:r>
        <w:t xml:space="preserve">Copies the file to `etl/working/` (`shutil.copy2`); the original is never moved or deleted.</w:t>
      </w:r>
    </w:p>
    <w:p>
      <w:pPr>
        <w:pStyle w:val="ListParagraph"/>
        <w:numPr>
          <w:ilvl w:val="0"/>
          <w:numId w:val="2"/>
        </w:numPr>
        <w:spacing w:after="30" w:before="30"/>
      </w:pPr>
      <w:r>
        <w:t xml:space="preserve">Opens the working copy and dispatches: CUSTOM_HANDLERS for etfchg/iichg/sss/ssl/ref_tickers; otherwise scans HIST_MAPS for the matching `sheet == target_tab` and calls `load_one_tab`.</w:t>
      </w:r>
    </w:p>
    <w:p>
      <w:pPr>
        <w:pStyle w:val="ListParagraph"/>
        <w:numPr>
          <w:ilvl w:val="0"/>
          <w:numId w:val="2"/>
        </w:numPr>
        <w:spacing w:after="30" w:before="30"/>
      </w:pPr>
      <w:r>
        <w:t xml:space="preserve">Closes the meta_etl_run and `mark_processed`s in `meta_file_processed`.</w:t>
      </w:r>
    </w:p>
    <w:p>
      <w:pPr>
        <w:pStyle w:val="ListParagraph"/>
        <w:numPr>
          <w:ilvl w:val="0"/>
          <w:numId w:val="2"/>
        </w:numPr>
        <w:spacing w:after="30" w:before="30"/>
      </w:pPr>
      <w:r>
        <w:t xml:space="preserve">If `do_derive=True` and `file_dt` is non-null, opens a fresh session and calls `derive_all(s2, file_dt)`.</w:t>
      </w:r>
    </w:p>
    <w:p>
      <w:pPr>
        <w:pStyle w:val="Heading2"/>
        <w:spacing w:after="110" w:before="220"/>
      </w:pPr>
      <w:r>
        <w:rPr>
          <w:b/>
          <w:bCs/>
          <w:color w:val="0B3D91"/>
          <w:sz w:val="28"/>
          <w:szCs w:val="28"/>
        </w:rPr>
        <w:t xml:space="preserve">6.1 Ongoing-load DFD</w:t>
      </w:r>
    </w:p>
    <w:p>
      <w:pPr>
        <w:spacing w:after="100" w:before="100"/>
        <w:jc w:val="center"/>
      </w:pPr>
      <w:r>
        <w:drawing>
          <wp:inline distT="0" distB="0" distL="0" distR="0">
            <wp:extent cx="6096000" cy="3429000"/>
            <wp:effectExtent t="0" r="0" b="0" l="0"/>
            <wp:docPr id="1" name="dfd_ongoing_load.png" descr="dfd_ongoing_load.png" title="dfd_ongoing_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429000"/>
                    </a:xfrm>
                    <a:prstGeom prst="rect">
                      <a:avLst/>
                    </a:prstGeom>
                  </pic:spPr>
                </pic:pic>
              </a:graphicData>
            </a:graphic>
          </wp:inline>
        </w:drawing>
      </w:r>
    </w:p>
    <w:p>
      <w:pPr>
        <w:pStyle w:val="Heading1"/>
        <w:spacing w:after="140" w:before="280"/>
      </w:pPr>
      <w:r>
        <w:rPr>
          <w:b/>
          <w:bCs/>
          <w:color w:val="0B3D91"/>
          <w:sz w:val="36"/>
          <w:szCs w:val="36"/>
        </w:rPr>
        <w:t xml:space="preserve">7. API surface</w:t>
      </w:r>
    </w:p>
    <w:p>
      <w:pPr>
        <w:spacing w:after="60" w:before="60"/>
        <w:jc w:val="left"/>
      </w:pPr>
      <w:r>
        <w:rPr>
          <w:b w:val="false"/>
          <w:bCs w:val="false"/>
          <w:i w:val="false"/>
          <w:iCs w:val="false"/>
        </w:rPr>
        <w:t xml:space="preserve">FastAPI app in `api/main.py`. CORS is wide-open (allow_origins=["*"]) and there is no authentication. Public surface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FC4CC" w:sz="4"/>
              <w:left w:val="single" w:color="BFC4CC" w:sz="4"/>
              <w:bottom w:val="single" w:color="BFC4CC" w:sz="4"/>
              <w:right w:val="single" w:color="BFC4CC" w:sz="4"/>
            </w:tcBorders>
            <w:shd w:fill="DBEAFE" w:val="clear"/>
            <w:tcMar>
              <w:top w:type="dxa" w:w="80"/>
              <w:left w:type="dxa" w:w="120"/>
              <w:bottom w:type="dxa" w:w="80"/>
              <w:right w:type="dxa" w:w="120"/>
            </w:tcMar>
          </w:tcPr>
          <w:p>
            <w:r>
              <w:rPr>
                <w:b/>
                <w:bCs/>
                <w:sz w:val="20"/>
                <w:szCs w:val="20"/>
              </w:rPr>
              <w:t xml:space="preserve">Method</w:t>
            </w:r>
          </w:p>
        </w:tc>
        <w:tc>
          <w:tcPr>
            <w:tcW w:type="dxa" w:w="3000"/>
            <w:tcBorders>
              <w:top w:val="single" w:color="BFC4CC" w:sz="4"/>
              <w:left w:val="single" w:color="BFC4CC" w:sz="4"/>
              <w:bottom w:val="single" w:color="BFC4CC" w:sz="4"/>
              <w:right w:val="single" w:color="BFC4CC" w:sz="4"/>
            </w:tcBorders>
            <w:shd w:fill="DBEAFE" w:val="clear"/>
            <w:tcMar>
              <w:top w:type="dxa" w:w="80"/>
              <w:left w:type="dxa" w:w="120"/>
              <w:bottom w:type="dxa" w:w="80"/>
              <w:right w:type="dxa" w:w="120"/>
            </w:tcMar>
          </w:tcPr>
          <w:p>
            <w:r>
              <w:rPr>
                <w:b/>
                <w:bCs/>
                <w:sz w:val="20"/>
                <w:szCs w:val="20"/>
              </w:rPr>
              <w:t xml:space="preserve">Path</w:t>
            </w:r>
          </w:p>
        </w:tc>
        <w:tc>
          <w:tcPr>
            <w:tcW w:type="dxa" w:w="5560"/>
            <w:tcBorders>
              <w:top w:val="single" w:color="BFC4CC" w:sz="4"/>
              <w:left w:val="single" w:color="BFC4CC" w:sz="4"/>
              <w:bottom w:val="single" w:color="BFC4CC" w:sz="4"/>
              <w:right w:val="single" w:color="BFC4CC" w:sz="4"/>
            </w:tcBorders>
            <w:shd w:fill="DBEAFE" w:val="clear"/>
            <w:tcMar>
              <w:top w:type="dxa" w:w="80"/>
              <w:left w:type="dxa" w:w="120"/>
              <w:bottom w:type="dxa" w:w="80"/>
              <w:right w:type="dxa" w:w="120"/>
            </w:tcMar>
          </w:tcPr>
          <w:p>
            <w:r>
              <w:rPr>
                <w:b/>
                <w:bCs/>
                <w:sz w:val="20"/>
                <w:szCs w:val="20"/>
              </w:rPr>
              <w:t xml:space="preserve">Backing source</w:t>
            </w:r>
          </w:p>
        </w:tc>
      </w:tr>
      <w:tr>
        <w:tc>
          <w:tcPr>
            <w:tcW w:type="dxa" w:w="8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GET</w:t>
            </w:r>
          </w:p>
        </w:tc>
        <w:tc>
          <w:tcPr>
            <w:tcW w:type="dxa" w:w="30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/health</w:t>
            </w:r>
          </w:p>
        </w:tc>
        <w:tc>
          <w:tcPr>
            <w:tcW w:type="dxa" w:w="55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SELECT 1</w:t>
            </w:r>
          </w:p>
        </w:tc>
      </w:tr>
      <w:tr>
        <w:tc>
          <w:tcPr>
            <w:tcW w:type="dxa" w:w="8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GET</w:t>
            </w:r>
          </w:p>
        </w:tc>
        <w:tc>
          <w:tcPr>
            <w:tcW w:type="dxa" w:w="30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/api/dates</w:t>
            </w:r>
          </w:p>
        </w:tc>
        <w:tc>
          <w:tcPr>
            <w:tcW w:type="dxa" w:w="55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v_available_dates</w:t>
            </w:r>
          </w:p>
        </w:tc>
      </w:tr>
      <w:tr>
        <w:tc>
          <w:tcPr>
            <w:tcW w:type="dxa" w:w="8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GET</w:t>
            </w:r>
          </w:p>
        </w:tc>
        <w:tc>
          <w:tcPr>
            <w:tcW w:type="dxa" w:w="30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/api/sectors</w:t>
            </w:r>
          </w:p>
        </w:tc>
        <w:tc>
          <w:tcPr>
            <w:tcW w:type="dxa" w:w="55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DISTINCT sector FROM drv_ma</w:t>
            </w:r>
          </w:p>
        </w:tc>
      </w:tr>
      <w:tr>
        <w:tc>
          <w:tcPr>
            <w:tcW w:type="dxa" w:w="8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GET</w:t>
            </w:r>
          </w:p>
        </w:tc>
        <w:tc>
          <w:tcPr>
            <w:tcW w:type="dxa" w:w="30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/api/dash</w:t>
            </w:r>
          </w:p>
        </w:tc>
        <w:tc>
          <w:tcPr>
            <w:tcW w:type="dxa" w:w="55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v_dash(:d) + section filter</w:t>
            </w:r>
          </w:p>
        </w:tc>
      </w:tr>
      <w:tr>
        <w:tc>
          <w:tcPr>
            <w:tcW w:type="dxa" w:w="8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GET</w:t>
            </w:r>
          </w:p>
        </w:tc>
        <w:tc>
          <w:tcPr>
            <w:tcW w:type="dxa" w:w="30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/api/dash/summary</w:t>
            </w:r>
          </w:p>
        </w:tc>
        <w:tc>
          <w:tcPr>
            <w:tcW w:type="dxa" w:w="55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v_dash_summary(:d)</w:t>
            </w:r>
          </w:p>
        </w:tc>
      </w:tr>
      <w:tr>
        <w:tc>
          <w:tcPr>
            <w:tcW w:type="dxa" w:w="8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GET</w:t>
            </w:r>
          </w:p>
        </w:tc>
        <w:tc>
          <w:tcPr>
            <w:tcW w:type="dxa" w:w="30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/api/stks</w:t>
            </w:r>
          </w:p>
        </w:tc>
        <w:tc>
          <w:tcPr>
            <w:tcW w:type="dxa" w:w="55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v_stks(:d) + sector/asset_class/min_brr/max_brr/outlook/limit</w:t>
            </w:r>
          </w:p>
        </w:tc>
      </w:tr>
      <w:tr>
        <w:tc>
          <w:tcPr>
            <w:tcW w:type="dxa" w:w="8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GET</w:t>
            </w:r>
          </w:p>
        </w:tc>
        <w:tc>
          <w:tcPr>
            <w:tcW w:type="dxa" w:w="30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/api/symbol/{sym}/history</w:t>
            </w:r>
          </w:p>
        </w:tc>
        <w:tc>
          <w:tcPr>
            <w:tcW w:type="dxa" w:w="55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drv_ma WHERE symbol=:sym</w:t>
            </w:r>
          </w:p>
        </w:tc>
      </w:tr>
      <w:tr>
        <w:tc>
          <w:tcPr>
            <w:tcW w:type="dxa" w:w="8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GET</w:t>
            </w:r>
          </w:p>
        </w:tc>
        <w:tc>
          <w:tcPr>
            <w:tcW w:type="dxa" w:w="30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/api/ref/tables</w:t>
            </w:r>
          </w:p>
        </w:tc>
        <w:tc>
          <w:tcPr>
            <w:tcW w:type="dxa" w:w="55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Counts each table in ALL_REF_TABLES; flags tunable from REFRESH_HANDLERS</w:t>
            </w:r>
          </w:p>
        </w:tc>
      </w:tr>
      <w:tr>
        <w:tc>
          <w:tcPr>
            <w:tcW w:type="dxa" w:w="8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GET</w:t>
            </w:r>
          </w:p>
        </w:tc>
        <w:tc>
          <w:tcPr>
            <w:tcW w:type="dxa" w:w="30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/api/ref/{table}</w:t>
            </w:r>
          </w:p>
        </w:tc>
        <w:tc>
          <w:tcPr>
            <w:tcW w:type="dxa" w:w="55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SELECT * with reflection metadata</w:t>
            </w:r>
          </w:p>
        </w:tc>
      </w:tr>
      <w:tr>
        <w:tc>
          <w:tcPr>
            <w:tcW w:type="dxa" w:w="8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PATCH</w:t>
            </w:r>
          </w:p>
        </w:tc>
        <w:tc>
          <w:tcPr>
            <w:tcW w:type="dxa" w:w="30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/api/ref/{table}/row</w:t>
            </w:r>
          </w:p>
        </w:tc>
        <w:tc>
          <w:tcPr>
            <w:tcW w:type="dxa" w:w="55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UPDATE with PK validation + bumps loaded_at</w:t>
            </w:r>
          </w:p>
        </w:tc>
      </w:tr>
      <w:tr>
        <w:tc>
          <w:tcPr>
            <w:tcW w:type="dxa" w:w="8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POST</w:t>
            </w:r>
          </w:p>
        </w:tc>
        <w:tc>
          <w:tcPr>
            <w:tcW w:type="dxa" w:w="30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/api/ref/{table}/reload</w:t>
            </w:r>
          </w:p>
        </w:tc>
        <w:tc>
          <w:tcPr>
            <w:tcW w:type="dxa" w:w="55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Excel upload; dispatches refresh_ref.run_one</w:t>
            </w:r>
          </w:p>
        </w:tc>
      </w:tr>
      <w:tr>
        <w:tc>
          <w:tcPr>
            <w:tcW w:type="dxa" w:w="8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POST</w:t>
            </w:r>
          </w:p>
        </w:tc>
        <w:tc>
          <w:tcPr>
            <w:tcW w:type="dxa" w:w="30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/api/ref/{table}/insert</w:t>
            </w:r>
          </w:p>
        </w:tc>
        <w:tc>
          <w:tcPr>
            <w:tcW w:type="dxa" w:w="55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pg_insert ON CONFLICT DO NOTHING; 409 on dup</w:t>
            </w:r>
          </w:p>
        </w:tc>
      </w:tr>
      <w:tr>
        <w:tc>
          <w:tcPr>
            <w:tcW w:type="dxa" w:w="8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GET</w:t>
            </w:r>
          </w:p>
        </w:tc>
        <w:tc>
          <w:tcPr>
            <w:tcW w:type="dxa" w:w="30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/api/data/tables</w:t>
            </w:r>
          </w:p>
        </w:tc>
        <w:tc>
          <w:tcPr>
            <w:tcW w:type="dxa" w:w="55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Table counts from DATA_TABLE_DATE_COL</w:t>
            </w:r>
          </w:p>
        </w:tc>
      </w:tr>
      <w:tr>
        <w:tc>
          <w:tcPr>
            <w:tcW w:type="dxa" w:w="8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GET</w:t>
            </w:r>
          </w:p>
        </w:tc>
        <w:tc>
          <w:tcPr>
            <w:tcW w:type="dxa" w:w="30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/api/data/{table}</w:t>
            </w:r>
          </w:p>
        </w:tc>
        <w:tc>
          <w:tcPr>
            <w:tcW w:type="dxa" w:w="55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Reflection-driven SELECT * with date filter family</w:t>
            </w:r>
          </w:p>
        </w:tc>
      </w:tr>
      <w:tr>
        <w:tc>
          <w:tcPr>
            <w:tcW w:type="dxa" w:w="8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GET</w:t>
            </w:r>
          </w:p>
        </w:tc>
        <w:tc>
          <w:tcPr>
            <w:tcW w:type="dxa" w:w="30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/api/rules/atomic</w:t>
            </w:r>
          </w:p>
        </w:tc>
        <w:tc>
          <w:tcPr>
            <w:tcW w:type="dxa" w:w="55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ref_trig_atomic_rule WHERE deprecated_at IS NULL</w:t>
            </w:r>
          </w:p>
        </w:tc>
      </w:tr>
      <w:tr>
        <w:tc>
          <w:tcPr>
            <w:tcW w:type="dxa" w:w="8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GET</w:t>
            </w:r>
          </w:p>
        </w:tc>
        <w:tc>
          <w:tcPr>
            <w:tcW w:type="dxa" w:w="30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/api/rules/atomic/{id}</w:t>
            </w:r>
          </w:p>
        </w:tc>
        <w:tc>
          <w:tcPr>
            <w:tcW w:type="dxa" w:w="55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Single atomic rule</w:t>
            </w:r>
          </w:p>
        </w:tc>
      </w:tr>
      <w:tr>
        <w:tc>
          <w:tcPr>
            <w:tcW w:type="dxa" w:w="8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GET</w:t>
            </w:r>
          </w:p>
        </w:tc>
        <w:tc>
          <w:tcPr>
            <w:tcW w:type="dxa" w:w="30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/api/rules/composite</w:t>
            </w:r>
          </w:p>
        </w:tc>
        <w:tc>
          <w:tcPr>
            <w:tcW w:type="dxa" w:w="55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DISTINCT ON(composite_rule_code)</w:t>
            </w:r>
          </w:p>
        </w:tc>
      </w:tr>
      <w:tr>
        <w:tc>
          <w:tcPr>
            <w:tcW w:type="dxa" w:w="8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GET</w:t>
            </w:r>
          </w:p>
        </w:tc>
        <w:tc>
          <w:tcPr>
            <w:tcW w:type="dxa" w:w="30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/api/rules/composite/{id}</w:t>
            </w:r>
          </w:p>
        </w:tc>
        <w:tc>
          <w:tcPr>
            <w:tcW w:type="dxa" w:w="55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Single composite rule</w:t>
            </w:r>
          </w:p>
        </w:tc>
      </w:tr>
      <w:tr>
        <w:tc>
          <w:tcPr>
            <w:tcW w:type="dxa" w:w="8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GET</w:t>
            </w:r>
          </w:p>
        </w:tc>
        <w:tc>
          <w:tcPr>
            <w:tcW w:type="dxa" w:w="30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/api/rules/composite/{id}/atomics</w:t>
            </w:r>
          </w:p>
        </w:tc>
        <w:tc>
          <w:tcPr>
            <w:tcW w:type="dxa" w:w="55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JOIN composite mapping + atomic</w:t>
            </w:r>
          </w:p>
        </w:tc>
      </w:tr>
      <w:tr>
        <w:tc>
          <w:tcPr>
            <w:tcW w:type="dxa" w:w="8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GET</w:t>
            </w:r>
          </w:p>
        </w:tc>
        <w:tc>
          <w:tcPr>
            <w:tcW w:type="dxa" w:w="30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/api/rules/performance</w:t>
            </w:r>
          </w:p>
        </w:tc>
        <w:tc>
          <w:tcPr>
            <w:tcW w:type="dxa" w:w="55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v_rule_performance, sortable</w:t>
            </w:r>
          </w:p>
        </w:tc>
      </w:tr>
      <w:tr>
        <w:tc>
          <w:tcPr>
            <w:tcW w:type="dxa" w:w="8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POST</w:t>
            </w:r>
          </w:p>
        </w:tc>
        <w:tc>
          <w:tcPr>
            <w:tcW w:type="dxa" w:w="30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/api/actions</w:t>
            </w:r>
          </w:p>
        </w:tc>
        <w:tc>
          <w:tcPr>
            <w:tcW w:type="dxa" w:w="55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Reads triggered_* from drv_stks → INSERT INTO user_action_log</w:t>
            </w:r>
          </w:p>
        </w:tc>
      </w:tr>
      <w:tr>
        <w:tc>
          <w:tcPr>
            <w:tcW w:type="dxa" w:w="8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GET</w:t>
            </w:r>
          </w:p>
        </w:tc>
        <w:tc>
          <w:tcPr>
            <w:tcW w:type="dxa" w:w="30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 /cockpit, /rules, /rule-performance, /trig, /explore, /ref</w:t>
            </w:r>
          </w:p>
        </w:tc>
        <w:tc>
          <w:tcPr>
            <w:tcW w:type="dxa" w:w="55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FileResponse to web/&lt;page&gt;.html</w:t>
            </w:r>
          </w:p>
        </w:tc>
      </w:tr>
      <w:tr>
        <w:tc>
          <w:tcPr>
            <w:tcW w:type="dxa" w:w="8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w:t>
            </w:r>
          </w:p>
        </w:tc>
        <w:tc>
          <w:tcPr>
            <w:tcW w:type="dxa" w:w="30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/static/*</w:t>
            </w:r>
          </w:p>
        </w:tc>
        <w:tc>
          <w:tcPr>
            <w:tcW w:type="dxa" w:w="55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Static mount of web/</w:t>
            </w:r>
          </w:p>
        </w:tc>
      </w:tr>
    </w:tbl>
    <w:p>
      <w:pPr>
        <w:spacing w:after="60" w:before="60"/>
        <w:jc w:val="left"/>
      </w:pPr>
      <w:r>
        <w:rPr>
          <w:b w:val="false"/>
          <w:bCs w:val="false"/>
          <w:i w:val="false"/>
          <w:iCs w:val="false"/>
        </w:rPr>
        <w:t xml:space="preserve">Known surface gaps: PUT/DELETE on /api/rules/atomic and /api/rules/composite are not implemented even though `web/rules.js` calls them. The Cockpit POST /api/actions writes Python repr() into the JSONB column and `compute_outcomes.py` later eval()s it back — both ends should be JSON, not Python literals.</w:t>
      </w:r>
    </w:p>
    <w:p>
      <w:pPr>
        <w:pStyle w:val="Heading1"/>
        <w:spacing w:after="140" w:before="280"/>
      </w:pPr>
      <w:r>
        <w:rPr>
          <w:b/>
          <w:bCs/>
          <w:color w:val="0B3D91"/>
          <w:sz w:val="36"/>
          <w:szCs w:val="36"/>
        </w:rPr>
        <w:t xml:space="preserve">8. Frontend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760"/>
      </w:tblGrid>
      <w:tr>
        <w:trPr>
          <w:tblHeader/>
        </w:trPr>
        <w:tc>
          <w:tcPr>
            <w:tcW w:type="dxa" w:w="1300"/>
            <w:tcBorders>
              <w:top w:val="single" w:color="BFC4CC" w:sz="4"/>
              <w:left w:val="single" w:color="BFC4CC" w:sz="4"/>
              <w:bottom w:val="single" w:color="BFC4CC" w:sz="4"/>
              <w:right w:val="single" w:color="BFC4CC" w:sz="4"/>
            </w:tcBorders>
            <w:shd w:fill="DBEAFE" w:val="clear"/>
            <w:tcMar>
              <w:top w:type="dxa" w:w="80"/>
              <w:left w:type="dxa" w:w="120"/>
              <w:bottom w:type="dxa" w:w="80"/>
              <w:right w:type="dxa" w:w="120"/>
            </w:tcMar>
          </w:tcPr>
          <w:p>
            <w:r>
              <w:rPr>
                <w:b/>
                <w:bCs/>
                <w:sz w:val="20"/>
                <w:szCs w:val="20"/>
              </w:rPr>
              <w:t xml:space="preserve">Path</w:t>
            </w:r>
          </w:p>
        </w:tc>
        <w:tc>
          <w:tcPr>
            <w:tcW w:type="dxa" w:w="3300"/>
            <w:tcBorders>
              <w:top w:val="single" w:color="BFC4CC" w:sz="4"/>
              <w:left w:val="single" w:color="BFC4CC" w:sz="4"/>
              <w:bottom w:val="single" w:color="BFC4CC" w:sz="4"/>
              <w:right w:val="single" w:color="BFC4CC" w:sz="4"/>
            </w:tcBorders>
            <w:shd w:fill="DBEAFE" w:val="clear"/>
            <w:tcMar>
              <w:top w:type="dxa" w:w="80"/>
              <w:left w:type="dxa" w:w="120"/>
              <w:bottom w:type="dxa" w:w="80"/>
              <w:right w:type="dxa" w:w="120"/>
            </w:tcMar>
          </w:tcPr>
          <w:p>
            <w:r>
              <w:rPr>
                <w:b/>
                <w:bCs/>
                <w:sz w:val="20"/>
                <w:szCs w:val="20"/>
              </w:rPr>
              <w:t xml:space="preserve">Page</w:t>
            </w:r>
          </w:p>
        </w:tc>
        <w:tc>
          <w:tcPr>
            <w:tcW w:type="dxa" w:w="4760"/>
            <w:tcBorders>
              <w:top w:val="single" w:color="BFC4CC" w:sz="4"/>
              <w:left w:val="single" w:color="BFC4CC" w:sz="4"/>
              <w:bottom w:val="single" w:color="BFC4CC" w:sz="4"/>
              <w:right w:val="single" w:color="BFC4CC" w:sz="4"/>
            </w:tcBorders>
            <w:shd w:fill="DBEAFE" w:val="clear"/>
            <w:tcMar>
              <w:top w:type="dxa" w:w="80"/>
              <w:left w:type="dxa" w:w="120"/>
              <w:bottom w:type="dxa" w:w="80"/>
              <w:right w:type="dxa" w:w="120"/>
            </w:tcMar>
          </w:tcPr>
          <w:p>
            <w:r>
              <w:rPr>
                <w:b/>
                <w:bCs/>
                <w:sz w:val="20"/>
                <w:szCs w:val="20"/>
              </w:rPr>
              <w:t xml:space="preserve">Key endpoints</w:t>
            </w:r>
          </w:p>
        </w:tc>
      </w:tr>
      <w:tr>
        <w:tc>
          <w:tcPr>
            <w:tcW w:type="dxa" w:w="13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w:t>
            </w:r>
          </w:p>
        </w:tc>
        <w:tc>
          <w:tcPr>
            <w:tcW w:type="dxa" w:w="33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Dashboard</w:t>
            </w:r>
          </w:p>
        </w:tc>
        <w:tc>
          <w:tcPr>
            <w:tcW w:type="dxa" w:w="47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/api/dates, /api/sectors, /api/dash/summary, /api/stks</w:t>
            </w:r>
          </w:p>
        </w:tc>
      </w:tr>
      <w:tr>
        <w:tc>
          <w:tcPr>
            <w:tcW w:type="dxa" w:w="13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/cockpit</w:t>
            </w:r>
          </w:p>
        </w:tc>
        <w:tc>
          <w:tcPr>
            <w:tcW w:type="dxa" w:w="33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Action Cockpit</w:t>
            </w:r>
          </w:p>
        </w:tc>
        <w:tc>
          <w:tcPr>
            <w:tcW w:type="dxa" w:w="47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/api/dates, /api/sectors, /api/stks, POST /api/actions</w:t>
            </w:r>
          </w:p>
        </w:tc>
      </w:tr>
      <w:tr>
        <w:tc>
          <w:tcPr>
            <w:tcW w:type="dxa" w:w="13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/rules</w:t>
            </w:r>
          </w:p>
        </w:tc>
        <w:tc>
          <w:tcPr>
            <w:tcW w:type="dxa" w:w="33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Rules Manager (atomic + composite)</w:t>
            </w:r>
          </w:p>
        </w:tc>
        <w:tc>
          <w:tcPr>
            <w:tcW w:type="dxa" w:w="47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/api/rules/atomic, /composite[/atomics]</w:t>
            </w:r>
          </w:p>
        </w:tc>
      </w:tr>
      <w:tr>
        <w:tc>
          <w:tcPr>
            <w:tcW w:type="dxa" w:w="13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/rule-performance</w:t>
            </w:r>
          </w:p>
        </w:tc>
        <w:tc>
          <w:tcPr>
            <w:tcW w:type="dxa" w:w="33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Rule performance leaderboard</w:t>
            </w:r>
          </w:p>
        </w:tc>
        <w:tc>
          <w:tcPr>
            <w:tcW w:type="dxa" w:w="47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/api/rules/performance</w:t>
            </w:r>
          </w:p>
        </w:tc>
      </w:tr>
      <w:tr>
        <w:tc>
          <w:tcPr>
            <w:tcW w:type="dxa" w:w="13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/trig</w:t>
            </w:r>
          </w:p>
        </w:tc>
        <w:tc>
          <w:tcPr>
            <w:tcW w:type="dxa" w:w="33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Trig Rules Analyzer</w:t>
            </w:r>
          </w:p>
        </w:tc>
        <w:tc>
          <w:tcPr>
            <w:tcW w:type="dxa" w:w="47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/api/data/drv_trig</w:t>
            </w:r>
          </w:p>
        </w:tc>
      </w:tr>
      <w:tr>
        <w:tc>
          <w:tcPr>
            <w:tcW w:type="dxa" w:w="13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/explore</w:t>
            </w:r>
          </w:p>
        </w:tc>
        <w:tc>
          <w:tcPr>
            <w:tcW w:type="dxa" w:w="330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Generic table browser</w:t>
            </w:r>
          </w:p>
        </w:tc>
        <w:tc>
          <w:tcPr>
            <w:tcW w:type="dxa" w:w="4760"/>
            <w:tcBorders>
              <w:top w:val="single" w:color="BFC4CC" w:sz="4"/>
              <w:left w:val="single" w:color="BFC4CC" w:sz="4"/>
              <w:bottom w:val="single" w:color="BFC4CC" w:sz="4"/>
              <w:right w:val="single" w:color="BFC4CC" w:sz="4"/>
            </w:tcBorders>
            <w:shd w:fill="FFFFFF" w:val="clear"/>
            <w:tcMar>
              <w:top w:type="dxa" w:w="70"/>
              <w:left w:type="dxa" w:w="120"/>
              <w:bottom w:type="dxa" w:w="70"/>
              <w:right w:type="dxa" w:w="120"/>
            </w:tcMar>
          </w:tcPr>
          <w:p>
            <w:r>
              <w:rPr>
                <w:sz w:val="19"/>
                <w:szCs w:val="19"/>
              </w:rPr>
              <w:t xml:space="preserve">/api/data/tables, /api/data/{name}</w:t>
            </w:r>
          </w:p>
        </w:tc>
      </w:tr>
      <w:tr>
        <w:tc>
          <w:tcPr>
            <w:tcW w:type="dxa" w:w="13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/ref</w:t>
            </w:r>
          </w:p>
        </w:tc>
        <w:tc>
          <w:tcPr>
            <w:tcW w:type="dxa" w:w="330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Ref-table maintenance</w:t>
            </w:r>
          </w:p>
        </w:tc>
        <w:tc>
          <w:tcPr>
            <w:tcW w:type="dxa" w:w="4760"/>
            <w:tcBorders>
              <w:top w:val="single" w:color="BFC4CC" w:sz="4"/>
              <w:left w:val="single" w:color="BFC4CC" w:sz="4"/>
              <w:bottom w:val="single" w:color="BFC4CC" w:sz="4"/>
              <w:right w:val="single" w:color="BFC4CC" w:sz="4"/>
            </w:tcBorders>
            <w:shd w:fill="F3F4F6" w:val="clear"/>
            <w:tcMar>
              <w:top w:type="dxa" w:w="70"/>
              <w:left w:type="dxa" w:w="120"/>
              <w:bottom w:type="dxa" w:w="70"/>
              <w:right w:type="dxa" w:w="120"/>
            </w:tcMar>
          </w:tcPr>
          <w:p>
            <w:r>
              <w:rPr>
                <w:sz w:val="19"/>
                <w:szCs w:val="19"/>
              </w:rPr>
              <w:t xml:space="preserve">/api/ref/* (CRUD + upload)</w:t>
            </w:r>
          </w:p>
        </w:tc>
      </w:tr>
    </w:tbl>
    <w:p>
      <w:pPr>
        <w:spacing w:after="60" w:before="60"/>
        <w:jc w:val="left"/>
      </w:pPr>
      <w:r>
        <w:rPr>
          <w:b w:val="false"/>
          <w:bCs w:val="false"/>
          <w:i w:val="false"/>
          <w:iCs w:val="false"/>
        </w:rPr>
        <w:t xml:space="preserve">Visual design uses a flat white-card system: background #f7f7f5, accent blue #1d4ed8, bull #15803d, bear #b91c1c, neutral #6b7280, warn #b45309. The `highlightKeywords()` helper colorizes long/short/bench and Bullish/Bearish phrases inside cells using six CSS classes (hl-long-primary/secondary/tertiary, hl-short-primary/secondary/tertiary, hl-bullish, hl-bearish).</w:t>
      </w:r>
    </w:p>
    <w:p>
      <w:pPr>
        <w:pStyle w:val="Heading1"/>
        <w:spacing w:after="140" w:before="280"/>
      </w:pPr>
      <w:r>
        <w:rPr>
          <w:b/>
          <w:bCs/>
          <w:color w:val="0B3D91"/>
          <w:sz w:val="36"/>
          <w:szCs w:val="36"/>
        </w:rPr>
        <w:t xml:space="preserve">9. Configuration and deployment</w:t>
      </w:r>
    </w:p>
    <w:p>
      <w:pPr>
        <w:spacing w:after="60" w:before="60"/>
        <w:jc w:val="left"/>
      </w:pPr>
      <w:r>
        <w:rPr>
          <w:b w:val="false"/>
          <w:bCs w:val="false"/>
          <w:i w:val="false"/>
          <w:iCs w:val="false"/>
        </w:rPr>
        <w:t xml:space="preserve">All credentials and paths come from `.env` (gitignored). The pydantic Settings class in `config/settings.py` exposes:</w:t>
      </w:r>
    </w:p>
    <w:p>
      <w:pPr>
        <w:shd w:fill="F3F4F6" w:val="clear"/>
        <w:spacing w:after="60" w:before="60"/>
      </w:pPr>
      <w:r>
        <w:rPr>
          <w:rFonts w:ascii="Consolas" w:cs="Consolas" w:eastAsia="Consolas" w:hAnsi="Consolas"/>
          <w:sz w:val="18"/>
          <w:szCs w:val="18"/>
        </w:rPr>
        <w:t xml:space="preserve">PG_HOST=localhost          PG_PORT=5432</w:t>
      </w:r>
      <w:r>
        <w:br/>
      </w:r>
      <w:r>
        <w:rPr>
          <w:rFonts w:ascii="Consolas" w:cs="Consolas" w:eastAsia="Consolas" w:hAnsi="Consolas"/>
          <w:sz w:val="18"/>
          <w:szCs w:val="18"/>
        </w:rPr>
        <w:t xml:space="preserve">PG_DATABASE=trading        PG_USER=postgres        PG_PASSWORD=...</w:t>
      </w:r>
      <w:r>
        <w:br/>
      </w:r>
      <w:r>
        <w:rPr>
          <w:rFonts w:ascii="Consolas" w:cs="Consolas" w:eastAsia="Consolas" w:hAnsi="Consolas"/>
          <w:sz w:val="18"/>
          <w:szCs w:val="18"/>
        </w:rPr>
        <w:t xml:space="preserve">TICKERS_FILE=C:\Ashok\Invest\Cluade\Cluade\Tickers 2026-04-30.xlsx</w:t>
      </w:r>
      <w:r>
        <w:br/>
      </w:r>
      <w:r>
        <w:rPr>
          <w:rFonts w:ascii="Consolas" w:cs="Consolas" w:eastAsia="Consolas" w:hAnsi="Consolas"/>
          <w:sz w:val="18"/>
          <w:szCs w:val="18"/>
        </w:rPr>
        <w:t xml:space="preserve">LOADFILES_FILE=...\LoadFiles.xlsx</w:t>
      </w:r>
      <w:r>
        <w:br/>
      </w:r>
      <w:r>
        <w:rPr>
          <w:rFonts w:ascii="Consolas" w:cs="Consolas" w:eastAsia="Consolas" w:hAnsi="Consolas"/>
          <w:sz w:val="18"/>
          <w:szCs w:val="18"/>
        </w:rPr>
        <w:t xml:space="preserve">ETL_WORKING_DIR=C:\Ashok\Invest\Projects\trading-dashboard\etl\working</w:t>
      </w:r>
      <w:r>
        <w:br/>
      </w:r>
      <w:r>
        <w:rPr>
          <w:rFonts w:ascii="Consolas" w:cs="Consolas" w:eastAsia="Consolas" w:hAnsi="Consolas"/>
          <w:sz w:val="18"/>
          <w:szCs w:val="18"/>
        </w:rPr>
        <w:t xml:space="preserve">DEFAULT_RETENTION_DAYS=365</w:t>
      </w:r>
      <w:r>
        <w:br/>
      </w:r>
      <w:r>
        <w:rPr>
          <w:rFonts w:ascii="Consolas" w:cs="Consolas" w:eastAsia="Consolas" w:hAnsi="Consolas"/>
          <w:sz w:val="18"/>
          <w:szCs w:val="18"/>
        </w:rPr>
        <w:t xml:space="preserve">API_HOST=127.0.0.1         API_PORT=8000</w:t>
      </w:r>
    </w:p>
    <w:p>
      <w:pPr>
        <w:spacing w:after="60" w:before="60"/>
        <w:jc w:val="left"/>
      </w:pPr>
      <w:r>
        <w:rPr>
          <w:b w:val="false"/>
          <w:bCs w:val="false"/>
          <w:i w:val="false"/>
          <w:iCs w:val="false"/>
        </w:rPr>
        <w:t xml:space="preserve">Operator UX is two batch files: `setup.bat` (creates `.venv`, installs requirements.txt, runs `python -m db.init_db`) and `start.bat` (activates venv, starts uvicorn on 127.0.0.1:8000, opens the browser). The scheduler is its own long-running process: `python -m etl.scheduler`.</w:t>
      </w:r>
    </w:p>
    <w:p>
      <w:pPr>
        <w:pStyle w:val="Heading1"/>
        <w:spacing w:after="140" w:before="280"/>
      </w:pPr>
      <w:r>
        <w:rPr>
          <w:b/>
          <w:bCs/>
          <w:color w:val="0B3D91"/>
          <w:sz w:val="36"/>
          <w:szCs w:val="36"/>
        </w:rPr>
        <w:t xml:space="preserve">10. Non-functional requirements</w:t>
      </w:r>
    </w:p>
    <w:p>
      <w:pPr>
        <w:pStyle w:val="Heading2"/>
        <w:spacing w:after="110" w:before="220"/>
      </w:pPr>
      <w:r>
        <w:rPr>
          <w:b/>
          <w:bCs/>
          <w:color w:val="0B3D91"/>
          <w:sz w:val="28"/>
          <w:szCs w:val="28"/>
        </w:rPr>
        <w:t xml:space="preserve">10.1 Reproducibility</w:t>
      </w:r>
    </w:p>
    <w:p>
      <w:pPr>
        <w:spacing w:after="60" w:before="60"/>
        <w:jc w:val="left"/>
      </w:pPr>
      <w:r>
        <w:rPr>
          <w:b w:val="false"/>
          <w:bCs w:val="false"/>
          <w:i w:val="false"/>
          <w:iCs w:val="false"/>
        </w:rPr>
        <w:t xml:space="preserve">Every persisted row carries a snapshot/as_of_date. Re-running ETL or derives for date D never touches earlier dates. `meta_derived_run` records every rebuild, so the data lineage of any drv_* row can be retraced.</w:t>
      </w:r>
    </w:p>
    <w:p>
      <w:pPr>
        <w:pStyle w:val="Heading2"/>
        <w:spacing w:after="110" w:before="220"/>
      </w:pPr>
      <w:r>
        <w:rPr>
          <w:b/>
          <w:bCs/>
          <w:color w:val="0B3D91"/>
          <w:sz w:val="28"/>
          <w:szCs w:val="28"/>
        </w:rPr>
        <w:t xml:space="preserve">10.2 Resilience</w:t>
      </w:r>
    </w:p>
    <w:p>
      <w:pPr>
        <w:spacing w:after="60" w:before="60"/>
        <w:jc w:val="left"/>
      </w:pPr>
      <w:r>
        <w:rPr>
          <w:b w:val="false"/>
          <w:bCs w:val="false"/>
          <w:i w:val="false"/>
          <w:iCs w:val="false"/>
        </w:rPr>
        <w:t xml:space="preserve">Per-batch (1000-row) commits bound the worst-case loss on a crash to one batch. `ON CONFLICT DO NOTHING` on hist_* and ref_* makes loaders idempotent. `meta_file_processed` (SHA-256) prevents duplicate work — but `db/init_db.py` truncates that audit table, defeating the dedupe contract until the next ETL rebuilds it.</w:t>
      </w:r>
    </w:p>
    <w:p>
      <w:pPr>
        <w:pStyle w:val="Heading2"/>
        <w:spacing w:after="110" w:before="220"/>
      </w:pPr>
      <w:r>
        <w:rPr>
          <w:b/>
          <w:bCs/>
          <w:color w:val="0B3D91"/>
          <w:sz w:val="28"/>
          <w:szCs w:val="28"/>
        </w:rPr>
        <w:t xml:space="preserve">10.3 Performance</w:t>
      </w:r>
    </w:p>
    <w:p>
      <w:pPr>
        <w:spacing w:after="60" w:before="60"/>
        <w:jc w:val="left"/>
      </w:pPr>
      <w:r>
        <w:rPr>
          <w:b w:val="false"/>
          <w:bCs w:val="false"/>
          <w:i w:val="false"/>
          <w:iCs w:val="false"/>
        </w:rPr>
        <w:t xml:space="preserve">Read latency is dominated by the FastAPI handler executing a parameterized SELECT against a small (single-date) slice of drv_dash or drv_stks. With ~1,200 symbols and ~60 composite rules, a typical /api/stks call returns ~2,000 rows in well under 200 ms locally. Initial load runs in single-digit minutes; ongoing per-file loads are seconds.</w:t>
      </w:r>
    </w:p>
    <w:p>
      <w:pPr>
        <w:pStyle w:val="Heading2"/>
        <w:spacing w:after="110" w:before="220"/>
      </w:pPr>
      <w:r>
        <w:rPr>
          <w:b/>
          <w:bCs/>
          <w:color w:val="0B3D91"/>
          <w:sz w:val="28"/>
          <w:szCs w:val="28"/>
        </w:rPr>
        <w:t xml:space="preserve">10.4 Security</w:t>
      </w:r>
    </w:p>
    <w:p>
      <w:pPr>
        <w:spacing w:after="60" w:before="60"/>
        <w:jc w:val="left"/>
      </w:pPr>
      <w:r>
        <w:rPr>
          <w:b w:val="false"/>
          <w:bCs w:val="false"/>
          <w:i w:val="false"/>
          <w:iCs w:val="false"/>
        </w:rPr>
        <w:t xml:space="preserve">Localhost-only bind, no auth. CORS=* is benign because the API is loopback-only, but it would be a serious problem if the bind address ever changed. There is no rate limiting, no secrets manager (PG_PASSWORD lives in .env), and no audit of who edited a ref table — all CRUD writes attribute to a single user.</w:t>
      </w:r>
    </w:p>
    <w:p>
      <w:pPr>
        <w:pStyle w:val="Heading2"/>
        <w:spacing w:after="110" w:before="220"/>
      </w:pPr>
      <w:r>
        <w:rPr>
          <w:b/>
          <w:bCs/>
          <w:color w:val="0B3D91"/>
          <w:sz w:val="28"/>
          <w:szCs w:val="28"/>
        </w:rPr>
        <w:t xml:space="preserve">10.5 Observability</w:t>
      </w:r>
    </w:p>
    <w:p>
      <w:pPr>
        <w:spacing w:after="60" w:before="60"/>
        <w:jc w:val="left"/>
      </w:pPr>
      <w:r>
        <w:rPr>
          <w:b w:val="false"/>
          <w:bCs w:val="false"/>
          <w:i w:val="false"/>
          <w:iCs w:val="false"/>
        </w:rPr>
        <w:t xml:space="preserve">stdout for ETL (per-batch progress lines), `meta_etl_run`/`meta_derived_run` for structured audit, and FastAPI auto-docs at /docs. There is no centralized log file; the README mentions a `logs/` directory but it is not used.</w:t>
      </w:r>
    </w:p>
    <w:p>
      <w:pPr>
        <w:pStyle w:val="Heading1"/>
        <w:spacing w:after="140" w:before="280"/>
      </w:pPr>
      <w:r>
        <w:rPr>
          <w:b/>
          <w:bCs/>
          <w:color w:val="0B3D91"/>
          <w:sz w:val="36"/>
          <w:szCs w:val="36"/>
        </w:rPr>
        <w:t xml:space="preserve">11. Known divergences from CLAUDE.md (now reconciled)</w:t>
      </w:r>
    </w:p>
    <w:p>
      <w:pPr>
        <w:spacing w:after="60" w:before="60"/>
        <w:jc w:val="left"/>
      </w:pPr>
      <w:r>
        <w:rPr>
          <w:b w:val="false"/>
          <w:bCs w:val="false"/>
          <w:i w:val="false"/>
          <w:iCs w:val="false"/>
        </w:rPr>
        <w:t xml:space="preserve">CLAUDE.md was updated in this same workstream. The following discrepancies were found in the previous version and have been corrected:</w:t>
      </w:r>
    </w:p>
    <w:p>
      <w:pPr>
        <w:pStyle w:val="ListParagraph"/>
        <w:numPr>
          <w:ilvl w:val="0"/>
          <w:numId w:val="2"/>
        </w:numPr>
        <w:spacing w:after="30" w:before="30"/>
      </w:pPr>
      <w:r>
        <w:t xml:space="preserve">derive_v2 is the active implementation for tw/etf/ii/ssh/ps/sss; the original derive.py functions for those concepts are dead code (rebound at module load).</w:t>
      </w:r>
    </w:p>
    <w:p>
      <w:pPr>
        <w:pStyle w:val="ListParagraph"/>
        <w:numPr>
          <w:ilvl w:val="0"/>
          <w:numId w:val="2"/>
        </w:numPr>
        <w:spacing w:after="30" w:before="30"/>
      </w:pPr>
      <w:r>
        <w:t xml:space="preserve">drv_trig uses legacy `_bucket_weight`, while drv_stks uses `eval_atomic_rule` (jump | linear | sigmoid). The two tables can disagree on score for non-jump rules.</w:t>
      </w:r>
    </w:p>
    <w:p>
      <w:pPr>
        <w:pStyle w:val="ListParagraph"/>
        <w:numPr>
          <w:ilvl w:val="0"/>
          <w:numId w:val="2"/>
        </w:numPr>
        <w:spacing w:after="30" w:before="30"/>
      </w:pPr>
      <w:r>
        <w:t xml:space="preserve">Composite `precondition_expr` is read but the evaluator is a TODO (`pass`).</w:t>
      </w:r>
    </w:p>
    <w:p>
      <w:pPr>
        <w:pStyle w:val="ListParagraph"/>
        <w:numPr>
          <w:ilvl w:val="0"/>
          <w:numId w:val="2"/>
        </w:numPr>
        <w:spacing w:after="30" w:before="30"/>
      </w:pPr>
      <w:r>
        <w:t xml:space="preserve">Rules Manager UI calls PUT/DELETE endpoints that don't exist.</w:t>
      </w:r>
    </w:p>
    <w:p>
      <w:pPr>
        <w:pStyle w:val="ListParagraph"/>
        <w:numPr>
          <w:ilvl w:val="0"/>
          <w:numId w:val="2"/>
        </w:numPr>
        <w:spacing w:after="30" w:before="30"/>
      </w:pPr>
      <w:r>
        <w:t xml:space="preserve">POST /api/actions stores `str(triggered)` (Python repr) into a JSONB column; compute_outcomes.py uses `eval()` to read it back.</w:t>
      </w:r>
    </w:p>
    <w:p>
      <w:pPr>
        <w:pStyle w:val="ListParagraph"/>
        <w:numPr>
          <w:ilvl w:val="0"/>
          <w:numId w:val="2"/>
        </w:numPr>
        <w:spacing w:after="30" w:before="30"/>
      </w:pPr>
      <w:r>
        <w:t xml:space="preserve">Cockpit logs `'ACTED'/'SKIP'`, but `_determine_hit` only knows SA/STM/SS/BM/HOLD/SKIP. ACTED falls through to `hit=False`.</w:t>
      </w:r>
    </w:p>
    <w:p>
      <w:pPr>
        <w:pStyle w:val="ListParagraph"/>
        <w:numPr>
          <w:ilvl w:val="0"/>
          <w:numId w:val="2"/>
        </w:numPr>
        <w:spacing w:after="30" w:before="30"/>
      </w:pPr>
      <w:r>
        <w:t xml:space="preserve">compute_outcomes ignores ref_settings; thresholds are hard-coded.</w:t>
      </w:r>
    </w:p>
    <w:p>
      <w:pPr>
        <w:pStyle w:val="ListParagraph"/>
        <w:numPr>
          <w:ilvl w:val="0"/>
          <w:numId w:val="2"/>
        </w:numPr>
        <w:spacing w:after="30" w:before="30"/>
      </w:pPr>
      <w:r>
        <w:t xml:space="preserve">drv_dash threshold_low/threshold_high/zone_signal are always NULL.</w:t>
      </w:r>
    </w:p>
    <w:p>
      <w:pPr>
        <w:pStyle w:val="ListParagraph"/>
        <w:numPr>
          <w:ilvl w:val="0"/>
          <w:numId w:val="2"/>
        </w:numPr>
        <w:spacing w:after="30" w:before="30"/>
      </w:pPr>
      <w:r>
        <w:t xml:space="preserve">db/init_db.py truncates audit + dedup tables on every run.</w:t>
      </w:r>
    </w:p>
    <w:p>
      <w:pPr>
        <w:pStyle w:val="ListParagraph"/>
        <w:numPr>
          <w:ilvl w:val="0"/>
          <w:numId w:val="2"/>
        </w:numPr>
        <w:spacing w:after="30" w:before="30"/>
      </w:pPr>
      <w:r>
        <w:t xml:space="preserve">The old `00_migrate_split.sql` is gone; current DDL set is 01..13.</w:t>
      </w:r>
    </w:p>
    <w:p>
      <w:pPr>
        <w:pStyle w:val="Heading1"/>
        <w:spacing w:after="140" w:before="280"/>
      </w:pPr>
      <w:r>
        <w:rPr>
          <w:b/>
          <w:bCs/>
          <w:color w:val="0B3D91"/>
          <w:sz w:val="36"/>
          <w:szCs w:val="36"/>
        </w:rPr>
        <w:t xml:space="preserve">12. References</w:t>
      </w:r>
    </w:p>
    <w:p>
      <w:pPr>
        <w:pStyle w:val="ListParagraph"/>
        <w:numPr>
          <w:ilvl w:val="0"/>
          <w:numId w:val="2"/>
        </w:numPr>
        <w:spacing w:after="30" w:before="30"/>
      </w:pPr>
      <w:r>
        <w:t xml:space="preserve">Source: `C:\Ashok\Invest\Projects\trading-dashboard` (this design reflects code state of 2026-05-08).</w:t>
      </w:r>
    </w:p>
    <w:p>
      <w:pPr>
        <w:pStyle w:val="ListParagraph"/>
        <w:numPr>
          <w:ilvl w:val="0"/>
          <w:numId w:val="2"/>
        </w:numPr>
        <w:spacing w:after="30" w:before="30"/>
      </w:pPr>
      <w:r>
        <w:t xml:space="preserve">CLAUDE.md — operator quick reference.</w:t>
      </w:r>
    </w:p>
    <w:p>
      <w:pPr>
        <w:pStyle w:val="ListParagraph"/>
        <w:numPr>
          <w:ilvl w:val="0"/>
          <w:numId w:val="2"/>
        </w:numPr>
        <w:spacing w:after="30" w:before="30"/>
      </w:pPr>
      <w:r>
        <w:t xml:space="preserve">DESIGN_RULE_ENGINE_V2.md — original v2 design proposal (this document supersedes it for current state).</w:t>
      </w:r>
    </w:p>
    <w:p>
      <w:pPr>
        <w:pStyle w:val="ListParagraph"/>
        <w:numPr>
          <w:ilvl w:val="0"/>
          <w:numId w:val="2"/>
        </w:numPr>
        <w:spacing w:after="30" w:before="30"/>
      </w:pPr>
      <w:r>
        <w:t xml:space="preserve">FORMULA_AUDIT.md, FORMULA_FIXES_SUMMARY.md, TRIG_UI_GUIDE.md — narrative companions.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r>
      <w:rPr>
        <w:color w:val="6b7280"/>
        <w:sz w:val="18"/>
        <w:szCs w:val="18"/>
      </w:rPr>
      <w:t xml:space="preserve">   |   Trading Dashboard   |   2026-05-08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0B3D91"/>
      <w:sz w:val="36"/>
      <w:szCs w:val="36"/>
    </w:rPr>
  </w:style>
  <w:style w:type="paragraph" w:styleId="Heading2">
    <w:name w:val="Heading 2"/>
    <w:basedOn w:val="Normal"/>
    <w:next w:val="Normal"/>
    <w:qFormat/>
    <w:pPr>
      <w:spacing w:after="110" w:before="220"/>
      <w:outlineLvl w:val="1"/>
    </w:pPr>
    <w:rPr>
      <w:rFonts w:ascii="Calibri" w:cs="Calibri" w:eastAsia="Calibri" w:hAnsi="Calibri"/>
      <w:b/>
      <w:bCs/>
      <w:color w:val="0B3D91"/>
      <w:sz w:val="28"/>
      <w:szCs w:val="28"/>
    </w:rPr>
  </w:style>
  <w:style w:type="paragraph" w:styleId="Heading3">
    <w:name w:val="Heading 3"/>
    <w:basedOn w:val="Normal"/>
    <w:next w:val="Normal"/>
    <w:qFormat/>
    <w:pPr>
      <w:spacing w:after="90" w:before="180"/>
      <w:outlineLvl w:val="2"/>
    </w:pPr>
    <w:rPr>
      <w:rFonts w:ascii="Calibri" w:cs="Calibri" w:eastAsia="Calibri" w:hAnsi="Calibri"/>
      <w:b/>
      <w:bCs/>
      <w:color w:val="1f3b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5a1989ae3a44de84f12f8f6fbe95c1998fd997.png"/><Relationship Id="rId10" Type="http://schemas.openxmlformats.org/officeDocument/2006/relationships/image" Target="media/ed3b71cdb8d1bd3e06fb7a1316f995b92bdc174e.png"/><Relationship Id="rId11" Type="http://schemas.openxmlformats.org/officeDocument/2006/relationships/image" Target="media/74dd322676cfc11c19b83a932a8c3b6f78efd2f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Document</dc:title>
  <dc:creator>Trading Dashboard / Cowork analysis</dc:creator>
  <dc:description>Design Document</dc:description>
  <cp:lastModifiedBy>Un-named</cp:lastModifiedBy>
  <cp:revision>1</cp:revision>
  <dcterms:created xsi:type="dcterms:W3CDTF">2026-05-08T22:11:07.215Z</dcterms:created>
  <dcterms:modified xsi:type="dcterms:W3CDTF">2026-05-08T22:11:07.215Z</dcterms:modified>
</cp:coreProperties>
</file>

<file path=docProps/custom.xml><?xml version="1.0" encoding="utf-8"?>
<Properties xmlns="http://schemas.openxmlformats.org/officeDocument/2006/custom-properties" xmlns:vt="http://schemas.openxmlformats.org/officeDocument/2006/docPropsVTypes"/>
</file>