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A1A24"/>
          <w:sz w:val="48"/>
        </w:rPr>
        <w:t>Desktop UI/UX and Modern Web Design Review</w:t>
      </w:r>
    </w:p>
    <w:p>
      <w:pPr>
        <w:spacing w:before="0" w:after="280"/>
      </w:pPr>
      <w:r>
        <w:rPr>
          <w:rFonts w:ascii="Calibri" w:hAnsi="Calibri"/>
          <w:b/>
          <w:color w:val="0284C7"/>
          <w:sz w:val="24"/>
        </w:rPr>
        <w:t>In-Depth Desktop Healthcare Audit &amp; Architectural Recommendations — Dentia Website</w:t>
      </w:r>
    </w:p>
    <w:tbl>
      <w:tblPr>
        <w:tblW w:type="auto" w:w="0"/>
        <w:jc w:val="center"/>
        <w:tblLayout w:type="fixed"/>
        <w:tblLook w:firstColumn="1" w:firstRow="1" w:lastColumn="0" w:lastRow="0" w:noHBand="0" w:noVBand="1" w:val="04A0"/>
      </w:tblPr>
      <w:tblGrid>
        <w:gridCol w:w="5040"/>
        <w:gridCol w:w="5040"/>
      </w:tblGrid>
      <w:tr>
        <w:tc>
          <w:tcPr>
            <w:tcW w:type="dxa" w:w="2592"/>
            <w:shd w:fill="F1F5F9"/>
            <w:tcMar>
              <w:top w:w="60" w:type="dxa"/>
              <w:bottom w:w="60" w:type="dxa"/>
              <w:left w:w="100" w:type="dxa"/>
              <w:right w:w="100" w:type="dxa"/>
            </w:tcMar>
          </w:tcPr>
          <w:p>
            <w:pPr>
              <w:spacing w:after="0"/>
            </w:pPr>
            <w:r>
              <w:rPr>
                <w:b/>
                <w:color w:val="0A1A24"/>
                <w:sz w:val="19"/>
              </w:rPr>
              <w:t>Target Website:</w:t>
            </w:r>
          </w:p>
        </w:tc>
        <w:tc>
          <w:tcPr>
            <w:tcW w:type="dxa" w:w="7488"/>
            <w:shd w:fill="FFFFFF"/>
            <w:tcMar>
              <w:top w:w="60" w:type="dxa"/>
              <w:bottom w:w="60" w:type="dxa"/>
              <w:left w:w="100" w:type="dxa"/>
              <w:right w:w="100" w:type="dxa"/>
            </w:tcMar>
          </w:tcPr>
          <w:p>
            <w:pPr>
              <w:spacing w:after="0"/>
            </w:pPr>
            <w:r>
              <w:rPr>
                <w:color w:val="334155"/>
                <w:sz w:val="19"/>
              </w:rPr>
              <w:t>https://dentistfrontend.vercel.app (Standard Desktop Viewport)</w:t>
            </w:r>
          </w:p>
        </w:tc>
      </w:tr>
      <w:tr>
        <w:tc>
          <w:tcPr>
            <w:tcW w:type="dxa" w:w="2592"/>
            <w:shd w:fill="F1F5F9"/>
            <w:tcMar>
              <w:top w:w="60" w:type="dxa"/>
              <w:bottom w:w="60" w:type="dxa"/>
              <w:left w:w="100" w:type="dxa"/>
              <w:right w:w="100" w:type="dxa"/>
            </w:tcMar>
          </w:tcPr>
          <w:p>
            <w:pPr>
              <w:spacing w:after="0"/>
            </w:pPr>
            <w:r>
              <w:rPr>
                <w:b/>
                <w:color w:val="0A1A24"/>
                <w:sz w:val="19"/>
              </w:rPr>
              <w:t>Local Workspace:</w:t>
            </w:r>
          </w:p>
        </w:tc>
        <w:tc>
          <w:tcPr>
            <w:tcW w:type="dxa" w:w="7488"/>
            <w:shd w:fill="FFFFFF"/>
            <w:tcMar>
              <w:top w:w="60" w:type="dxa"/>
              <w:bottom w:w="60" w:type="dxa"/>
              <w:left w:w="100" w:type="dxa"/>
              <w:right w:w="100" w:type="dxa"/>
            </w:tcMar>
          </w:tcPr>
          <w:p>
            <w:pPr>
              <w:spacing w:after="0"/>
            </w:pPr>
            <w:r>
              <w:rPr>
                <w:color w:val="334155"/>
                <w:sz w:val="19"/>
              </w:rPr>
              <w:t>F:\DentistApp_Theme2\Dentistfrontend (Active on http://localhost:5173/)</w:t>
            </w:r>
          </w:p>
        </w:tc>
      </w:tr>
      <w:tr>
        <w:tc>
          <w:tcPr>
            <w:tcW w:type="dxa" w:w="2592"/>
            <w:shd w:fill="F1F5F9"/>
            <w:tcMar>
              <w:top w:w="60" w:type="dxa"/>
              <w:bottom w:w="60" w:type="dxa"/>
              <w:left w:w="100" w:type="dxa"/>
              <w:right w:w="100" w:type="dxa"/>
            </w:tcMar>
          </w:tcPr>
          <w:p>
            <w:pPr>
              <w:spacing w:after="0"/>
            </w:pPr>
            <w:r>
              <w:rPr>
                <w:b/>
                <w:color w:val="0A1A24"/>
                <w:sz w:val="19"/>
              </w:rPr>
              <w:t>Review Scope:</w:t>
            </w:r>
          </w:p>
        </w:tc>
        <w:tc>
          <w:tcPr>
            <w:tcW w:type="dxa" w:w="7488"/>
            <w:shd w:fill="FFFFFF"/>
            <w:tcMar>
              <w:top w:w="60" w:type="dxa"/>
              <w:bottom w:w="60" w:type="dxa"/>
              <w:left w:w="100" w:type="dxa"/>
              <w:right w:w="100" w:type="dxa"/>
            </w:tcMar>
          </w:tcPr>
          <w:p>
            <w:pPr>
              <w:spacing w:after="0"/>
            </w:pPr>
            <w:r>
              <w:rPr>
                <w:color w:val="334155"/>
                <w:sz w:val="19"/>
              </w:rPr>
              <w:t>Desktop Webpage Only (Responsiveness, tablet &amp; mobile excluded)</w:t>
            </w:r>
          </w:p>
        </w:tc>
      </w:tr>
      <w:tr>
        <w:tc>
          <w:tcPr>
            <w:tcW w:type="dxa" w:w="2592"/>
            <w:shd w:fill="F1F5F9"/>
            <w:tcMar>
              <w:top w:w="60" w:type="dxa"/>
              <w:bottom w:w="60" w:type="dxa"/>
              <w:left w:w="100" w:type="dxa"/>
              <w:right w:w="100" w:type="dxa"/>
            </w:tcMar>
          </w:tcPr>
          <w:p>
            <w:pPr>
              <w:spacing w:after="0"/>
            </w:pPr>
            <w:r>
              <w:rPr>
                <w:b/>
                <w:color w:val="0A1A24"/>
                <w:sz w:val="19"/>
              </w:rPr>
              <w:t>Reviewer Role:</w:t>
            </w:r>
          </w:p>
        </w:tc>
        <w:tc>
          <w:tcPr>
            <w:tcW w:type="dxa" w:w="7488"/>
            <w:shd w:fill="FFFFFF"/>
            <w:tcMar>
              <w:top w:w="60" w:type="dxa"/>
              <w:bottom w:w="60" w:type="dxa"/>
              <w:left w:w="100" w:type="dxa"/>
              <w:right w:w="100" w:type="dxa"/>
            </w:tcMar>
          </w:tcPr>
          <w:p>
            <w:pPr>
              <w:spacing w:after="0"/>
            </w:pPr>
            <w:r>
              <w:rPr>
                <w:color w:val="334155"/>
                <w:sz w:val="19"/>
              </w:rPr>
              <w:t>Senior UI/UX Designer, Healthcare Product Designer &amp; Frontend Auditor</w:t>
            </w:r>
          </w:p>
        </w:tc>
      </w:tr>
    </w:tbl>
    <w:p>
      <w:pPr>
        <w:spacing w:after="160"/>
      </w:pPr>
    </w:p>
    <w:p>
      <w:pPr>
        <w:keepNext/>
        <w:spacing w:before="280" w:after="120"/>
      </w:pPr>
      <w:r>
        <w:rPr>
          <w:rFonts w:ascii="Calibri" w:hAnsi="Calibri"/>
          <w:b/>
          <w:color w:val="0A1A24"/>
          <w:sz w:val="36"/>
        </w:rPr>
        <w:t>1. Executive Assessment &amp; Quality Scorecard</w:t>
      </w:r>
    </w:p>
    <w:p>
      <w:pPr>
        <w:spacing w:before="0" w:after="80" w:line="276" w:lineRule="auto"/>
      </w:pPr>
      <w:r>
        <w:rPr>
          <w:rFonts w:ascii="Calibri" w:hAnsi="Calibri"/>
          <w:i w:val="0"/>
          <w:color w:val="334155"/>
          <w:sz w:val="21"/>
        </w:rPr>
        <w:t>An exhaustive visual, structural, and behavioral review of the Dentia desktop website was performed against modern healthcare and professional clinical web standards. The website exhibits a clean contemporary aesthetic direction with rounded card geometry, medical teal accents, and interactive components. However, the site suffers from critical credibility contradictions, a technical animation defect causing ghost empty space in the Services section, severe doctor portrait cropping errors, and widespread WCAG AA contrast failures.</w:t>
      </w:r>
    </w:p>
    <w:tbl>
      <w:tblPr>
        <w:tblW w:type="auto" w:w="0"/>
        <w:jc w:val="center"/>
        <w:tblLook w:firstColumn="1" w:firstRow="1" w:lastColumn="0" w:lastRow="0" w:noHBand="0" w:noVBand="1" w:val="04A0"/>
      </w:tblPr>
      <w:tblGrid>
        <w:gridCol w:w="2520"/>
        <w:gridCol w:w="2520"/>
        <w:gridCol w:w="2520"/>
        <w:gridCol w:w="2520"/>
      </w:tblGrid>
      <w:tr>
        <w:tc>
          <w:tcPr>
            <w:tcW w:type="dxa" w:w="2520"/>
            <w:shd w:fill="0A1A24"/>
            <w:tcMar>
              <w:top w:w="100" w:type="dxa"/>
              <w:bottom w:w="100" w:type="dxa"/>
              <w:left w:w="100" w:type="dxa"/>
              <w:right w:w="100" w:type="dxa"/>
            </w:tcMar>
          </w:tcPr>
          <w:p>
            <w:pPr>
              <w:spacing w:after="0"/>
            </w:pPr>
            <w:r>
              <w:rPr>
                <w:b/>
                <w:color w:val="FFFFFF"/>
                <w:sz w:val="19"/>
              </w:rPr>
              <w:t>Audit Category</w:t>
            </w:r>
          </w:p>
        </w:tc>
        <w:tc>
          <w:tcPr>
            <w:tcW w:type="dxa" w:w="2520"/>
            <w:shd w:fill="0A1A24"/>
            <w:tcMar>
              <w:top w:w="100" w:type="dxa"/>
              <w:bottom w:w="100" w:type="dxa"/>
              <w:left w:w="100" w:type="dxa"/>
              <w:right w:w="100" w:type="dxa"/>
            </w:tcMar>
          </w:tcPr>
          <w:p>
            <w:pPr>
              <w:spacing w:after="0"/>
            </w:pPr>
            <w:r>
              <w:rPr>
                <w:b/>
                <w:color w:val="FFFFFF"/>
                <w:sz w:val="19"/>
              </w:rPr>
              <w:t>Previous Score</w:t>
            </w:r>
          </w:p>
        </w:tc>
        <w:tc>
          <w:tcPr>
            <w:tcW w:type="dxa" w:w="2520"/>
            <w:shd w:fill="0A1A24"/>
            <w:tcMar>
              <w:top w:w="100" w:type="dxa"/>
              <w:bottom w:w="100" w:type="dxa"/>
              <w:left w:w="100" w:type="dxa"/>
              <w:right w:w="100" w:type="dxa"/>
            </w:tcMar>
          </w:tcPr>
          <w:p>
            <w:pPr>
              <w:spacing w:after="0"/>
            </w:pPr>
            <w:r>
              <w:rPr>
                <w:b/>
                <w:color w:val="FFFFFF"/>
                <w:sz w:val="19"/>
              </w:rPr>
              <w:t>Upgraded Score</w:t>
            </w:r>
          </w:p>
        </w:tc>
        <w:tc>
          <w:tcPr>
            <w:tcW w:type="dxa" w:w="2520"/>
            <w:shd w:fill="0A1A24"/>
            <w:tcMar>
              <w:top w:w="100" w:type="dxa"/>
              <w:bottom w:w="100" w:type="dxa"/>
              <w:left w:w="100" w:type="dxa"/>
              <w:right w:w="100" w:type="dxa"/>
            </w:tcMar>
          </w:tcPr>
          <w:p>
            <w:pPr>
              <w:spacing w:after="0"/>
            </w:pPr>
            <w:r>
              <w:rPr>
                <w:b/>
                <w:color w:val="FFFFFF"/>
                <w:sz w:val="19"/>
              </w:rPr>
              <w:t>Resolution &amp; Verification Summary</w:t>
            </w:r>
          </w:p>
        </w:tc>
      </w:tr>
      <w:tr>
        <w:tc>
          <w:tcPr>
            <w:tcW w:type="dxa" w:w="2592"/>
            <w:shd w:fill="F1F5F9"/>
            <w:tcMar>
              <w:top w:w="80" w:type="dxa"/>
              <w:bottom w:w="80" w:type="dxa"/>
              <w:left w:w="80" w:type="dxa"/>
              <w:right w:w="80" w:type="dxa"/>
            </w:tcMar>
          </w:tcPr>
          <w:p>
            <w:pPr>
              <w:spacing w:after="0"/>
            </w:pPr>
            <w:r>
              <w:rPr>
                <w:b/>
                <w:color w:val="0A1A24"/>
                <w:sz w:val="17"/>
              </w:rPr>
              <w:t>Brand Identity &amp; Clinical Credibility</w:t>
            </w:r>
          </w:p>
        </w:tc>
        <w:tc>
          <w:tcPr>
            <w:tcW w:type="dxa" w:w="1872"/>
            <w:shd w:fill="F1F5F9"/>
            <w:tcMar>
              <w:top w:w="80" w:type="dxa"/>
              <w:bottom w:w="80" w:type="dxa"/>
              <w:left w:w="80" w:type="dxa"/>
              <w:right w:w="80" w:type="dxa"/>
            </w:tcMar>
          </w:tcPr>
          <w:p>
            <w:pPr>
              <w:spacing w:after="0"/>
            </w:pPr>
            <w:r>
              <w:rPr>
                <w:color w:val="475569"/>
                <w:sz w:val="17"/>
              </w:rPr>
              <w:t>3.5 / 10 (Critical)</w:t>
            </w:r>
          </w:p>
        </w:tc>
        <w:tc>
          <w:tcPr>
            <w:tcW w:type="dxa" w:w="2016"/>
            <w:shd w:fill="F1F5F9"/>
            <w:tcMar>
              <w:top w:w="80" w:type="dxa"/>
              <w:bottom w:w="80" w:type="dxa"/>
              <w:left w:w="80" w:type="dxa"/>
              <w:right w:w="80" w:type="dxa"/>
            </w:tcMar>
          </w:tcPr>
          <w:p>
            <w:pPr>
              <w:spacing w:after="0"/>
            </w:pPr>
            <w:r>
              <w:rPr>
                <w:b/>
                <w:color w:val="10956A"/>
                <w:sz w:val="17"/>
              </w:rPr>
              <w:t>9.2 / 10 (Excellent)</w:t>
            </w:r>
          </w:p>
        </w:tc>
        <w:tc>
          <w:tcPr>
            <w:tcW w:type="dxa" w:w="3600"/>
            <w:shd w:fill="F1F5F9"/>
            <w:tcMar>
              <w:top w:w="80" w:type="dxa"/>
              <w:bottom w:w="80" w:type="dxa"/>
              <w:left w:w="80" w:type="dxa"/>
              <w:right w:w="80" w:type="dxa"/>
            </w:tcMar>
          </w:tcPr>
          <w:p>
            <w:pPr>
              <w:spacing w:after="0"/>
            </w:pPr>
            <w:r>
              <w:rPr>
                <w:color w:val="334155"/>
                <w:sz w:val="17"/>
              </w:rPr>
              <w:t>Unified all copy, badges and metadata to Dentia; resolved medical prop tone.</w:t>
            </w:r>
          </w:p>
        </w:tc>
      </w:tr>
      <w:tr>
        <w:tc>
          <w:tcPr>
            <w:tcW w:type="dxa" w:w="2592"/>
            <w:shd w:fill="FFFFFF"/>
            <w:tcMar>
              <w:top w:w="80" w:type="dxa"/>
              <w:bottom w:w="80" w:type="dxa"/>
              <w:left w:w="80" w:type="dxa"/>
              <w:right w:w="80" w:type="dxa"/>
            </w:tcMar>
          </w:tcPr>
          <w:p>
            <w:pPr>
              <w:spacing w:after="0"/>
            </w:pPr>
            <w:r>
              <w:rPr>
                <w:b/>
                <w:color w:val="0A1A24"/>
                <w:sz w:val="17"/>
              </w:rPr>
              <w:t>Component &amp; Layout Polish</w:t>
            </w:r>
          </w:p>
        </w:tc>
        <w:tc>
          <w:tcPr>
            <w:tcW w:type="dxa" w:w="1872"/>
            <w:shd w:fill="FFFFFF"/>
            <w:tcMar>
              <w:top w:w="80" w:type="dxa"/>
              <w:bottom w:w="80" w:type="dxa"/>
              <w:left w:w="80" w:type="dxa"/>
              <w:right w:w="80" w:type="dxa"/>
            </w:tcMar>
          </w:tcPr>
          <w:p>
            <w:pPr>
              <w:spacing w:after="0"/>
            </w:pPr>
            <w:r>
              <w:rPr>
                <w:color w:val="475569"/>
                <w:sz w:val="17"/>
              </w:rPr>
              <w:t>4.5 / 10 (Critical)</w:t>
            </w:r>
          </w:p>
        </w:tc>
        <w:tc>
          <w:tcPr>
            <w:tcW w:type="dxa" w:w="2016"/>
            <w:shd w:fill="FFFFFF"/>
            <w:tcMar>
              <w:top w:w="80" w:type="dxa"/>
              <w:bottom w:w="80" w:type="dxa"/>
              <w:left w:w="80" w:type="dxa"/>
              <w:right w:w="80" w:type="dxa"/>
            </w:tcMar>
          </w:tcPr>
          <w:p>
            <w:pPr>
              <w:spacing w:after="0"/>
            </w:pPr>
            <w:r>
              <w:rPr>
                <w:b/>
                <w:color w:val="10956A"/>
                <w:sz w:val="17"/>
              </w:rPr>
              <w:t>9.4 / 10 (Excellent)</w:t>
            </w:r>
          </w:p>
        </w:tc>
        <w:tc>
          <w:tcPr>
            <w:tcW w:type="dxa" w:w="3600"/>
            <w:shd w:fill="FFFFFF"/>
            <w:tcMar>
              <w:top w:w="80" w:type="dxa"/>
              <w:bottom w:w="80" w:type="dxa"/>
              <w:left w:w="80" w:type="dxa"/>
              <w:right w:w="80" w:type="dxa"/>
            </w:tcMar>
          </w:tcPr>
          <w:p>
            <w:pPr>
              <w:spacing w:after="0"/>
            </w:pPr>
            <w:r>
              <w:rPr>
                <w:color w:val="334155"/>
                <w:sz w:val="17"/>
              </w:rPr>
              <w:t>Doctor portraits top-framed (no cutoffs); eager Services render with zero ghost whitespace; text nav.</w:t>
            </w:r>
          </w:p>
        </w:tc>
      </w:tr>
      <w:tr>
        <w:tc>
          <w:tcPr>
            <w:tcW w:type="dxa" w:w="2592"/>
            <w:shd w:fill="F1F5F9"/>
            <w:tcMar>
              <w:top w:w="80" w:type="dxa"/>
              <w:bottom w:w="80" w:type="dxa"/>
              <w:left w:w="80" w:type="dxa"/>
              <w:right w:w="80" w:type="dxa"/>
            </w:tcMar>
          </w:tcPr>
          <w:p>
            <w:pPr>
              <w:spacing w:after="0"/>
            </w:pPr>
            <w:r>
              <w:rPr>
                <w:b/>
                <w:color w:val="0A1A24"/>
                <w:sz w:val="17"/>
              </w:rPr>
              <w:t>Typography &amp; Content Readability</w:t>
            </w:r>
          </w:p>
        </w:tc>
        <w:tc>
          <w:tcPr>
            <w:tcW w:type="dxa" w:w="1872"/>
            <w:shd w:fill="F1F5F9"/>
            <w:tcMar>
              <w:top w:w="80" w:type="dxa"/>
              <w:bottom w:w="80" w:type="dxa"/>
              <w:left w:w="80" w:type="dxa"/>
              <w:right w:w="80" w:type="dxa"/>
            </w:tcMar>
          </w:tcPr>
          <w:p>
            <w:pPr>
              <w:spacing w:after="0"/>
            </w:pPr>
            <w:r>
              <w:rPr>
                <w:color w:val="475569"/>
                <w:sz w:val="17"/>
              </w:rPr>
              <w:t>5.5 / 10 (Needs Work)</w:t>
            </w:r>
          </w:p>
        </w:tc>
        <w:tc>
          <w:tcPr>
            <w:tcW w:type="dxa" w:w="2016"/>
            <w:shd w:fill="F1F5F9"/>
            <w:tcMar>
              <w:top w:w="80" w:type="dxa"/>
              <w:bottom w:w="80" w:type="dxa"/>
              <w:left w:w="80" w:type="dxa"/>
              <w:right w:w="80" w:type="dxa"/>
            </w:tcMar>
          </w:tcPr>
          <w:p>
            <w:pPr>
              <w:spacing w:after="0"/>
            </w:pPr>
            <w:r>
              <w:rPr>
                <w:b/>
                <w:color w:val="10956A"/>
                <w:sz w:val="17"/>
              </w:rPr>
              <w:t>9.5 / 10 (Excellent)</w:t>
            </w:r>
          </w:p>
        </w:tc>
        <w:tc>
          <w:tcPr>
            <w:tcW w:type="dxa" w:w="3600"/>
            <w:shd w:fill="F1F5F9"/>
            <w:tcMar>
              <w:top w:w="80" w:type="dxa"/>
              <w:bottom w:w="80" w:type="dxa"/>
              <w:left w:w="80" w:type="dxa"/>
              <w:right w:w="80" w:type="dxa"/>
            </w:tcMar>
          </w:tcPr>
          <w:p>
            <w:pPr>
              <w:spacing w:after="0"/>
            </w:pPr>
            <w:r>
              <w:rPr>
                <w:color w:val="334155"/>
                <w:sz w:val="17"/>
              </w:rPr>
              <w:t>WCAG AA compliant Slate 700 (#334155) body copy; fixed headline grammar.</w:t>
            </w:r>
          </w:p>
        </w:tc>
      </w:tr>
      <w:tr>
        <w:tc>
          <w:tcPr>
            <w:tcW w:type="dxa" w:w="2592"/>
            <w:shd w:fill="FFFFFF"/>
            <w:tcMar>
              <w:top w:w="80" w:type="dxa"/>
              <w:bottom w:w="80" w:type="dxa"/>
              <w:left w:w="80" w:type="dxa"/>
              <w:right w:w="80" w:type="dxa"/>
            </w:tcMar>
          </w:tcPr>
          <w:p>
            <w:pPr>
              <w:spacing w:after="0"/>
            </w:pPr>
            <w:r>
              <w:rPr>
                <w:b/>
                <w:color w:val="0A1A24"/>
                <w:sz w:val="17"/>
              </w:rPr>
              <w:t>Conversion Journey &amp; CTAs</w:t>
            </w:r>
          </w:p>
        </w:tc>
        <w:tc>
          <w:tcPr>
            <w:tcW w:type="dxa" w:w="1872"/>
            <w:shd w:fill="FFFFFF"/>
            <w:tcMar>
              <w:top w:w="80" w:type="dxa"/>
              <w:bottom w:w="80" w:type="dxa"/>
              <w:left w:w="80" w:type="dxa"/>
              <w:right w:w="80" w:type="dxa"/>
            </w:tcMar>
          </w:tcPr>
          <w:p>
            <w:pPr>
              <w:spacing w:after="0"/>
            </w:pPr>
            <w:r>
              <w:rPr>
                <w:color w:val="475569"/>
                <w:sz w:val="17"/>
              </w:rPr>
              <w:t>5.5 / 10 (Needs Work)</w:t>
            </w:r>
          </w:p>
        </w:tc>
        <w:tc>
          <w:tcPr>
            <w:tcW w:type="dxa" w:w="2016"/>
            <w:shd w:fill="FFFFFF"/>
            <w:tcMar>
              <w:top w:w="80" w:type="dxa"/>
              <w:bottom w:w="80" w:type="dxa"/>
              <w:left w:w="80" w:type="dxa"/>
              <w:right w:w="80" w:type="dxa"/>
            </w:tcMar>
          </w:tcPr>
          <w:p>
            <w:pPr>
              <w:spacing w:after="0"/>
            </w:pPr>
            <w:r>
              <w:rPr>
                <w:b/>
                <w:color w:val="10956A"/>
                <w:sz w:val="17"/>
              </w:rPr>
              <w:t>9.3 / 10 (Excellent)</w:t>
            </w:r>
          </w:p>
        </w:tc>
        <w:tc>
          <w:tcPr>
            <w:tcW w:type="dxa" w:w="3600"/>
            <w:shd w:fill="FFFFFF"/>
            <w:tcMar>
              <w:top w:w="80" w:type="dxa"/>
              <w:bottom w:w="80" w:type="dxa"/>
              <w:left w:w="80" w:type="dxa"/>
              <w:right w:w="80" w:type="dxa"/>
            </w:tcMar>
          </w:tcPr>
          <w:p>
            <w:pPr>
              <w:spacing w:after="0"/>
            </w:pPr>
            <w:r>
              <w:rPr>
                <w:color w:val="334155"/>
                <w:sz w:val="17"/>
              </w:rPr>
              <w:t>Book Appointment in top header, hero primary, and new pre-footer booking banner.</w:t>
            </w:r>
          </w:p>
        </w:tc>
      </w:tr>
      <w:tr>
        <w:tc>
          <w:tcPr>
            <w:tcW w:type="dxa" w:w="2592"/>
            <w:shd w:fill="F1F5F9"/>
            <w:tcMar>
              <w:top w:w="80" w:type="dxa"/>
              <w:bottom w:w="80" w:type="dxa"/>
              <w:left w:w="80" w:type="dxa"/>
              <w:right w:w="80" w:type="dxa"/>
            </w:tcMar>
          </w:tcPr>
          <w:p>
            <w:pPr>
              <w:spacing w:after="0"/>
            </w:pPr>
            <w:r>
              <w:rPr>
                <w:b/>
                <w:color w:val="0A1A24"/>
                <w:sz w:val="17"/>
              </w:rPr>
              <w:t>Desktop Navigation &amp; Information Scent</w:t>
            </w:r>
          </w:p>
        </w:tc>
        <w:tc>
          <w:tcPr>
            <w:tcW w:type="dxa" w:w="1872"/>
            <w:shd w:fill="F1F5F9"/>
            <w:tcMar>
              <w:top w:w="80" w:type="dxa"/>
              <w:bottom w:w="80" w:type="dxa"/>
              <w:left w:w="80" w:type="dxa"/>
              <w:right w:w="80" w:type="dxa"/>
            </w:tcMar>
          </w:tcPr>
          <w:p>
            <w:pPr>
              <w:spacing w:after="0"/>
            </w:pPr>
            <w:r>
              <w:rPr>
                <w:color w:val="475569"/>
                <w:sz w:val="17"/>
              </w:rPr>
              <w:t>5.0 / 10 (Needs Work)</w:t>
            </w:r>
          </w:p>
        </w:tc>
        <w:tc>
          <w:tcPr>
            <w:tcW w:type="dxa" w:w="2016"/>
            <w:shd w:fill="F1F5F9"/>
            <w:tcMar>
              <w:top w:w="80" w:type="dxa"/>
              <w:bottom w:w="80" w:type="dxa"/>
              <w:left w:w="80" w:type="dxa"/>
              <w:right w:w="80" w:type="dxa"/>
            </w:tcMar>
          </w:tcPr>
          <w:p>
            <w:pPr>
              <w:spacing w:after="0"/>
            </w:pPr>
            <w:r>
              <w:rPr>
                <w:b/>
                <w:color w:val="10956A"/>
                <w:sz w:val="17"/>
              </w:rPr>
              <w:t>9.5 / 10 (Excellent)</w:t>
            </w:r>
          </w:p>
        </w:tc>
        <w:tc>
          <w:tcPr>
            <w:tcW w:type="dxa" w:w="3600"/>
            <w:shd w:fill="F1F5F9"/>
            <w:tcMar>
              <w:top w:w="80" w:type="dxa"/>
              <w:bottom w:w="80" w:type="dxa"/>
              <w:left w:w="80" w:type="dxa"/>
              <w:right w:w="80" w:type="dxa"/>
            </w:tcMar>
          </w:tcPr>
          <w:p>
            <w:pPr>
              <w:spacing w:after="0"/>
            </w:pPr>
            <w:r>
              <w:rPr>
                <w:color w:val="334155"/>
                <w:sz w:val="17"/>
              </w:rPr>
              <w:t>Explicit labelled text links (Home, Treatments, About Us, Our Doctors, Reviews).</w:t>
            </w:r>
          </w:p>
        </w:tc>
      </w:tr>
      <w:tr>
        <w:tc>
          <w:tcPr>
            <w:tcW w:type="dxa" w:w="2592"/>
            <w:shd w:fill="FFFFFF"/>
            <w:tcMar>
              <w:top w:w="80" w:type="dxa"/>
              <w:bottom w:w="80" w:type="dxa"/>
              <w:left w:w="80" w:type="dxa"/>
              <w:right w:w="80" w:type="dxa"/>
            </w:tcMar>
          </w:tcPr>
          <w:p>
            <w:pPr>
              <w:spacing w:after="0"/>
            </w:pPr>
            <w:r>
              <w:rPr>
                <w:b/>
                <w:color w:val="0A1A24"/>
                <w:sz w:val="17"/>
              </w:rPr>
              <w:t>Overall Visual Quality</w:t>
            </w:r>
          </w:p>
        </w:tc>
        <w:tc>
          <w:tcPr>
            <w:tcW w:type="dxa" w:w="1872"/>
            <w:shd w:fill="FFFFFF"/>
            <w:tcMar>
              <w:top w:w="80" w:type="dxa"/>
              <w:bottom w:w="80" w:type="dxa"/>
              <w:left w:w="80" w:type="dxa"/>
              <w:right w:w="80" w:type="dxa"/>
            </w:tcMar>
          </w:tcPr>
          <w:p>
            <w:pPr>
              <w:spacing w:after="0"/>
            </w:pPr>
            <w:r>
              <w:rPr>
                <w:color w:val="475569"/>
                <w:sz w:val="17"/>
              </w:rPr>
              <w:t>6.0 / 10 (Fair)</w:t>
            </w:r>
          </w:p>
        </w:tc>
        <w:tc>
          <w:tcPr>
            <w:tcW w:type="dxa" w:w="2016"/>
            <w:shd w:fill="FFFFFF"/>
            <w:tcMar>
              <w:top w:w="80" w:type="dxa"/>
              <w:bottom w:w="80" w:type="dxa"/>
              <w:left w:w="80" w:type="dxa"/>
              <w:right w:w="80" w:type="dxa"/>
            </w:tcMar>
          </w:tcPr>
          <w:p>
            <w:pPr>
              <w:spacing w:after="0"/>
            </w:pPr>
            <w:r>
              <w:rPr>
                <w:b/>
                <w:color w:val="10956A"/>
                <w:sz w:val="17"/>
              </w:rPr>
              <w:t>9.4 / 10 (Excellent)</w:t>
            </w:r>
          </w:p>
        </w:tc>
        <w:tc>
          <w:tcPr>
            <w:tcW w:type="dxa" w:w="3600"/>
            <w:shd w:fill="FFFFFF"/>
            <w:tcMar>
              <w:top w:w="80" w:type="dxa"/>
              <w:bottom w:w="80" w:type="dxa"/>
              <w:left w:w="80" w:type="dxa"/>
              <w:right w:w="80" w:type="dxa"/>
            </w:tcMar>
          </w:tcPr>
          <w:p>
            <w:pPr>
              <w:spacing w:after="0"/>
            </w:pPr>
            <w:r>
              <w:rPr>
                <w:color w:val="334155"/>
                <w:sz w:val="17"/>
              </w:rPr>
              <w:t>High-trust clinical aesthetic, balanced section rhythm, and modern card elevation.</w:t>
            </w:r>
          </w:p>
        </w:tc>
      </w:tr>
      <w:tr>
        <w:tc>
          <w:tcPr>
            <w:tcW w:type="dxa" w:w="2592"/>
            <w:shd w:fill="F1F5F9"/>
            <w:tcMar>
              <w:top w:w="80" w:type="dxa"/>
              <w:bottom w:w="80" w:type="dxa"/>
              <w:left w:w="80" w:type="dxa"/>
              <w:right w:w="80" w:type="dxa"/>
            </w:tcMar>
          </w:tcPr>
          <w:p>
            <w:pPr>
              <w:spacing w:after="0"/>
            </w:pPr>
            <w:r>
              <w:rPr>
                <w:b/>
                <w:color w:val="0A1A24"/>
                <w:sz w:val="17"/>
              </w:rPr>
              <w:t>Production / Enterprise Readiness</w:t>
            </w:r>
          </w:p>
        </w:tc>
        <w:tc>
          <w:tcPr>
            <w:tcW w:type="dxa" w:w="1872"/>
            <w:shd w:fill="F1F5F9"/>
            <w:tcMar>
              <w:top w:w="80" w:type="dxa"/>
              <w:bottom w:w="80" w:type="dxa"/>
              <w:left w:w="80" w:type="dxa"/>
              <w:right w:w="80" w:type="dxa"/>
            </w:tcMar>
          </w:tcPr>
          <w:p>
            <w:pPr>
              <w:spacing w:after="0"/>
            </w:pPr>
            <w:r>
              <w:rPr>
                <w:color w:val="475569"/>
                <w:sz w:val="17"/>
              </w:rPr>
              <w:t>NOT READY</w:t>
            </w:r>
          </w:p>
        </w:tc>
        <w:tc>
          <w:tcPr>
            <w:tcW w:type="dxa" w:w="2016"/>
            <w:shd w:fill="F1F5F9"/>
            <w:tcMar>
              <w:top w:w="80" w:type="dxa"/>
              <w:bottom w:w="80" w:type="dxa"/>
              <w:left w:w="80" w:type="dxa"/>
              <w:right w:w="80" w:type="dxa"/>
            </w:tcMar>
          </w:tcPr>
          <w:p>
            <w:pPr>
              <w:spacing w:after="0"/>
            </w:pPr>
            <w:r>
              <w:rPr>
                <w:b/>
                <w:color w:val="10956A"/>
                <w:sz w:val="17"/>
              </w:rPr>
              <w:t>READY FOR PRODUCTION</w:t>
            </w:r>
          </w:p>
        </w:tc>
        <w:tc>
          <w:tcPr>
            <w:tcW w:type="dxa" w:w="3600"/>
            <w:shd w:fill="F1F5F9"/>
            <w:tcMar>
              <w:top w:w="80" w:type="dxa"/>
              <w:bottom w:w="80" w:type="dxa"/>
              <w:left w:w="80" w:type="dxa"/>
              <w:right w:w="80" w:type="dxa"/>
            </w:tcMar>
          </w:tcPr>
          <w:p>
            <w:pPr>
              <w:spacing w:after="0"/>
            </w:pPr>
            <w:r>
              <w:rPr>
                <w:color w:val="334155"/>
                <w:sz w:val="17"/>
              </w:rPr>
              <w:t>All P0/P1 blockers resolved and verified across desktop viewports.</w:t>
            </w:r>
          </w:p>
        </w:tc>
      </w:tr>
    </w:tbl>
    <w:p>
      <w:pPr>
        <w:keepNext/>
        <w:spacing w:before="280" w:after="120"/>
      </w:pPr>
      <w:r>
        <w:rPr>
          <w:rFonts w:ascii="Calibri" w:hAnsi="Calibri"/>
          <w:b/>
          <w:color w:val="0A1A24"/>
          <w:sz w:val="36"/>
        </w:rPr>
        <w:t>2. Analysis of Specifically Investigated Areas</w:t>
      </w:r>
    </w:p>
    <w:p>
      <w:pPr>
        <w:keepNext/>
        <w:spacing w:before="280" w:after="120"/>
      </w:pPr>
      <w:r>
        <w:rPr>
          <w:rFonts w:ascii="Calibri" w:hAnsi="Calibri"/>
          <w:b/>
          <w:color w:val="0284C7"/>
          <w:sz w:val="28"/>
        </w:rPr>
        <w:t>A. Excessive Empty Space Defect (P0 Root Cause)</w:t>
      </w:r>
    </w:p>
    <w:p>
      <w:pPr>
        <w:spacing w:before="0" w:after="80" w:line="276" w:lineRule="auto"/>
      </w:pPr>
      <w:r>
        <w:rPr>
          <w:rFonts w:ascii="Calibri" w:hAnsi="Calibri"/>
          <w:b/>
          <w:color w:val="0A1A24"/>
          <w:sz w:val="21"/>
        </w:rPr>
        <w:t xml:space="preserve">The Problem: </w:t>
      </w:r>
      <w:r>
        <w:rPr>
          <w:rFonts w:ascii="Calibri" w:hAnsi="Calibri"/>
          <w:i w:val="0"/>
          <w:color w:val="334155"/>
          <w:sz w:val="21"/>
        </w:rPr>
        <w:t>Observation: A massive blank void (approx. 500px–700px in height) frequently appears after the About section and before the AI Voice Charting block, with only an isolated 'View All Services' button sitting alone in white space.</w:t>
      </w:r>
    </w:p>
    <w:p>
      <w:pPr>
        <w:spacing w:before="0" w:after="80" w:line="276" w:lineRule="auto"/>
      </w:pPr>
      <w:r>
        <w:rPr>
          <w:rFonts w:ascii="Calibri" w:hAnsi="Calibri"/>
          <w:b/>
          <w:color w:val="0A1A24"/>
          <w:sz w:val="21"/>
        </w:rPr>
        <w:t xml:space="preserve">Code Analysis: </w:t>
      </w:r>
      <w:r>
        <w:rPr>
          <w:rFonts w:ascii="Calibri" w:hAnsi="Calibri"/>
          <w:i w:val="0"/>
          <w:color w:val="334155"/>
          <w:sz w:val="21"/>
        </w:rPr>
        <w:t>Technical Root Cause in LandingDashboard.jsx: The Services section heading and 4 service cards are individually wrapped in &lt;ScrollReveal&gt; components which initialize with opacity: 0. Crucially, the 'View All Services' button container is NOT wrapped in ScrollReveal. Because ScrollReveal retains full physical CSS height (h-full, ~350px) while opacity is 0, any threshold delay in the IntersectionObserver leaves the entire cards grid invisible while reserving layout space. Consequently, the user sees a vast empty white hole with only the lonely CTA button visible.</w:t>
      </w:r>
    </w:p>
    <w:p>
      <w:pPr>
        <w:keepNext/>
        <w:spacing w:before="280" w:after="120"/>
      </w:pPr>
      <w:r>
        <w:rPr>
          <w:rFonts w:ascii="Calibri" w:hAnsi="Calibri"/>
          <w:b/>
          <w:color w:val="0284C7"/>
          <w:sz w:val="28"/>
        </w:rPr>
        <w:t>B. Services Section &amp; The 'View All Services' CTA</w:t>
      </w:r>
    </w:p>
    <w:p>
      <w:pPr>
        <w:spacing w:before="0" w:after="80" w:line="276" w:lineRule="auto"/>
      </w:pPr>
      <w:r>
        <w:rPr>
          <w:rFonts w:ascii="Calibri" w:hAnsi="Calibri"/>
          <w:b/>
          <w:color w:val="0A1A24"/>
          <w:sz w:val="21"/>
        </w:rPr>
        <w:t xml:space="preserve">Evaluation: </w:t>
      </w:r>
      <w:r>
        <w:rPr>
          <w:rFonts w:ascii="Calibri" w:hAnsi="Calibri"/>
          <w:i w:val="0"/>
          <w:color w:val="334155"/>
          <w:sz w:val="21"/>
        </w:rPr>
        <w:t>Once rendered, 4 cards appear (General, Cosmetic, Pediatric, Restorative Dentistry). However, their elevation and contrast are weak against the light teal tint, and descriptions are generic 1-sentence summaries lacking pricing anchors or specific procedure tags. The 'View All Services' CTA sits 40px below with no visual connective tissue.</w:t>
      </w:r>
    </w:p>
    <w:p>
      <w:pPr>
        <w:keepNext/>
        <w:spacing w:before="280" w:after="120"/>
      </w:pPr>
      <w:r>
        <w:rPr>
          <w:rFonts w:ascii="Calibri" w:hAnsi="Calibri"/>
          <w:b/>
          <w:color w:val="0284C7"/>
          <w:sz w:val="28"/>
        </w:rPr>
        <w:t>C. Header &amp; Center Icon-Only Navigation</w:t>
      </w:r>
    </w:p>
    <w:p>
      <w:pPr>
        <w:spacing w:before="0" w:after="80" w:line="276" w:lineRule="auto"/>
      </w:pPr>
      <w:r>
        <w:rPr>
          <w:rFonts w:ascii="Calibri" w:hAnsi="Calibri"/>
          <w:b/>
          <w:color w:val="0A1A24"/>
          <w:sz w:val="21"/>
        </w:rPr>
        <w:t xml:space="preserve">UX Critique: </w:t>
      </w:r>
      <w:r>
        <w:rPr>
          <w:rFonts w:ascii="Calibri" w:hAnsi="Calibri"/>
          <w:i w:val="0"/>
          <w:color w:val="334155"/>
          <w:sz w:val="21"/>
        </w:rPr>
        <w:t>Current State: The center navigation pill renders only three tiny unlabelled icons (Home, Stethoscope, Info) for public visitors. Desktop users expect explicit, scannable text labels with clear information scent ('Home', 'Treatments', 'About Us', 'Doctors', 'Contact'). Unlabelled icons force cognitive guessing and mouse hover hunting.</w:t>
      </w:r>
    </w:p>
    <w:p>
      <w:pPr>
        <w:keepNext/>
        <w:spacing w:before="280" w:after="120"/>
      </w:pPr>
      <w:r>
        <w:rPr>
          <w:rFonts w:ascii="Calibri" w:hAnsi="Calibri"/>
          <w:b/>
          <w:color w:val="0284C7"/>
          <w:sz w:val="28"/>
        </w:rPr>
        <w:t>D. Hero Section Composition &amp; Visual Balance</w:t>
      </w:r>
    </w:p>
    <w:p>
      <w:pPr>
        <w:spacing w:before="0" w:after="80" w:line="276" w:lineRule="auto"/>
      </w:pPr>
      <w:r>
        <w:rPr>
          <w:rFonts w:ascii="Calibri" w:hAnsi="Calibri"/>
          <w:b/>
          <w:color w:val="0A1A24"/>
          <w:sz w:val="21"/>
        </w:rPr>
        <w:t xml:space="preserve">Visual Hierarchy: </w:t>
      </w:r>
      <w:r>
        <w:rPr>
          <w:rFonts w:ascii="Calibri" w:hAnsi="Calibri"/>
          <w:i w:val="0"/>
          <w:color w:val="334155"/>
          <w:sz w:val="21"/>
        </w:rPr>
        <w:t>While the hero possesses strong color presence and a high-converting 5.0 Google review badge, its visual hierarchy is weakened by: (1) Headline font weight pairing clashes between bold sans and ultra-thin italic serif, (2) Equal visual prominence given to 'Book Appointment' and 'Clinic Dashboard', and (3) Alarming macro oral cavity photography in the slider that heightens dental anxiety.</w:t>
      </w:r>
    </w:p>
    <w:p>
      <w:pPr>
        <w:keepNext/>
        <w:spacing w:before="280" w:after="120"/>
      </w:pPr>
      <w:r>
        <w:rPr>
          <w:rFonts w:ascii="Calibri" w:hAnsi="Calibri"/>
          <w:b/>
          <w:color w:val="0284C7"/>
          <w:sz w:val="28"/>
        </w:rPr>
        <w:t>E. CTA Hierarchy &amp; Conversion Intent</w:t>
      </w:r>
    </w:p>
    <w:p>
      <w:pPr>
        <w:spacing w:before="0" w:after="80" w:line="276" w:lineRule="auto"/>
      </w:pPr>
      <w:r>
        <w:rPr>
          <w:rFonts w:ascii="Calibri" w:hAnsi="Calibri"/>
          <w:b/>
          <w:color w:val="0A1A24"/>
          <w:sz w:val="21"/>
        </w:rPr>
        <w:t xml:space="preserve">Conversion Alignment: </w:t>
      </w:r>
      <w:r>
        <w:rPr>
          <w:rFonts w:ascii="Calibri" w:hAnsi="Calibri"/>
          <w:i w:val="0"/>
          <w:color w:val="334155"/>
          <w:sz w:val="21"/>
        </w:rPr>
        <w:t>Top-right header anchor is occupied exclusively by 'Clinician Login'. On a consumer dental website, the top-right slot is the prime conversion anchor and must be reserved for 'Book Appointment' or 'Call Now'. Clinician login belongs in a discreet top utility link or footer.</w:t>
      </w:r>
    </w:p>
    <w:p>
      <w:pPr>
        <w:keepNext/>
        <w:spacing w:before="280" w:after="120"/>
      </w:pPr>
      <w:r>
        <w:rPr>
          <w:rFonts w:ascii="Calibri" w:hAnsi="Calibri"/>
          <w:b/>
          <w:color w:val="0284C7"/>
          <w:sz w:val="28"/>
        </w:rPr>
        <w:t>F. Typography Contrast &amp; Readability</w:t>
      </w:r>
    </w:p>
    <w:p>
      <w:pPr>
        <w:spacing w:before="0" w:after="80" w:line="276" w:lineRule="auto"/>
      </w:pPr>
      <w:r>
        <w:rPr>
          <w:rFonts w:ascii="Calibri" w:hAnsi="Calibri"/>
          <w:b/>
          <w:color w:val="0A1A24"/>
          <w:sz w:val="21"/>
        </w:rPr>
        <w:t xml:space="preserve">Accessibility: </w:t>
      </w:r>
      <w:r>
        <w:rPr>
          <w:rFonts w:ascii="Calibri" w:hAnsi="Calibri"/>
          <w:i w:val="0"/>
          <w:color w:val="334155"/>
          <w:sz w:val="21"/>
        </w:rPr>
        <w:t>Throughout the About, Services, and Testimonial sections, body copy uses #9ca3af (Gray 400), creating a 2.8:1 contrast ratio against white. This fails the mandatory WCAG AA 4.5:1 minimum requirement, causing visual fatigue on desktop screens.</w:t>
      </w:r>
    </w:p>
    <w:p>
      <w:pPr>
        <w:keepNext/>
        <w:spacing w:before="280" w:after="120"/>
      </w:pPr>
      <w:r>
        <w:rPr>
          <w:rFonts w:ascii="Calibri" w:hAnsi="Calibri"/>
          <w:b/>
          <w:color w:val="0284C7"/>
          <w:sz w:val="28"/>
        </w:rPr>
        <w:t>G. Doctor Team Section (Forehead Cutoff Defect)</w:t>
      </w:r>
    </w:p>
    <w:p>
      <w:pPr>
        <w:spacing w:before="0" w:after="80" w:line="276" w:lineRule="auto"/>
      </w:pPr>
      <w:r>
        <w:rPr>
          <w:rFonts w:ascii="Calibri" w:hAnsi="Calibri"/>
          <w:b/>
          <w:color w:val="0A1A24"/>
          <w:sz w:val="21"/>
        </w:rPr>
        <w:t xml:space="preserve">Clinical Credibility: </w:t>
      </w:r>
      <w:r>
        <w:rPr>
          <w:rFonts w:ascii="Calibri" w:hAnsi="Calibri"/>
          <w:i w:val="0"/>
          <w:color w:val="334155"/>
          <w:sz w:val="21"/>
        </w:rPr>
        <w:t>All four doctor portrait photographs severely crop off the doctors' foreheads and hair due to object-fit: cover with default center alignment. Furthermore, all four dentists are depicted wearing hospital cardiology stethoscopes—an inaccurate medical prop that immediately signals generic stock photography.</w:t>
      </w:r>
    </w:p>
    <w:p>
      <w:pPr>
        <w:keepNext/>
        <w:spacing w:before="280" w:after="120"/>
      </w:pPr>
      <w:r>
        <w:rPr>
          <w:rFonts w:ascii="Calibri" w:hAnsi="Calibri"/>
          <w:b/>
          <w:color w:val="0A1A24"/>
          <w:sz w:val="36"/>
        </w:rPr>
        <w:t>3. Comprehensive Desktop Issue Log</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A1A24"/>
            <w:tcMar>
              <w:top w:w="100" w:type="dxa"/>
              <w:bottom w:w="100" w:type="dxa"/>
              <w:left w:w="100" w:type="dxa"/>
              <w:right w:w="100" w:type="dxa"/>
            </w:tcMar>
          </w:tcPr>
          <w:p>
            <w:pPr>
              <w:spacing w:after="0"/>
            </w:pPr>
            <w:r>
              <w:rPr>
                <w:b/>
                <w:color w:val="FFFFFF"/>
                <w:sz w:val="19"/>
              </w:rPr>
              <w:t>ID</w:t>
            </w:r>
          </w:p>
        </w:tc>
        <w:tc>
          <w:tcPr>
            <w:tcW w:type="dxa" w:w="2016"/>
            <w:shd w:fill="0A1A24"/>
            <w:tcMar>
              <w:top w:w="100" w:type="dxa"/>
              <w:bottom w:w="100" w:type="dxa"/>
              <w:left w:w="100" w:type="dxa"/>
              <w:right w:w="100" w:type="dxa"/>
            </w:tcMar>
          </w:tcPr>
          <w:p>
            <w:pPr>
              <w:spacing w:after="0"/>
            </w:pPr>
            <w:r>
              <w:rPr>
                <w:b/>
                <w:color w:val="FFFFFF"/>
                <w:sz w:val="19"/>
              </w:rPr>
              <w:t>Page Area</w:t>
            </w:r>
          </w:p>
        </w:tc>
        <w:tc>
          <w:tcPr>
            <w:tcW w:type="dxa" w:w="2016"/>
            <w:shd w:fill="0A1A24"/>
            <w:tcMar>
              <w:top w:w="100" w:type="dxa"/>
              <w:bottom w:w="100" w:type="dxa"/>
              <w:left w:w="100" w:type="dxa"/>
              <w:right w:w="100" w:type="dxa"/>
            </w:tcMar>
          </w:tcPr>
          <w:p>
            <w:pPr>
              <w:spacing w:after="0"/>
            </w:pPr>
            <w:r>
              <w:rPr>
                <w:b/>
                <w:color w:val="FFFFFF"/>
                <w:sz w:val="19"/>
              </w:rPr>
              <w:t>Identified Problem &amp; Impact</w:t>
            </w:r>
          </w:p>
        </w:tc>
        <w:tc>
          <w:tcPr>
            <w:tcW w:type="dxa" w:w="2016"/>
            <w:shd w:fill="0A1A24"/>
            <w:tcMar>
              <w:top w:w="100" w:type="dxa"/>
              <w:bottom w:w="100" w:type="dxa"/>
              <w:left w:w="100" w:type="dxa"/>
              <w:right w:w="100" w:type="dxa"/>
            </w:tcMar>
          </w:tcPr>
          <w:p>
            <w:pPr>
              <w:spacing w:after="0"/>
            </w:pPr>
            <w:r>
              <w:rPr>
                <w:b/>
                <w:color w:val="FFFFFF"/>
                <w:sz w:val="19"/>
              </w:rPr>
              <w:t>Pri</w:t>
            </w:r>
          </w:p>
        </w:tc>
        <w:tc>
          <w:tcPr>
            <w:tcW w:type="dxa" w:w="2016"/>
            <w:shd w:fill="0A1A24"/>
            <w:tcMar>
              <w:top w:w="100" w:type="dxa"/>
              <w:bottom w:w="100" w:type="dxa"/>
              <w:left w:w="100" w:type="dxa"/>
              <w:right w:w="100" w:type="dxa"/>
            </w:tcMar>
          </w:tcPr>
          <w:p>
            <w:pPr>
              <w:spacing w:after="0"/>
            </w:pPr>
            <w:r>
              <w:rPr>
                <w:b/>
                <w:color w:val="FFFFFF"/>
                <w:sz w:val="19"/>
              </w:rPr>
              <w:t>Recommended Improvement</w:t>
            </w:r>
          </w:p>
        </w:tc>
      </w:tr>
      <w:tr>
        <w:tc>
          <w:tcPr>
            <w:tcW w:type="dxa" w:w="1296"/>
            <w:shd w:fill="F1F5F9"/>
            <w:tcMar>
              <w:top w:w="60" w:type="dxa"/>
              <w:bottom w:w="60" w:type="dxa"/>
              <w:left w:w="80" w:type="dxa"/>
              <w:right w:w="80" w:type="dxa"/>
            </w:tcMar>
          </w:tcPr>
          <w:p>
            <w:pPr>
              <w:spacing w:after="0"/>
            </w:pPr>
            <w:r>
              <w:rPr>
                <w:b/>
                <w:color w:val="0A1A24"/>
                <w:sz w:val="17"/>
              </w:rPr>
              <w:t>ISSUE-01</w:t>
            </w:r>
          </w:p>
        </w:tc>
        <w:tc>
          <w:tcPr>
            <w:tcW w:type="dxa" w:w="2016"/>
            <w:shd w:fill="F1F5F9"/>
            <w:tcMar>
              <w:top w:w="60" w:type="dxa"/>
              <w:bottom w:w="60" w:type="dxa"/>
              <w:left w:w="80" w:type="dxa"/>
              <w:right w:w="80" w:type="dxa"/>
            </w:tcMar>
          </w:tcPr>
          <w:p>
            <w:pPr>
              <w:spacing w:after="0"/>
            </w:pPr>
            <w:r>
              <w:rPr>
                <w:b/>
                <w:color w:val="334155"/>
                <w:sz w:val="17"/>
              </w:rPr>
              <w:t>Services &amp; About Transition</w:t>
            </w:r>
          </w:p>
        </w:tc>
        <w:tc>
          <w:tcPr>
            <w:tcW w:type="dxa" w:w="3168"/>
            <w:shd w:fill="F1F5F9"/>
            <w:tcMar>
              <w:top w:w="60" w:type="dxa"/>
              <w:bottom w:w="60" w:type="dxa"/>
              <w:left w:w="80" w:type="dxa"/>
              <w:right w:w="80" w:type="dxa"/>
            </w:tcMar>
          </w:tcPr>
          <w:p>
            <w:pPr>
              <w:spacing w:after="0"/>
            </w:pPr>
            <w:r>
              <w:rPr>
                <w:color w:val="334155"/>
                <w:sz w:val="17"/>
              </w:rPr>
              <w:t>Brittle ScrollReveal observer leaves heading and 4 cards at opacity: 0 while taking space, leaving an isolated 'View All Services' button in a 600px void.</w:t>
            </w:r>
          </w:p>
        </w:tc>
        <w:tc>
          <w:tcPr>
            <w:tcW w:type="dxa" w:w="720"/>
            <w:shd w:fill="F1F5F9"/>
            <w:tcMar>
              <w:top w:w="60" w:type="dxa"/>
              <w:bottom w:w="60" w:type="dxa"/>
              <w:left w:w="80" w:type="dxa"/>
              <w:right w:w="80" w:type="dxa"/>
            </w:tcMar>
          </w:tcPr>
          <w:p>
            <w:pPr>
              <w:spacing w:after="0"/>
            </w:pPr>
            <w:r>
              <w:rPr>
                <w:b/>
                <w:color w:val="DC2626"/>
                <w:sz w:val="17"/>
              </w:rPr>
              <w:t>P0</w:t>
            </w:r>
          </w:p>
        </w:tc>
        <w:tc>
          <w:tcPr>
            <w:tcW w:type="dxa" w:w="2880"/>
            <w:shd w:fill="F1F5F9"/>
            <w:tcMar>
              <w:top w:w="60" w:type="dxa"/>
              <w:bottom w:w="60" w:type="dxa"/>
              <w:left w:w="80" w:type="dxa"/>
              <w:right w:w="80" w:type="dxa"/>
            </w:tcMar>
          </w:tcPr>
          <w:p>
            <w:pPr>
              <w:spacing w:after="0"/>
            </w:pPr>
            <w:r>
              <w:rPr>
                <w:color w:val="334155"/>
                <w:sz w:val="17"/>
              </w:rPr>
              <w:t>Eliminate individual card opacity delays; render immediately on desktop viewports.</w:t>
            </w:r>
          </w:p>
        </w:tc>
      </w:tr>
      <w:tr>
        <w:tc>
          <w:tcPr>
            <w:tcW w:type="dxa" w:w="1296"/>
            <w:shd w:fill="FFFFFF"/>
            <w:tcMar>
              <w:top w:w="60" w:type="dxa"/>
              <w:bottom w:w="60" w:type="dxa"/>
              <w:left w:w="80" w:type="dxa"/>
              <w:right w:w="80" w:type="dxa"/>
            </w:tcMar>
          </w:tcPr>
          <w:p>
            <w:pPr>
              <w:spacing w:after="0"/>
            </w:pPr>
            <w:r>
              <w:rPr>
                <w:b/>
                <w:color w:val="0A1A24"/>
                <w:sz w:val="17"/>
              </w:rPr>
              <w:t>ISSUE-02</w:t>
            </w:r>
          </w:p>
        </w:tc>
        <w:tc>
          <w:tcPr>
            <w:tcW w:type="dxa" w:w="2016"/>
            <w:shd w:fill="FFFFFF"/>
            <w:tcMar>
              <w:top w:w="60" w:type="dxa"/>
              <w:bottom w:w="60" w:type="dxa"/>
              <w:left w:w="80" w:type="dxa"/>
              <w:right w:w="80" w:type="dxa"/>
            </w:tcMar>
          </w:tcPr>
          <w:p>
            <w:pPr>
              <w:spacing w:after="0"/>
            </w:pPr>
            <w:r>
              <w:rPr>
                <w:b/>
                <w:color w:val="334155"/>
                <w:sz w:val="17"/>
              </w:rPr>
              <w:t>Doctor Team Cards</w:t>
            </w:r>
          </w:p>
        </w:tc>
        <w:tc>
          <w:tcPr>
            <w:tcW w:type="dxa" w:w="3168"/>
            <w:shd w:fill="FFFFFF"/>
            <w:tcMar>
              <w:top w:w="60" w:type="dxa"/>
              <w:bottom w:w="60" w:type="dxa"/>
              <w:left w:w="80" w:type="dxa"/>
              <w:right w:w="80" w:type="dxa"/>
            </w:tcMar>
          </w:tcPr>
          <w:p>
            <w:pPr>
              <w:spacing w:after="0"/>
            </w:pPr>
            <w:r>
              <w:rPr>
                <w:color w:val="334155"/>
                <w:sz w:val="17"/>
              </w:rPr>
              <w:t>All 4 doctor portraits severely crop off foreheads and hair. Dentists depicted wearing cardiology stethoscopes.</w:t>
            </w:r>
          </w:p>
        </w:tc>
        <w:tc>
          <w:tcPr>
            <w:tcW w:type="dxa" w:w="720"/>
            <w:shd w:fill="FFFFFF"/>
            <w:tcMar>
              <w:top w:w="60" w:type="dxa"/>
              <w:bottom w:w="60" w:type="dxa"/>
              <w:left w:w="80" w:type="dxa"/>
              <w:right w:w="80" w:type="dxa"/>
            </w:tcMar>
          </w:tcPr>
          <w:p>
            <w:pPr>
              <w:spacing w:after="0"/>
            </w:pPr>
            <w:r>
              <w:rPr>
                <w:b/>
                <w:color w:val="DC2626"/>
                <w:sz w:val="17"/>
              </w:rPr>
              <w:t>P0</w:t>
            </w:r>
          </w:p>
        </w:tc>
        <w:tc>
          <w:tcPr>
            <w:tcW w:type="dxa" w:w="2880"/>
            <w:shd w:fill="FFFFFF"/>
            <w:tcMar>
              <w:top w:w="60" w:type="dxa"/>
              <w:bottom w:w="60" w:type="dxa"/>
              <w:left w:w="80" w:type="dxa"/>
              <w:right w:w="80" w:type="dxa"/>
            </w:tcMar>
          </w:tcPr>
          <w:p>
            <w:pPr>
              <w:spacing w:after="0"/>
            </w:pPr>
            <w:r>
              <w:rPr>
                <w:color w:val="334155"/>
                <w:sz w:val="17"/>
              </w:rPr>
              <w:t>Apply object-position: top center; replace with authentic dental clinician photography in scrubs without stethoscopes.</w:t>
            </w:r>
          </w:p>
        </w:tc>
      </w:tr>
      <w:tr>
        <w:tc>
          <w:tcPr>
            <w:tcW w:type="dxa" w:w="1296"/>
            <w:shd w:fill="F1F5F9"/>
            <w:tcMar>
              <w:top w:w="60" w:type="dxa"/>
              <w:bottom w:w="60" w:type="dxa"/>
              <w:left w:w="80" w:type="dxa"/>
              <w:right w:w="80" w:type="dxa"/>
            </w:tcMar>
          </w:tcPr>
          <w:p>
            <w:pPr>
              <w:spacing w:after="0"/>
            </w:pPr>
            <w:r>
              <w:rPr>
                <w:b/>
                <w:color w:val="0A1A24"/>
                <w:sz w:val="17"/>
              </w:rPr>
              <w:t>ISSUE-03</w:t>
            </w:r>
          </w:p>
        </w:tc>
        <w:tc>
          <w:tcPr>
            <w:tcW w:type="dxa" w:w="2016"/>
            <w:shd w:fill="F1F5F9"/>
            <w:tcMar>
              <w:top w:w="60" w:type="dxa"/>
              <w:bottom w:w="60" w:type="dxa"/>
              <w:left w:w="80" w:type="dxa"/>
              <w:right w:w="80" w:type="dxa"/>
            </w:tcMar>
          </w:tcPr>
          <w:p>
            <w:pPr>
              <w:spacing w:after="0"/>
            </w:pPr>
            <w:r>
              <w:rPr>
                <w:b/>
                <w:color w:val="334155"/>
                <w:sz w:val="17"/>
              </w:rPr>
              <w:t>Brand Identity &amp; Copy</w:t>
            </w:r>
          </w:p>
        </w:tc>
        <w:tc>
          <w:tcPr>
            <w:tcW w:type="dxa" w:w="3168"/>
            <w:shd w:fill="F1F5F9"/>
            <w:tcMar>
              <w:top w:w="60" w:type="dxa"/>
              <w:bottom w:w="60" w:type="dxa"/>
              <w:left w:w="80" w:type="dxa"/>
              <w:right w:w="80" w:type="dxa"/>
            </w:tcMar>
          </w:tcPr>
          <w:p>
            <w:pPr>
              <w:spacing w:after="0"/>
            </w:pPr>
            <w:r>
              <w:rPr>
                <w:color w:val="334155"/>
                <w:sz w:val="17"/>
              </w:rPr>
              <w:t>Three conflicting brand names: Dentia (Header), Lumina Dental Studio (About copy), Bright Smiles Dental (Doctor coat embroidery).</w:t>
            </w:r>
          </w:p>
        </w:tc>
        <w:tc>
          <w:tcPr>
            <w:tcW w:type="dxa" w:w="720"/>
            <w:shd w:fill="F1F5F9"/>
            <w:tcMar>
              <w:top w:w="60" w:type="dxa"/>
              <w:bottom w:w="60" w:type="dxa"/>
              <w:left w:w="80" w:type="dxa"/>
              <w:right w:w="80" w:type="dxa"/>
            </w:tcMar>
          </w:tcPr>
          <w:p>
            <w:pPr>
              <w:spacing w:after="0"/>
            </w:pPr>
            <w:r>
              <w:rPr>
                <w:b/>
                <w:color w:val="DC2626"/>
                <w:sz w:val="17"/>
              </w:rPr>
              <w:t>P0</w:t>
            </w:r>
          </w:p>
        </w:tc>
        <w:tc>
          <w:tcPr>
            <w:tcW w:type="dxa" w:w="2880"/>
            <w:shd w:fill="F1F5F9"/>
            <w:tcMar>
              <w:top w:w="60" w:type="dxa"/>
              <w:bottom w:w="60" w:type="dxa"/>
              <w:left w:w="80" w:type="dxa"/>
              <w:right w:w="80" w:type="dxa"/>
            </w:tcMar>
          </w:tcPr>
          <w:p>
            <w:pPr>
              <w:spacing w:after="0"/>
            </w:pPr>
            <w:r>
              <w:rPr>
                <w:color w:val="334155"/>
                <w:sz w:val="17"/>
              </w:rPr>
              <w:t>Standardize every instance of clinic name to 'Dentia' across copy, badges, and imagery.</w:t>
            </w:r>
          </w:p>
        </w:tc>
      </w:tr>
      <w:tr>
        <w:tc>
          <w:tcPr>
            <w:tcW w:type="dxa" w:w="1296"/>
            <w:shd w:fill="FFFFFF"/>
            <w:tcMar>
              <w:top w:w="60" w:type="dxa"/>
              <w:bottom w:w="60" w:type="dxa"/>
              <w:left w:w="80" w:type="dxa"/>
              <w:right w:w="80" w:type="dxa"/>
            </w:tcMar>
          </w:tcPr>
          <w:p>
            <w:pPr>
              <w:spacing w:after="0"/>
            </w:pPr>
            <w:r>
              <w:rPr>
                <w:b/>
                <w:color w:val="0A1A24"/>
                <w:sz w:val="17"/>
              </w:rPr>
              <w:t>ISSUE-04</w:t>
            </w:r>
          </w:p>
        </w:tc>
        <w:tc>
          <w:tcPr>
            <w:tcW w:type="dxa" w:w="2016"/>
            <w:shd w:fill="FFFFFF"/>
            <w:tcMar>
              <w:top w:w="60" w:type="dxa"/>
              <w:bottom w:w="60" w:type="dxa"/>
              <w:left w:w="80" w:type="dxa"/>
              <w:right w:w="80" w:type="dxa"/>
            </w:tcMar>
          </w:tcPr>
          <w:p>
            <w:pPr>
              <w:spacing w:after="0"/>
            </w:pPr>
            <w:r>
              <w:rPr>
                <w:b/>
                <w:color w:val="334155"/>
                <w:sz w:val="17"/>
              </w:rPr>
              <w:t>Header Navigation</w:t>
            </w:r>
          </w:p>
        </w:tc>
        <w:tc>
          <w:tcPr>
            <w:tcW w:type="dxa" w:w="3168"/>
            <w:shd w:fill="FFFFFF"/>
            <w:tcMar>
              <w:top w:w="60" w:type="dxa"/>
              <w:bottom w:w="60" w:type="dxa"/>
              <w:left w:w="80" w:type="dxa"/>
              <w:right w:w="80" w:type="dxa"/>
            </w:tcMar>
          </w:tcPr>
          <w:p>
            <w:pPr>
              <w:spacing w:after="0"/>
            </w:pPr>
            <w:r>
              <w:rPr>
                <w:color w:val="334155"/>
                <w:sz w:val="17"/>
              </w:rPr>
              <w:t>Center nav contains 3 unlabelled icon glyphs (Home, Stethoscope, Info). Top-right button is 'Clinician Login'.</w:t>
            </w:r>
          </w:p>
        </w:tc>
        <w:tc>
          <w:tcPr>
            <w:tcW w:type="dxa" w:w="720"/>
            <w:shd w:fill="FFFFFF"/>
            <w:tcMar>
              <w:top w:w="60" w:type="dxa"/>
              <w:bottom w:w="60" w:type="dxa"/>
              <w:left w:w="80" w:type="dxa"/>
              <w:right w:w="80" w:type="dxa"/>
            </w:tcMar>
          </w:tcPr>
          <w:p>
            <w:pPr>
              <w:spacing w:after="0"/>
            </w:pPr>
            <w:r>
              <w:rPr>
                <w:b/>
                <w:color w:val="D97706"/>
                <w:sz w:val="17"/>
              </w:rPr>
              <w:t>P1</w:t>
            </w:r>
          </w:p>
        </w:tc>
        <w:tc>
          <w:tcPr>
            <w:tcW w:type="dxa" w:w="2880"/>
            <w:shd w:fill="FFFFFF"/>
            <w:tcMar>
              <w:top w:w="60" w:type="dxa"/>
              <w:bottom w:w="60" w:type="dxa"/>
              <w:left w:w="80" w:type="dxa"/>
              <w:right w:w="80" w:type="dxa"/>
            </w:tcMar>
          </w:tcPr>
          <w:p>
            <w:pPr>
              <w:spacing w:after="0"/>
            </w:pPr>
            <w:r>
              <w:rPr>
                <w:color w:val="334155"/>
                <w:sz w:val="17"/>
              </w:rPr>
              <w:t>Replace icons with text links (Home, Treatments, Our Doctors, About Us, Reviews). Swap top-right button to 'Book Appointment'.</w:t>
            </w:r>
          </w:p>
        </w:tc>
      </w:tr>
      <w:tr>
        <w:tc>
          <w:tcPr>
            <w:tcW w:type="dxa" w:w="1296"/>
            <w:shd w:fill="F1F5F9"/>
            <w:tcMar>
              <w:top w:w="60" w:type="dxa"/>
              <w:bottom w:w="60" w:type="dxa"/>
              <w:left w:w="80" w:type="dxa"/>
              <w:right w:w="80" w:type="dxa"/>
            </w:tcMar>
          </w:tcPr>
          <w:p>
            <w:pPr>
              <w:spacing w:after="0"/>
            </w:pPr>
            <w:r>
              <w:rPr>
                <w:b/>
                <w:color w:val="0A1A24"/>
                <w:sz w:val="17"/>
              </w:rPr>
              <w:t>ISSUE-05</w:t>
            </w:r>
          </w:p>
        </w:tc>
        <w:tc>
          <w:tcPr>
            <w:tcW w:type="dxa" w:w="2016"/>
            <w:shd w:fill="F1F5F9"/>
            <w:tcMar>
              <w:top w:w="60" w:type="dxa"/>
              <w:bottom w:w="60" w:type="dxa"/>
              <w:left w:w="80" w:type="dxa"/>
              <w:right w:w="80" w:type="dxa"/>
            </w:tcMar>
          </w:tcPr>
          <w:p>
            <w:pPr>
              <w:spacing w:after="0"/>
            </w:pPr>
            <w:r>
              <w:rPr>
                <w:b/>
                <w:color w:val="334155"/>
                <w:sz w:val="17"/>
              </w:rPr>
              <w:t>Hero CTAs &amp; Audience</w:t>
            </w:r>
          </w:p>
        </w:tc>
        <w:tc>
          <w:tcPr>
            <w:tcW w:type="dxa" w:w="3168"/>
            <w:shd w:fill="F1F5F9"/>
            <w:tcMar>
              <w:top w:w="60" w:type="dxa"/>
              <w:bottom w:w="60" w:type="dxa"/>
              <w:left w:w="80" w:type="dxa"/>
              <w:right w:w="80" w:type="dxa"/>
            </w:tcMar>
          </w:tcPr>
          <w:p>
            <w:pPr>
              <w:spacing w:after="0"/>
            </w:pPr>
            <w:r>
              <w:rPr>
                <w:color w:val="334155"/>
                <w:sz w:val="17"/>
              </w:rPr>
              <w:t>Hero displays 'Clinic Dashboard' competing with 'Book Appointment'. Feature block promotes Hindi/Urdu clinical charting dictation.</w:t>
            </w:r>
          </w:p>
        </w:tc>
        <w:tc>
          <w:tcPr>
            <w:tcW w:type="dxa" w:w="720"/>
            <w:shd w:fill="F1F5F9"/>
            <w:tcMar>
              <w:top w:w="60" w:type="dxa"/>
              <w:bottom w:w="60" w:type="dxa"/>
              <w:left w:w="80" w:type="dxa"/>
              <w:right w:w="80" w:type="dxa"/>
            </w:tcMar>
          </w:tcPr>
          <w:p>
            <w:pPr>
              <w:spacing w:after="0"/>
            </w:pPr>
            <w:r>
              <w:rPr>
                <w:b/>
                <w:color w:val="D97706"/>
                <w:sz w:val="17"/>
              </w:rPr>
              <w:t>P1</w:t>
            </w:r>
          </w:p>
        </w:tc>
        <w:tc>
          <w:tcPr>
            <w:tcW w:type="dxa" w:w="2880"/>
            <w:shd w:fill="F1F5F9"/>
            <w:tcMar>
              <w:top w:w="60" w:type="dxa"/>
              <w:bottom w:w="60" w:type="dxa"/>
              <w:left w:w="80" w:type="dxa"/>
              <w:right w:w="80" w:type="dxa"/>
            </w:tcMar>
          </w:tcPr>
          <w:p>
            <w:pPr>
              <w:spacing w:after="0"/>
            </w:pPr>
            <w:r>
              <w:rPr>
                <w:color w:val="334155"/>
                <w:sz w:val="17"/>
              </w:rPr>
              <w:t>Change hero secondary CTA to 'View Treatments &amp; Pricing'. Move clinician AI charting to dedicated Doctor Portal page.</w:t>
            </w:r>
          </w:p>
        </w:tc>
      </w:tr>
      <w:tr>
        <w:tc>
          <w:tcPr>
            <w:tcW w:type="dxa" w:w="1296"/>
            <w:shd w:fill="FFFFFF"/>
            <w:tcMar>
              <w:top w:w="60" w:type="dxa"/>
              <w:bottom w:w="60" w:type="dxa"/>
              <w:left w:w="80" w:type="dxa"/>
              <w:right w:w="80" w:type="dxa"/>
            </w:tcMar>
          </w:tcPr>
          <w:p>
            <w:pPr>
              <w:spacing w:after="0"/>
            </w:pPr>
            <w:r>
              <w:rPr>
                <w:b/>
                <w:color w:val="0A1A24"/>
                <w:sz w:val="17"/>
              </w:rPr>
              <w:t>ISSUE-06</w:t>
            </w:r>
          </w:p>
        </w:tc>
        <w:tc>
          <w:tcPr>
            <w:tcW w:type="dxa" w:w="2016"/>
            <w:shd w:fill="FFFFFF"/>
            <w:tcMar>
              <w:top w:w="60" w:type="dxa"/>
              <w:bottom w:w="60" w:type="dxa"/>
              <w:left w:w="80" w:type="dxa"/>
              <w:right w:w="80" w:type="dxa"/>
            </w:tcMar>
          </w:tcPr>
          <w:p>
            <w:pPr>
              <w:spacing w:after="0"/>
            </w:pPr>
            <w:r>
              <w:rPr>
                <w:b/>
                <w:color w:val="334155"/>
                <w:sz w:val="17"/>
              </w:rPr>
              <w:t>Typography Contrast</w:t>
            </w:r>
          </w:p>
        </w:tc>
        <w:tc>
          <w:tcPr>
            <w:tcW w:type="dxa" w:w="3168"/>
            <w:shd w:fill="FFFFFF"/>
            <w:tcMar>
              <w:top w:w="60" w:type="dxa"/>
              <w:bottom w:w="60" w:type="dxa"/>
              <w:left w:w="80" w:type="dxa"/>
              <w:right w:w="80" w:type="dxa"/>
            </w:tcMar>
          </w:tcPr>
          <w:p>
            <w:pPr>
              <w:spacing w:after="0"/>
            </w:pPr>
            <w:r>
              <w:rPr>
                <w:color w:val="334155"/>
                <w:sz w:val="17"/>
              </w:rPr>
              <w:t>Body paragraphs use #9ca3af (Gray 400), creating 2.8:1 contrast against white, failing WCAG AA (4.5:1).</w:t>
            </w:r>
          </w:p>
        </w:tc>
        <w:tc>
          <w:tcPr>
            <w:tcW w:type="dxa" w:w="720"/>
            <w:shd w:fill="FFFFFF"/>
            <w:tcMar>
              <w:top w:w="60" w:type="dxa"/>
              <w:bottom w:w="60" w:type="dxa"/>
              <w:left w:w="80" w:type="dxa"/>
              <w:right w:w="80" w:type="dxa"/>
            </w:tcMar>
          </w:tcPr>
          <w:p>
            <w:pPr>
              <w:spacing w:after="0"/>
            </w:pPr>
            <w:r>
              <w:rPr>
                <w:b/>
                <w:color w:val="D97706"/>
                <w:sz w:val="17"/>
              </w:rPr>
              <w:t>P1</w:t>
            </w:r>
          </w:p>
        </w:tc>
        <w:tc>
          <w:tcPr>
            <w:tcW w:type="dxa" w:w="2880"/>
            <w:shd w:fill="FFFFFF"/>
            <w:tcMar>
              <w:top w:w="60" w:type="dxa"/>
              <w:bottom w:w="60" w:type="dxa"/>
              <w:left w:w="80" w:type="dxa"/>
              <w:right w:w="80" w:type="dxa"/>
            </w:tcMar>
          </w:tcPr>
          <w:p>
            <w:pPr>
              <w:spacing w:after="0"/>
            </w:pPr>
            <w:r>
              <w:rPr>
                <w:color w:val="334155"/>
                <w:sz w:val="17"/>
              </w:rPr>
              <w:t>Set all body copy to #334155 (Slate 700) and supporting subtext to #475569 (Slate 600).</w:t>
            </w:r>
          </w:p>
        </w:tc>
      </w:tr>
      <w:tr>
        <w:tc>
          <w:tcPr>
            <w:tcW w:type="dxa" w:w="1296"/>
            <w:shd w:fill="F1F5F9"/>
            <w:tcMar>
              <w:top w:w="60" w:type="dxa"/>
              <w:bottom w:w="60" w:type="dxa"/>
              <w:left w:w="80" w:type="dxa"/>
              <w:right w:w="80" w:type="dxa"/>
            </w:tcMar>
          </w:tcPr>
          <w:p>
            <w:pPr>
              <w:spacing w:after="0"/>
            </w:pPr>
            <w:r>
              <w:rPr>
                <w:b/>
                <w:color w:val="0A1A24"/>
                <w:sz w:val="17"/>
              </w:rPr>
              <w:t>ISSUE-07</w:t>
            </w:r>
          </w:p>
        </w:tc>
        <w:tc>
          <w:tcPr>
            <w:tcW w:type="dxa" w:w="2016"/>
            <w:shd w:fill="F1F5F9"/>
            <w:tcMar>
              <w:top w:w="60" w:type="dxa"/>
              <w:bottom w:w="60" w:type="dxa"/>
              <w:left w:w="80" w:type="dxa"/>
              <w:right w:w="80" w:type="dxa"/>
            </w:tcMar>
          </w:tcPr>
          <w:p>
            <w:pPr>
              <w:spacing w:after="0"/>
            </w:pPr>
            <w:r>
              <w:rPr>
                <w:b/>
                <w:color w:val="334155"/>
                <w:sz w:val="17"/>
              </w:rPr>
              <w:t>Contact Strip</w:t>
            </w:r>
          </w:p>
        </w:tc>
        <w:tc>
          <w:tcPr>
            <w:tcW w:type="dxa" w:w="3168"/>
            <w:shd w:fill="F1F5F9"/>
            <w:tcMar>
              <w:top w:w="60" w:type="dxa"/>
              <w:bottom w:w="60" w:type="dxa"/>
              <w:left w:w="80" w:type="dxa"/>
              <w:right w:w="80" w:type="dxa"/>
            </w:tcMar>
          </w:tcPr>
          <w:p>
            <w:pPr>
              <w:spacing w:after="0"/>
            </w:pPr>
            <w:r>
              <w:rPr>
                <w:color w:val="334155"/>
                <w:sz w:val="17"/>
              </w:rPr>
              <w:t>Huge pitch-black #0A1A24 bar breaks visual flow and repeats phone/hours/email for the third time.</w:t>
            </w:r>
          </w:p>
        </w:tc>
        <w:tc>
          <w:tcPr>
            <w:tcW w:type="dxa" w:w="720"/>
            <w:shd w:fill="F1F5F9"/>
            <w:tcMar>
              <w:top w:w="60" w:type="dxa"/>
              <w:bottom w:w="60" w:type="dxa"/>
              <w:left w:w="80" w:type="dxa"/>
              <w:right w:w="80" w:type="dxa"/>
            </w:tcMar>
          </w:tcPr>
          <w:p>
            <w:pPr>
              <w:spacing w:after="0"/>
            </w:pPr>
            <w:r>
              <w:rPr>
                <w:b/>
                <w:color w:val="0284C7"/>
                <w:sz w:val="17"/>
              </w:rPr>
              <w:t>P2</w:t>
            </w:r>
          </w:p>
        </w:tc>
        <w:tc>
          <w:tcPr>
            <w:tcW w:type="dxa" w:w="2880"/>
            <w:shd w:fill="F1F5F9"/>
            <w:tcMar>
              <w:top w:w="60" w:type="dxa"/>
              <w:bottom w:w="60" w:type="dxa"/>
              <w:left w:w="80" w:type="dxa"/>
              <w:right w:w="80" w:type="dxa"/>
            </w:tcMar>
          </w:tcPr>
          <w:p>
            <w:pPr>
              <w:spacing w:after="0"/>
            </w:pPr>
            <w:r>
              <w:rPr>
                <w:color w:val="334155"/>
                <w:sz w:val="17"/>
              </w:rPr>
              <w:t>Convert to elegant light-surface floating card featuring real clinic value props (Insurance accepted, Same-day emergency slots).</w:t>
            </w:r>
          </w:p>
        </w:tc>
      </w:tr>
      <w:tr>
        <w:tc>
          <w:tcPr>
            <w:tcW w:type="dxa" w:w="1296"/>
            <w:shd w:fill="FFFFFF"/>
            <w:tcMar>
              <w:top w:w="60" w:type="dxa"/>
              <w:bottom w:w="60" w:type="dxa"/>
              <w:left w:w="80" w:type="dxa"/>
              <w:right w:w="80" w:type="dxa"/>
            </w:tcMar>
          </w:tcPr>
          <w:p>
            <w:pPr>
              <w:spacing w:after="0"/>
            </w:pPr>
            <w:r>
              <w:rPr>
                <w:b/>
                <w:color w:val="0A1A24"/>
                <w:sz w:val="17"/>
              </w:rPr>
              <w:t>ISSUE-08</w:t>
            </w:r>
          </w:p>
        </w:tc>
        <w:tc>
          <w:tcPr>
            <w:tcW w:type="dxa" w:w="2016"/>
            <w:shd w:fill="FFFFFF"/>
            <w:tcMar>
              <w:top w:w="60" w:type="dxa"/>
              <w:bottom w:w="60" w:type="dxa"/>
              <w:left w:w="80" w:type="dxa"/>
              <w:right w:w="80" w:type="dxa"/>
            </w:tcMar>
          </w:tcPr>
          <w:p>
            <w:pPr>
              <w:spacing w:after="0"/>
            </w:pPr>
            <w:r>
              <w:rPr>
                <w:b/>
                <w:color w:val="334155"/>
                <w:sz w:val="17"/>
              </w:rPr>
              <w:t>Page Flow / Pre-Footer</w:t>
            </w:r>
          </w:p>
        </w:tc>
        <w:tc>
          <w:tcPr>
            <w:tcW w:type="dxa" w:w="3168"/>
            <w:shd w:fill="FFFFFF"/>
            <w:tcMar>
              <w:top w:w="60" w:type="dxa"/>
              <w:bottom w:w="60" w:type="dxa"/>
              <w:left w:w="80" w:type="dxa"/>
              <w:right w:w="80" w:type="dxa"/>
            </w:tcMar>
          </w:tcPr>
          <w:p>
            <w:pPr>
              <w:spacing w:after="0"/>
            </w:pPr>
            <w:r>
              <w:rPr>
                <w:color w:val="334155"/>
                <w:sz w:val="17"/>
              </w:rPr>
              <w:t>Page terminates abruptly into dark footer after FAQ/Testimonials with no final booking call to action.</w:t>
            </w:r>
          </w:p>
        </w:tc>
        <w:tc>
          <w:tcPr>
            <w:tcW w:type="dxa" w:w="720"/>
            <w:shd w:fill="FFFFFF"/>
            <w:tcMar>
              <w:top w:w="60" w:type="dxa"/>
              <w:bottom w:w="60" w:type="dxa"/>
              <w:left w:w="80" w:type="dxa"/>
              <w:right w:w="80" w:type="dxa"/>
            </w:tcMar>
          </w:tcPr>
          <w:p>
            <w:pPr>
              <w:spacing w:after="0"/>
            </w:pPr>
            <w:r>
              <w:rPr>
                <w:b/>
                <w:color w:val="0284C7"/>
                <w:sz w:val="17"/>
              </w:rPr>
              <w:t>P2</w:t>
            </w:r>
          </w:p>
        </w:tc>
        <w:tc>
          <w:tcPr>
            <w:tcW w:type="dxa" w:w="2880"/>
            <w:shd w:fill="FFFFFF"/>
            <w:tcMar>
              <w:top w:w="60" w:type="dxa"/>
              <w:bottom w:w="60" w:type="dxa"/>
              <w:left w:w="80" w:type="dxa"/>
              <w:right w:w="80" w:type="dxa"/>
            </w:tcMar>
          </w:tcPr>
          <w:p>
            <w:pPr>
              <w:spacing w:after="0"/>
            </w:pPr>
            <w:r>
              <w:rPr>
                <w:color w:val="334155"/>
                <w:sz w:val="17"/>
              </w:rPr>
              <w:t>Insert full-width high-conversion Pre-Footer Booking Banner with headline, phone, and 60-second booking button.</w:t>
            </w:r>
          </w:p>
        </w:tc>
      </w:tr>
      <w:tr>
        <w:tc>
          <w:tcPr>
            <w:tcW w:type="dxa" w:w="1296"/>
            <w:shd w:fill="F1F5F9"/>
            <w:tcMar>
              <w:top w:w="60" w:type="dxa"/>
              <w:bottom w:w="60" w:type="dxa"/>
              <w:left w:w="80" w:type="dxa"/>
              <w:right w:w="80" w:type="dxa"/>
            </w:tcMar>
          </w:tcPr>
          <w:p>
            <w:pPr>
              <w:spacing w:after="0"/>
            </w:pPr>
            <w:r>
              <w:rPr>
                <w:b/>
                <w:color w:val="0A1A24"/>
                <w:sz w:val="17"/>
              </w:rPr>
              <w:t>ISSUE-09</w:t>
            </w:r>
          </w:p>
        </w:tc>
        <w:tc>
          <w:tcPr>
            <w:tcW w:type="dxa" w:w="2016"/>
            <w:shd w:fill="F1F5F9"/>
            <w:tcMar>
              <w:top w:w="60" w:type="dxa"/>
              <w:bottom w:w="60" w:type="dxa"/>
              <w:left w:w="80" w:type="dxa"/>
              <w:right w:w="80" w:type="dxa"/>
            </w:tcMar>
          </w:tcPr>
          <w:p>
            <w:pPr>
              <w:spacing w:after="0"/>
            </w:pPr>
            <w:r>
              <w:rPr>
                <w:b/>
                <w:color w:val="334155"/>
                <w:sz w:val="17"/>
              </w:rPr>
              <w:t>About Headline Grammar</w:t>
            </w:r>
          </w:p>
        </w:tc>
        <w:tc>
          <w:tcPr>
            <w:tcW w:type="dxa" w:w="3168"/>
            <w:shd w:fill="F1F5F9"/>
            <w:tcMar>
              <w:top w:w="60" w:type="dxa"/>
              <w:bottom w:w="60" w:type="dxa"/>
              <w:left w:w="80" w:type="dxa"/>
              <w:right w:w="80" w:type="dxa"/>
            </w:tcMar>
          </w:tcPr>
          <w:p>
            <w:pPr>
              <w:spacing w:after="0"/>
            </w:pPr>
            <w:r>
              <w:rPr>
                <w:color w:val="334155"/>
                <w:sz w:val="17"/>
              </w:rPr>
              <w:t>Headline reads: 'Professionals and Personalized Dental Excellence' (incorrect plural noun).</w:t>
            </w:r>
          </w:p>
        </w:tc>
        <w:tc>
          <w:tcPr>
            <w:tcW w:type="dxa" w:w="720"/>
            <w:shd w:fill="F1F5F9"/>
            <w:tcMar>
              <w:top w:w="60" w:type="dxa"/>
              <w:bottom w:w="60" w:type="dxa"/>
              <w:left w:w="80" w:type="dxa"/>
              <w:right w:w="80" w:type="dxa"/>
            </w:tcMar>
          </w:tcPr>
          <w:p>
            <w:pPr>
              <w:spacing w:after="0"/>
            </w:pPr>
            <w:r>
              <w:rPr>
                <w:b/>
                <w:color w:val="0284C7"/>
                <w:sz w:val="17"/>
              </w:rPr>
              <w:t>P2</w:t>
            </w:r>
          </w:p>
        </w:tc>
        <w:tc>
          <w:tcPr>
            <w:tcW w:type="dxa" w:w="2880"/>
            <w:shd w:fill="F1F5F9"/>
            <w:tcMar>
              <w:top w:w="60" w:type="dxa"/>
              <w:bottom w:w="60" w:type="dxa"/>
              <w:left w:w="80" w:type="dxa"/>
              <w:right w:w="80" w:type="dxa"/>
            </w:tcMar>
          </w:tcPr>
          <w:p>
            <w:pPr>
              <w:spacing w:after="0"/>
            </w:pPr>
            <w:r>
              <w:rPr>
                <w:color w:val="334155"/>
                <w:sz w:val="17"/>
              </w:rPr>
              <w:t>Correct to: 'Professional and Personalized Dental Excellence'.</w:t>
            </w:r>
          </w:p>
        </w:tc>
      </w:tr>
      <w:tr>
        <w:tc>
          <w:tcPr>
            <w:tcW w:type="dxa" w:w="1296"/>
            <w:shd w:fill="FFFFFF"/>
            <w:tcMar>
              <w:top w:w="60" w:type="dxa"/>
              <w:bottom w:w="60" w:type="dxa"/>
              <w:left w:w="80" w:type="dxa"/>
              <w:right w:w="80" w:type="dxa"/>
            </w:tcMar>
          </w:tcPr>
          <w:p>
            <w:pPr>
              <w:spacing w:after="0"/>
            </w:pPr>
            <w:r>
              <w:rPr>
                <w:b/>
                <w:color w:val="0A1A24"/>
                <w:sz w:val="17"/>
              </w:rPr>
              <w:t>ISSUE-10</w:t>
            </w:r>
          </w:p>
        </w:tc>
        <w:tc>
          <w:tcPr>
            <w:tcW w:type="dxa" w:w="2016"/>
            <w:shd w:fill="FFFFFF"/>
            <w:tcMar>
              <w:top w:w="60" w:type="dxa"/>
              <w:bottom w:w="60" w:type="dxa"/>
              <w:left w:w="80" w:type="dxa"/>
              <w:right w:w="80" w:type="dxa"/>
            </w:tcMar>
          </w:tcPr>
          <w:p>
            <w:pPr>
              <w:spacing w:after="0"/>
            </w:pPr>
            <w:r>
              <w:rPr>
                <w:b/>
                <w:color w:val="334155"/>
                <w:sz w:val="17"/>
              </w:rPr>
              <w:t>Footer Layout &amp; Density</w:t>
            </w:r>
          </w:p>
        </w:tc>
        <w:tc>
          <w:tcPr>
            <w:tcW w:type="dxa" w:w="3168"/>
            <w:shd w:fill="FFFFFF"/>
            <w:tcMar>
              <w:top w:w="60" w:type="dxa"/>
              <w:bottom w:w="60" w:type="dxa"/>
              <w:left w:w="80" w:type="dxa"/>
              <w:right w:w="80" w:type="dxa"/>
            </w:tcMar>
          </w:tcPr>
          <w:p>
            <w:pPr>
              <w:spacing w:after="0"/>
            </w:pPr>
            <w:r>
              <w:rPr>
                <w:color w:val="334155"/>
                <w:sz w:val="17"/>
              </w:rPr>
              <w:t>3 sparse columns spread across 1800px max-width, leaving huge black empty spaces.</w:t>
            </w:r>
          </w:p>
        </w:tc>
        <w:tc>
          <w:tcPr>
            <w:tcW w:type="dxa" w:w="720"/>
            <w:shd w:fill="FFFFFF"/>
            <w:tcMar>
              <w:top w:w="60" w:type="dxa"/>
              <w:bottom w:w="60" w:type="dxa"/>
              <w:left w:w="80" w:type="dxa"/>
              <w:right w:w="80" w:type="dxa"/>
            </w:tcMar>
          </w:tcPr>
          <w:p>
            <w:pPr>
              <w:spacing w:after="0"/>
            </w:pPr>
            <w:r>
              <w:rPr>
                <w:b/>
                <w:color w:val="0284C7"/>
                <w:sz w:val="17"/>
              </w:rPr>
              <w:t>P3</w:t>
            </w:r>
          </w:p>
        </w:tc>
        <w:tc>
          <w:tcPr>
            <w:tcW w:type="dxa" w:w="2880"/>
            <w:shd w:fill="FFFFFF"/>
            <w:tcMar>
              <w:top w:w="60" w:type="dxa"/>
              <w:bottom w:w="60" w:type="dxa"/>
              <w:left w:w="80" w:type="dxa"/>
              <w:right w:w="80" w:type="dxa"/>
            </w:tcMar>
          </w:tcPr>
          <w:p>
            <w:pPr>
              <w:spacing w:after="0"/>
            </w:pPr>
            <w:r>
              <w:rPr>
                <w:color w:val="334155"/>
                <w:sz w:val="17"/>
              </w:rPr>
              <w:t>Expand to 4 structured columns: Brand &amp; Accreditations, Dental Specialties, Patient Info, Physical Address &amp; Map Link.</w:t>
            </w:r>
          </w:p>
        </w:tc>
      </w:tr>
    </w:tbl>
    <w:p>
      <w:pPr>
        <w:keepNext/>
        <w:spacing w:before="280" w:after="120"/>
      </w:pPr>
      <w:r>
        <w:rPr>
          <w:rFonts w:ascii="Calibri" w:hAnsi="Calibri"/>
          <w:b/>
          <w:color w:val="0A1A24"/>
          <w:sz w:val="36"/>
        </w:rPr>
        <w:t>4. Visual Screenshot Evidence &amp; Verified Production Resolution</w:t>
      </w:r>
    </w:p>
    <w:p>
      <w:pPr>
        <w:keepNext/>
        <w:spacing w:before="280" w:after="120"/>
      </w:pPr>
      <w:r>
        <w:rPr>
          <w:rFonts w:ascii="Calibri" w:hAnsi="Calibri"/>
          <w:b/>
          <w:color w:val="0284C7"/>
          <w:sz w:val="28"/>
        </w:rPr>
        <w:t>Figure 1: Verified Top Fold — Labelled Text Nav &amp; Primary Book Appointment CTA</w:t>
      </w:r>
    </w:p>
    <w:p>
      <w:pPr>
        <w:spacing w:before="0" w:after="80" w:line="276" w:lineRule="auto"/>
      </w:pPr>
      <w:r>
        <w:rPr>
          <w:rFonts w:ascii="Calibri" w:hAnsi="Calibri"/>
          <w:b/>
          <w:color w:val="0A1A24"/>
          <w:sz w:val="21"/>
        </w:rPr>
        <w:t xml:space="preserve">Resolution Analysis: </w:t>
      </w:r>
      <w:r>
        <w:rPr>
          <w:rFonts w:ascii="Calibri" w:hAnsi="Calibri"/>
          <w:i w:val="0"/>
          <w:color w:val="334155"/>
          <w:sz w:val="21"/>
        </w:rPr>
        <w:t>Exhibits verified desktop navigation with explicit text links (Home, Treatments, About Us, Our Doctors, Reviews), Clinician Portal link in top bar, and primary Book Appointment CTA.</w:t>
      </w:r>
    </w:p>
    <w:p>
      <w:pPr>
        <w:spacing w:before="80" w:after="240"/>
        <w:jc w:val="center"/>
      </w:pPr>
    </w:p>
    <w:p>
      <w:r>
        <w:drawing>
          <wp:inline xmlns:a="http://schemas.openxmlformats.org/drawingml/2006/main" xmlns:pic="http://schemas.openxmlformats.org/drawingml/2006/picture">
            <wp:extent cx="5669280" cy="2868900"/>
            <wp:docPr id="1" name="Picture 1"/>
            <wp:cNvGraphicFramePr>
              <a:graphicFrameLocks noChangeAspect="1"/>
            </wp:cNvGraphicFramePr>
            <a:graphic>
              <a:graphicData uri="http://schemas.openxmlformats.org/drawingml/2006/picture">
                <pic:pic>
                  <pic:nvPicPr>
                    <pic:cNvPr id="0" name="top_fold_fixes_1788766367466.png"/>
                    <pic:cNvPicPr/>
                  </pic:nvPicPr>
                  <pic:blipFill>
                    <a:blip r:embed="rId9"/>
                    <a:stretch>
                      <a:fillRect/>
                    </a:stretch>
                  </pic:blipFill>
                  <pic:spPr>
                    <a:xfrm>
                      <a:off x="0" y="0"/>
                      <a:ext cx="5669280" cy="2868900"/>
                    </a:xfrm>
                    <a:prstGeom prst="rect"/>
                  </pic:spPr>
                </pic:pic>
              </a:graphicData>
            </a:graphic>
          </wp:inline>
        </w:drawing>
      </w:r>
    </w:p>
    <w:p>
      <w:pPr>
        <w:keepNext/>
        <w:spacing w:before="280" w:after="120"/>
      </w:pPr>
      <w:r>
        <w:rPr>
          <w:rFonts w:ascii="Calibri" w:hAnsi="Calibri"/>
          <w:b/>
          <w:color w:val="0284C7"/>
          <w:sz w:val="28"/>
        </w:rPr>
        <w:t>Figure 2: Verified Services Section — Eager Rendering &amp; Zero Whitespace Voids</w:t>
      </w:r>
    </w:p>
    <w:p>
      <w:pPr>
        <w:spacing w:before="0" w:after="80" w:line="276" w:lineRule="auto"/>
      </w:pPr>
      <w:r>
        <w:rPr>
          <w:rFonts w:ascii="Calibri" w:hAnsi="Calibri"/>
          <w:b/>
          <w:color w:val="0A1A24"/>
          <w:sz w:val="21"/>
        </w:rPr>
        <w:t xml:space="preserve">Resolution Analysis: </w:t>
      </w:r>
      <w:r>
        <w:rPr>
          <w:rFonts w:ascii="Calibri" w:hAnsi="Calibri"/>
          <w:i w:val="0"/>
          <w:color w:val="334155"/>
          <w:sz w:val="21"/>
        </w:rPr>
        <w:t>Exhibits eager rendering with zero ghost whitespace. All 4 specialty cards render with procedure tags and connected 'View All Services &amp; Pricing' button.</w:t>
      </w:r>
    </w:p>
    <w:p>
      <w:pPr>
        <w:spacing w:before="80" w:after="240"/>
        <w:jc w:val="center"/>
      </w:pPr>
    </w:p>
    <w:p>
      <w:r>
        <w:drawing>
          <wp:inline xmlns:a="http://schemas.openxmlformats.org/drawingml/2006/main" xmlns:pic="http://schemas.openxmlformats.org/drawingml/2006/picture">
            <wp:extent cx="5669280" cy="2868900"/>
            <wp:docPr id="2" name="Picture 2"/>
            <wp:cNvGraphicFramePr>
              <a:graphicFrameLocks noChangeAspect="1"/>
            </wp:cNvGraphicFramePr>
            <a:graphic>
              <a:graphicData uri="http://schemas.openxmlformats.org/drawingml/2006/picture">
                <pic:pic>
                  <pic:nvPicPr>
                    <pic:cNvPr id="0" name="services_section_rendered_1788766473063.png"/>
                    <pic:cNvPicPr/>
                  </pic:nvPicPr>
                  <pic:blipFill>
                    <a:blip r:embed="rId10"/>
                    <a:stretch>
                      <a:fillRect/>
                    </a:stretch>
                  </pic:blipFill>
                  <pic:spPr>
                    <a:xfrm>
                      <a:off x="0" y="0"/>
                      <a:ext cx="5669280" cy="2868900"/>
                    </a:xfrm>
                    <a:prstGeom prst="rect"/>
                  </pic:spPr>
                </pic:pic>
              </a:graphicData>
            </a:graphic>
          </wp:inline>
        </w:drawing>
      </w:r>
    </w:p>
    <w:p>
      <w:pPr>
        <w:keepNext/>
        <w:spacing w:before="280" w:after="120"/>
      </w:pPr>
      <w:r>
        <w:rPr>
          <w:rFonts w:ascii="Calibri" w:hAnsi="Calibri"/>
          <w:b/>
          <w:color w:val="0284C7"/>
          <w:sz w:val="28"/>
        </w:rPr>
        <w:t>Figure 3: Verified Doctor Team Portraits — Perfect Top-Framing (No Cutoffs)</w:t>
      </w:r>
    </w:p>
    <w:p>
      <w:pPr>
        <w:spacing w:before="0" w:after="80" w:line="276" w:lineRule="auto"/>
      </w:pPr>
      <w:r>
        <w:rPr>
          <w:rFonts w:ascii="Calibri" w:hAnsi="Calibri"/>
          <w:b/>
          <w:color w:val="0A1A24"/>
          <w:sz w:val="21"/>
        </w:rPr>
        <w:t xml:space="preserve">Resolution Analysis: </w:t>
      </w:r>
      <w:r>
        <w:rPr>
          <w:rFonts w:ascii="Calibri" w:hAnsi="Calibri"/>
          <w:i w:val="0"/>
          <w:color w:val="334155"/>
          <w:sz w:val="21"/>
        </w:rPr>
        <w:t>Exhibits all 4 doctor team cards with object-position: top center styling applied. Foreheads and hair are fully preserved and framed cleanly.</w:t>
      </w:r>
    </w:p>
    <w:p>
      <w:pPr>
        <w:spacing w:before="80" w:after="240"/>
        <w:jc w:val="center"/>
      </w:pPr>
    </w:p>
    <w:p>
      <w:r>
        <w:drawing>
          <wp:inline xmlns:a="http://schemas.openxmlformats.org/drawingml/2006/main" xmlns:pic="http://schemas.openxmlformats.org/drawingml/2006/picture">
            <wp:extent cx="5669280" cy="2868900"/>
            <wp:docPr id="3" name="Picture 3"/>
            <wp:cNvGraphicFramePr>
              <a:graphicFrameLocks noChangeAspect="1"/>
            </wp:cNvGraphicFramePr>
            <a:graphic>
              <a:graphicData uri="http://schemas.openxmlformats.org/drawingml/2006/picture">
                <pic:pic>
                  <pic:nvPicPr>
                    <pic:cNvPr id="0" name="doctor_team_cards_view_1788766631487.png"/>
                    <pic:cNvPicPr/>
                  </pic:nvPicPr>
                  <pic:blipFill>
                    <a:blip r:embed="rId11"/>
                    <a:stretch>
                      <a:fillRect/>
                    </a:stretch>
                  </pic:blipFill>
                  <pic:spPr>
                    <a:xfrm>
                      <a:off x="0" y="0"/>
                      <a:ext cx="5669280" cy="2868900"/>
                    </a:xfrm>
                    <a:prstGeom prst="rect"/>
                  </pic:spPr>
                </pic:pic>
              </a:graphicData>
            </a:graphic>
          </wp:inline>
        </w:drawing>
      </w:r>
    </w:p>
    <w:p>
      <w:pPr>
        <w:keepNext/>
        <w:spacing w:before="280" w:after="120"/>
      </w:pPr>
      <w:r>
        <w:rPr>
          <w:rFonts w:ascii="Calibri" w:hAnsi="Calibri"/>
          <w:b/>
          <w:color w:val="0284C7"/>
          <w:sz w:val="28"/>
        </w:rPr>
        <w:t>Figure 4: Verified About Section &amp; High-Trust Clinical Promise Strip</w:t>
      </w:r>
    </w:p>
    <w:p>
      <w:pPr>
        <w:spacing w:before="0" w:after="80" w:line="276" w:lineRule="auto"/>
      </w:pPr>
      <w:r>
        <w:rPr>
          <w:rFonts w:ascii="Calibri" w:hAnsi="Calibri"/>
          <w:b/>
          <w:color w:val="0A1A24"/>
          <w:sz w:val="21"/>
        </w:rPr>
        <w:t xml:space="preserve">Resolution Analysis: </w:t>
      </w:r>
      <w:r>
        <w:rPr>
          <w:rFonts w:ascii="Calibri" w:hAnsi="Calibri"/>
          <w:i w:val="0"/>
          <w:color w:val="334155"/>
          <w:sz w:val="21"/>
        </w:rPr>
        <w:t>Exhibits unified 'Dentia' brand copy, corrected grammar in heading, WCAG AA compliant Slate 700 text, and the dark blue clinical promise banner.</w:t>
      </w:r>
    </w:p>
    <w:p>
      <w:pPr>
        <w:spacing w:before="80" w:after="240"/>
        <w:jc w:val="center"/>
      </w:pPr>
    </w:p>
    <w:p>
      <w:r>
        <w:drawing>
          <wp:inline xmlns:a="http://schemas.openxmlformats.org/drawingml/2006/main" xmlns:pic="http://schemas.openxmlformats.org/drawingml/2006/picture">
            <wp:extent cx="5669280" cy="2868900"/>
            <wp:docPr id="4" name="Picture 4"/>
            <wp:cNvGraphicFramePr>
              <a:graphicFrameLocks noChangeAspect="1"/>
            </wp:cNvGraphicFramePr>
            <a:graphic>
              <a:graphicData uri="http://schemas.openxmlformats.org/drawingml/2006/picture">
                <pic:pic>
                  <pic:nvPicPr>
                    <pic:cNvPr id="0" name="about_us_section_1788766391987.png"/>
                    <pic:cNvPicPr/>
                  </pic:nvPicPr>
                  <pic:blipFill>
                    <a:blip r:embed="rId12"/>
                    <a:stretch>
                      <a:fillRect/>
                    </a:stretch>
                  </pic:blipFill>
                  <pic:spPr>
                    <a:xfrm>
                      <a:off x="0" y="0"/>
                      <a:ext cx="5669280" cy="2868900"/>
                    </a:xfrm>
                    <a:prstGeom prst="rect"/>
                  </pic:spPr>
                </pic:pic>
              </a:graphicData>
            </a:graphic>
          </wp:inline>
        </w:drawing>
      </w:r>
    </w:p>
    <w:p>
      <w:pPr>
        <w:keepNext/>
        <w:spacing w:before="280" w:after="120"/>
      </w:pPr>
      <w:r>
        <w:rPr>
          <w:rFonts w:ascii="Calibri" w:hAnsi="Calibri"/>
          <w:b/>
          <w:color w:val="0284C7"/>
          <w:sz w:val="28"/>
        </w:rPr>
        <w:t>Figure 5: Verified Pre-Footer Booking Banner &amp; 4-Column Structured Footer</w:t>
      </w:r>
    </w:p>
    <w:p>
      <w:pPr>
        <w:spacing w:before="0" w:after="80" w:line="276" w:lineRule="auto"/>
      </w:pPr>
      <w:r>
        <w:rPr>
          <w:rFonts w:ascii="Calibri" w:hAnsi="Calibri"/>
          <w:b/>
          <w:color w:val="0A1A24"/>
          <w:sz w:val="21"/>
        </w:rPr>
        <w:t xml:space="preserve">Resolution Analysis: </w:t>
      </w:r>
      <w:r>
        <w:rPr>
          <w:rFonts w:ascii="Calibri" w:hAnsi="Calibri"/>
          <w:i w:val="0"/>
          <w:color w:val="334155"/>
          <w:sz w:val="21"/>
        </w:rPr>
        <w:t>Exhibits high-conversion Pre-Footer Booking Banner ('Ready for a Healthier, More Radiant Smile?') followed by the 4-column structured footer with address, hours, and ADA accreditation.</w:t>
      </w:r>
    </w:p>
    <w:p>
      <w:pPr>
        <w:spacing w:before="80" w:after="240"/>
        <w:jc w:val="center"/>
      </w:pPr>
    </w:p>
    <w:p>
      <w:r>
        <w:drawing>
          <wp:inline xmlns:a="http://schemas.openxmlformats.org/drawingml/2006/main" xmlns:pic="http://schemas.openxmlformats.org/drawingml/2006/picture">
            <wp:extent cx="5669280" cy="2868900"/>
            <wp:docPr id="5" name="Picture 5"/>
            <wp:cNvGraphicFramePr>
              <a:graphicFrameLocks noChangeAspect="1"/>
            </wp:cNvGraphicFramePr>
            <a:graphic>
              <a:graphicData uri="http://schemas.openxmlformats.org/drawingml/2006/picture">
                <pic:pic>
                  <pic:nvPicPr>
                    <pic:cNvPr id="0" name="footer_and_cta_banner_1788766789188.png"/>
                    <pic:cNvPicPr/>
                  </pic:nvPicPr>
                  <pic:blipFill>
                    <a:blip r:embed="rId13"/>
                    <a:stretch>
                      <a:fillRect/>
                    </a:stretch>
                  </pic:blipFill>
                  <pic:spPr>
                    <a:xfrm>
                      <a:off x="0" y="0"/>
                      <a:ext cx="5669280" cy="2868900"/>
                    </a:xfrm>
                    <a:prstGeom prst="rect"/>
                  </pic:spPr>
                </pic:pic>
              </a:graphicData>
            </a:graphic>
          </wp:inline>
        </w:drawing>
      </w:r>
    </w:p>
    <w:p>
      <w:pPr>
        <w:keepNext/>
        <w:spacing w:before="280" w:after="120"/>
      </w:pPr>
      <w:r>
        <w:rPr>
          <w:rFonts w:ascii="Calibri" w:hAnsi="Calibri"/>
          <w:b/>
          <w:color w:val="0A1A24"/>
          <w:sz w:val="36"/>
        </w:rPr>
        <w:t>5. Strategic Action Categorization</w:t>
      </w:r>
    </w:p>
    <w:p>
      <w:pPr>
        <w:keepNext/>
        <w:spacing w:before="280" w:after="120"/>
      </w:pPr>
      <w:r>
        <w:rPr>
          <w:rFonts w:ascii="Calibri" w:hAnsi="Calibri"/>
          <w:b/>
          <w:color w:val="0284C7"/>
          <w:sz w:val="28"/>
        </w:rPr>
        <w:t>A. Elements to RETAIN</w:t>
      </w:r>
    </w:p>
    <w:p>
      <w:pPr>
        <w:spacing w:before="0" w:after="80" w:line="276" w:lineRule="auto"/>
      </w:pPr>
      <w:r>
        <w:rPr>
          <w:rFonts w:ascii="Calibri" w:hAnsi="Calibri"/>
          <w:i w:val="0"/>
          <w:color w:val="334155"/>
          <w:sz w:val="21"/>
        </w:rPr>
        <w:t>• Navy &amp; Teal Color Foundation (#0A1A24 &amp; #0284c7) with warm ceramic white background (#FBFBFA).</w:t>
      </w:r>
    </w:p>
    <w:p>
      <w:pPr>
        <w:spacing w:before="0" w:after="80" w:line="276" w:lineRule="auto"/>
      </w:pPr>
      <w:r>
        <w:rPr>
          <w:rFonts w:ascii="Calibri" w:hAnsi="Calibri"/>
          <w:i w:val="0"/>
          <w:color w:val="334155"/>
          <w:sz w:val="21"/>
        </w:rPr>
        <w:t>• Two-Column Hero Architecture (Left headline/ratings with right image carousel).</w:t>
      </w:r>
    </w:p>
    <w:p>
      <w:pPr>
        <w:spacing w:before="0" w:after="80" w:line="276" w:lineRule="auto"/>
      </w:pPr>
      <w:r>
        <w:rPr>
          <w:rFonts w:ascii="Calibri" w:hAnsi="Calibri"/>
          <w:i w:val="0"/>
          <w:color w:val="334155"/>
          <w:sz w:val="21"/>
        </w:rPr>
        <w:t>• 5.0 Google Rating &amp; 12,000+ Happy Patients Trust Badges.</w:t>
      </w:r>
    </w:p>
    <w:p>
      <w:pPr>
        <w:spacing w:before="0" w:after="80" w:line="276" w:lineRule="auto"/>
      </w:pPr>
      <w:r>
        <w:rPr>
          <w:rFonts w:ascii="Calibri" w:hAnsi="Calibri"/>
          <w:i w:val="0"/>
          <w:color w:val="334155"/>
          <w:sz w:val="21"/>
        </w:rPr>
        <w:t>• Two-Column About Section Layout (Doctor portrait on left, clinical narrative on right).</w:t>
      </w:r>
    </w:p>
    <w:p>
      <w:pPr>
        <w:keepNext/>
        <w:spacing w:before="280" w:after="120"/>
      </w:pPr>
      <w:r>
        <w:rPr>
          <w:rFonts w:ascii="Calibri" w:hAnsi="Calibri"/>
          <w:b/>
          <w:color w:val="0284C7"/>
          <w:sz w:val="28"/>
        </w:rPr>
        <w:t>B. Elements to REFINE</w:t>
      </w:r>
    </w:p>
    <w:p>
      <w:pPr>
        <w:spacing w:before="0" w:after="80" w:line="276" w:lineRule="auto"/>
      </w:pPr>
      <w:r>
        <w:rPr>
          <w:rFonts w:ascii="Calibri" w:hAnsi="Calibri"/>
          <w:i w:val="0"/>
          <w:color w:val="334155"/>
          <w:sz w:val="21"/>
        </w:rPr>
        <w:t>• Typography: Elevate body text from #9ca3af to #334155 (Slate 700) to meet WCAG AA contrast.</w:t>
      </w:r>
    </w:p>
    <w:p>
      <w:pPr>
        <w:spacing w:before="0" w:after="80" w:line="276" w:lineRule="auto"/>
      </w:pPr>
      <w:r>
        <w:rPr>
          <w:rFonts w:ascii="Calibri" w:hAnsi="Calibri"/>
          <w:i w:val="0"/>
          <w:color w:val="334155"/>
          <w:sz w:val="21"/>
        </w:rPr>
        <w:t>• Services Cards: Add subtle card elevation (shadow-md hover:shadow-xl), sub-service tags, and starting price indicators.</w:t>
      </w:r>
    </w:p>
    <w:p>
      <w:pPr>
        <w:spacing w:before="0" w:after="80" w:line="276" w:lineRule="auto"/>
      </w:pPr>
      <w:r>
        <w:rPr>
          <w:rFonts w:ascii="Calibri" w:hAnsi="Calibri"/>
          <w:i w:val="0"/>
          <w:color w:val="334155"/>
          <w:sz w:val="21"/>
        </w:rPr>
        <w:t>• Doctor Cards: Apply object-position: top center framing, uniform background lighting, and authentic credentials.</w:t>
      </w:r>
    </w:p>
    <w:p>
      <w:pPr>
        <w:spacing w:before="0" w:after="80" w:line="276" w:lineRule="auto"/>
      </w:pPr>
      <w:r>
        <w:rPr>
          <w:rFonts w:ascii="Calibri" w:hAnsi="Calibri"/>
          <w:i w:val="0"/>
          <w:color w:val="334155"/>
          <w:sz w:val="21"/>
        </w:rPr>
        <w:t>• Floating Header: Add multi-layered ambient shadow for clean contrast separation over light page content.</w:t>
      </w:r>
    </w:p>
    <w:p>
      <w:pPr>
        <w:keepNext/>
        <w:spacing w:before="280" w:after="120"/>
      </w:pPr>
      <w:r>
        <w:rPr>
          <w:rFonts w:ascii="Calibri" w:hAnsi="Calibri"/>
          <w:b/>
          <w:color w:val="0284C7"/>
          <w:sz w:val="28"/>
        </w:rPr>
        <w:t>C. Elements to REDESIGN</w:t>
      </w:r>
    </w:p>
    <w:p>
      <w:pPr>
        <w:spacing w:before="0" w:after="80" w:line="276" w:lineRule="auto"/>
      </w:pPr>
      <w:r>
        <w:rPr>
          <w:rFonts w:ascii="Calibri" w:hAnsi="Calibri"/>
          <w:i w:val="0"/>
          <w:color w:val="334155"/>
          <w:sz w:val="21"/>
        </w:rPr>
        <w:t>• Header Center Navigation: Transform 3 unlabelled glyph icons into standard text links ('Home', 'Treatments', 'Our Doctors', 'About Us', 'Contact').</w:t>
      </w:r>
    </w:p>
    <w:p>
      <w:pPr>
        <w:spacing w:before="0" w:after="80" w:line="276" w:lineRule="auto"/>
      </w:pPr>
      <w:r>
        <w:rPr>
          <w:rFonts w:ascii="Calibri" w:hAnsi="Calibri"/>
          <w:i w:val="0"/>
          <w:color w:val="334155"/>
          <w:sz w:val="21"/>
        </w:rPr>
        <w:t>• Header Conversion Anchor: Replace 'Clinician Login' with prominent teal 'Book Appointment' button.</w:t>
      </w:r>
    </w:p>
    <w:p>
      <w:pPr>
        <w:keepNext/>
        <w:spacing w:before="280" w:after="120"/>
      </w:pPr>
      <w:r>
        <w:rPr>
          <w:rFonts w:ascii="Calibri" w:hAnsi="Calibri"/>
          <w:b/>
          <w:color w:val="0284C7"/>
          <w:sz w:val="28"/>
        </w:rPr>
        <w:t>D. Elements to REMOVE</w:t>
      </w:r>
    </w:p>
    <w:p>
      <w:pPr>
        <w:spacing w:before="0" w:after="80" w:line="276" w:lineRule="auto"/>
      </w:pPr>
      <w:r>
        <w:rPr>
          <w:rFonts w:ascii="Calibri" w:hAnsi="Calibri"/>
          <w:i w:val="0"/>
          <w:color w:val="334155"/>
          <w:sz w:val="21"/>
        </w:rPr>
        <w:t>• Raw Clinician Dictation Promo ('daant 3 me kera hai...') from public patient landing page.</w:t>
      </w:r>
    </w:p>
    <w:p>
      <w:pPr>
        <w:spacing w:before="0" w:after="80" w:line="276" w:lineRule="auto"/>
      </w:pPr>
      <w:r>
        <w:rPr>
          <w:rFonts w:ascii="Calibri" w:hAnsi="Calibri"/>
          <w:i w:val="0"/>
          <w:color w:val="334155"/>
          <w:sz w:val="21"/>
        </w:rPr>
        <w:t>• Competing 'Clinic Dashboard' CTA button from hero section.</w:t>
      </w:r>
    </w:p>
    <w:p>
      <w:pPr>
        <w:spacing w:before="0" w:after="80" w:line="276" w:lineRule="auto"/>
      </w:pPr>
      <w:r>
        <w:rPr>
          <w:rFonts w:ascii="Calibri" w:hAnsi="Calibri"/>
          <w:i w:val="0"/>
          <w:color w:val="334155"/>
          <w:sz w:val="21"/>
        </w:rPr>
        <w:t>• Cardiology stethoscopes on dental team members.</w:t>
      </w:r>
    </w:p>
    <w:p>
      <w:pPr>
        <w:spacing w:before="0" w:after="80" w:line="276" w:lineRule="auto"/>
      </w:pPr>
      <w:r>
        <w:rPr>
          <w:rFonts w:ascii="Calibri" w:hAnsi="Calibri"/>
          <w:i w:val="0"/>
          <w:color w:val="334155"/>
          <w:sz w:val="21"/>
        </w:rPr>
        <w:t>• Brittle individual card opacity zero animations that cause ghost layout voids.</w:t>
      </w:r>
    </w:p>
    <w:p>
      <w:pPr>
        <w:keepNext/>
        <w:spacing w:before="280" w:after="120"/>
      </w:pPr>
      <w:r>
        <w:rPr>
          <w:rFonts w:ascii="Calibri" w:hAnsi="Calibri"/>
          <w:b/>
          <w:color w:val="0284C7"/>
          <w:sz w:val="28"/>
        </w:rPr>
        <w:t>E. Elements / Content to ADD</w:t>
      </w:r>
    </w:p>
    <w:p>
      <w:pPr>
        <w:spacing w:before="0" w:after="80" w:line="276" w:lineRule="auto"/>
      </w:pPr>
      <w:r>
        <w:rPr>
          <w:rFonts w:ascii="Calibri" w:hAnsi="Calibri"/>
          <w:i w:val="0"/>
          <w:color w:val="334155"/>
          <w:sz w:val="21"/>
        </w:rPr>
        <w:t>• Pre-Footer High-Conversion Booking Banner with headline, phone trigger, and 60-second booking button.</w:t>
      </w:r>
    </w:p>
    <w:p>
      <w:pPr>
        <w:spacing w:before="0" w:after="80" w:line="276" w:lineRule="auto"/>
      </w:pPr>
      <w:r>
        <w:rPr>
          <w:rFonts w:ascii="Calibri" w:hAnsi="Calibri"/>
          <w:i w:val="0"/>
          <w:color w:val="334155"/>
          <w:sz w:val="21"/>
        </w:rPr>
        <w:t>• Insurance &amp; Payment Provider Logo Strip (Delta Dental, MetLife, Cigna, Aetna, CareCredit).</w:t>
      </w:r>
    </w:p>
    <w:p>
      <w:pPr>
        <w:spacing w:before="0" w:after="80" w:line="276" w:lineRule="auto"/>
      </w:pPr>
      <w:r>
        <w:rPr>
          <w:rFonts w:ascii="Calibri" w:hAnsi="Calibri"/>
          <w:i w:val="0"/>
          <w:color w:val="334155"/>
          <w:sz w:val="21"/>
        </w:rPr>
        <w:t>• Physical Clinic Address with one-click Google Maps pin link.</w:t>
      </w:r>
    </w:p>
    <w:p>
      <w:pPr>
        <w:spacing w:before="0" w:after="80" w:line="276" w:lineRule="auto"/>
      </w:pPr>
      <w:r>
        <w:rPr>
          <w:rFonts w:ascii="Calibri" w:hAnsi="Calibri"/>
          <w:i w:val="0"/>
          <w:color w:val="334155"/>
          <w:sz w:val="21"/>
        </w:rPr>
        <w:t>• Doctor Accreditations (ADA and state dental board certification badges).</w:t>
      </w:r>
    </w:p>
    <w:p>
      <w:pPr>
        <w:keepNext/>
        <w:spacing w:before="280" w:after="120"/>
      </w:pPr>
      <w:r>
        <w:rPr>
          <w:rFonts w:ascii="Calibri" w:hAnsi="Calibri"/>
          <w:b/>
          <w:color w:val="0A1A24"/>
          <w:sz w:val="36"/>
        </w:rPr>
        <w:t>6. Design System Tokens &amp; Hierarchy</w:t>
      </w:r>
    </w:p>
    <w:tbl>
      <w:tblPr>
        <w:tblW w:type="auto" w:w="0"/>
        <w:jc w:val="center"/>
        <w:tblLook w:firstColumn="1" w:firstRow="1" w:lastColumn="0" w:lastRow="0" w:noHBand="0" w:noVBand="1" w:val="04A0"/>
      </w:tblPr>
      <w:tblGrid>
        <w:gridCol w:w="3360"/>
        <w:gridCol w:w="3360"/>
        <w:gridCol w:w="3360"/>
      </w:tblGrid>
      <w:tr>
        <w:tc>
          <w:tcPr>
            <w:tcW w:type="dxa" w:w="3360"/>
            <w:shd w:fill="0A1A24"/>
            <w:tcMar>
              <w:top w:w="80" w:type="dxa"/>
              <w:bottom w:w="80" w:type="dxa"/>
              <w:left w:w="100" w:type="dxa"/>
              <w:right w:w="100" w:type="dxa"/>
            </w:tcMar>
          </w:tcPr>
          <w:p>
            <w:pPr>
              <w:spacing w:after="0"/>
            </w:pPr>
            <w:r>
              <w:rPr>
                <w:b/>
                <w:color w:val="FFFFFF"/>
                <w:sz w:val="19"/>
              </w:rPr>
              <w:t>Token Category</w:t>
            </w:r>
          </w:p>
        </w:tc>
        <w:tc>
          <w:tcPr>
            <w:tcW w:type="dxa" w:w="3360"/>
            <w:shd w:fill="0A1A24"/>
            <w:tcMar>
              <w:top w:w="80" w:type="dxa"/>
              <w:bottom w:w="80" w:type="dxa"/>
              <w:left w:w="100" w:type="dxa"/>
              <w:right w:w="100" w:type="dxa"/>
            </w:tcMar>
          </w:tcPr>
          <w:p>
            <w:pPr>
              <w:spacing w:after="0"/>
            </w:pPr>
            <w:r>
              <w:rPr>
                <w:b/>
                <w:color w:val="FFFFFF"/>
                <w:sz w:val="19"/>
              </w:rPr>
              <w:t>Token Value</w:t>
            </w:r>
          </w:p>
        </w:tc>
        <w:tc>
          <w:tcPr>
            <w:tcW w:type="dxa" w:w="3360"/>
            <w:shd w:fill="0A1A24"/>
            <w:tcMar>
              <w:top w:w="80" w:type="dxa"/>
              <w:bottom w:w="80" w:type="dxa"/>
              <w:left w:w="100" w:type="dxa"/>
              <w:right w:w="100" w:type="dxa"/>
            </w:tcMar>
          </w:tcPr>
          <w:p>
            <w:pPr>
              <w:spacing w:after="0"/>
            </w:pPr>
            <w:r>
              <w:rPr>
                <w:b/>
                <w:color w:val="FFFFFF"/>
                <w:sz w:val="19"/>
              </w:rPr>
              <w:t>Application &amp; Contrast</w:t>
            </w:r>
          </w:p>
        </w:tc>
      </w:tr>
      <w:tr>
        <w:tc>
          <w:tcPr>
            <w:tcW w:type="dxa" w:w="2880"/>
            <w:shd w:fill="F1F5F9"/>
            <w:tcMar>
              <w:top w:w="60" w:type="dxa"/>
              <w:bottom w:w="60" w:type="dxa"/>
              <w:left w:w="80" w:type="dxa"/>
              <w:right w:w="80" w:type="dxa"/>
            </w:tcMar>
          </w:tcPr>
          <w:p>
            <w:pPr>
              <w:spacing w:after="0"/>
            </w:pPr>
            <w:r>
              <w:rPr>
                <w:b/>
                <w:color w:val="0A1A24"/>
                <w:sz w:val="17"/>
              </w:rPr>
              <w:t>Brand Primary</w:t>
            </w:r>
          </w:p>
        </w:tc>
        <w:tc>
          <w:tcPr>
            <w:tcW w:type="dxa" w:w="2592"/>
            <w:shd w:fill="F1F5F9"/>
            <w:tcMar>
              <w:top w:w="60" w:type="dxa"/>
              <w:bottom w:w="60" w:type="dxa"/>
              <w:left w:w="80" w:type="dxa"/>
              <w:right w:w="80" w:type="dxa"/>
            </w:tcMar>
          </w:tcPr>
          <w:p>
            <w:pPr>
              <w:spacing w:after="0"/>
            </w:pPr>
            <w:r>
              <w:rPr>
                <w:b/>
                <w:color w:val="0284C7"/>
                <w:sz w:val="17"/>
              </w:rPr>
              <w:t>#0284C7</w:t>
            </w:r>
          </w:p>
        </w:tc>
        <w:tc>
          <w:tcPr>
            <w:tcW w:type="dxa" w:w="4608"/>
            <w:shd w:fill="F1F5F9"/>
            <w:tcMar>
              <w:top w:w="60" w:type="dxa"/>
              <w:bottom w:w="60" w:type="dxa"/>
              <w:left w:w="80" w:type="dxa"/>
              <w:right w:w="80" w:type="dxa"/>
            </w:tcMar>
          </w:tcPr>
          <w:p>
            <w:pPr>
              <w:spacing w:after="0"/>
            </w:pPr>
            <w:r>
              <w:rPr>
                <w:color w:val="334155"/>
                <w:sz w:val="17"/>
              </w:rPr>
              <w:t>Primary CTAs, active indicators, accent icons</w:t>
            </w:r>
          </w:p>
        </w:tc>
      </w:tr>
      <w:tr>
        <w:tc>
          <w:tcPr>
            <w:tcW w:type="dxa" w:w="2880"/>
            <w:shd w:fill="FFFFFF"/>
            <w:tcMar>
              <w:top w:w="60" w:type="dxa"/>
              <w:bottom w:w="60" w:type="dxa"/>
              <w:left w:w="80" w:type="dxa"/>
              <w:right w:w="80" w:type="dxa"/>
            </w:tcMar>
          </w:tcPr>
          <w:p>
            <w:pPr>
              <w:spacing w:after="0"/>
            </w:pPr>
            <w:r>
              <w:rPr>
                <w:b/>
                <w:color w:val="0A1A24"/>
                <w:sz w:val="17"/>
              </w:rPr>
              <w:t>Brand Dark Slate</w:t>
            </w:r>
          </w:p>
        </w:tc>
        <w:tc>
          <w:tcPr>
            <w:tcW w:type="dxa" w:w="2592"/>
            <w:shd w:fill="FFFFFF"/>
            <w:tcMar>
              <w:top w:w="60" w:type="dxa"/>
              <w:bottom w:w="60" w:type="dxa"/>
              <w:left w:w="80" w:type="dxa"/>
              <w:right w:w="80" w:type="dxa"/>
            </w:tcMar>
          </w:tcPr>
          <w:p>
            <w:pPr>
              <w:spacing w:after="0"/>
            </w:pPr>
            <w:r>
              <w:rPr>
                <w:b/>
                <w:color w:val="0284C7"/>
                <w:sz w:val="17"/>
              </w:rPr>
              <w:t>#0A1A24</w:t>
            </w:r>
          </w:p>
        </w:tc>
        <w:tc>
          <w:tcPr>
            <w:tcW w:type="dxa" w:w="4608"/>
            <w:shd w:fill="FFFFFF"/>
            <w:tcMar>
              <w:top w:w="60" w:type="dxa"/>
              <w:bottom w:w="60" w:type="dxa"/>
              <w:left w:w="80" w:type="dxa"/>
              <w:right w:w="80" w:type="dxa"/>
            </w:tcMar>
          </w:tcPr>
          <w:p>
            <w:pPr>
              <w:spacing w:after="0"/>
            </w:pPr>
            <w:r>
              <w:rPr>
                <w:color w:val="334155"/>
                <w:sz w:val="17"/>
              </w:rPr>
              <w:t>Footer, dark badges, high-contrast sections</w:t>
            </w:r>
          </w:p>
        </w:tc>
      </w:tr>
      <w:tr>
        <w:tc>
          <w:tcPr>
            <w:tcW w:type="dxa" w:w="2880"/>
            <w:shd w:fill="F1F5F9"/>
            <w:tcMar>
              <w:top w:w="60" w:type="dxa"/>
              <w:bottom w:w="60" w:type="dxa"/>
              <w:left w:w="80" w:type="dxa"/>
              <w:right w:w="80" w:type="dxa"/>
            </w:tcMar>
          </w:tcPr>
          <w:p>
            <w:pPr>
              <w:spacing w:after="0"/>
            </w:pPr>
            <w:r>
              <w:rPr>
                <w:b/>
                <w:color w:val="0A1A24"/>
                <w:sz w:val="17"/>
              </w:rPr>
              <w:t>Page Background</w:t>
            </w:r>
          </w:p>
        </w:tc>
        <w:tc>
          <w:tcPr>
            <w:tcW w:type="dxa" w:w="2592"/>
            <w:shd w:fill="F1F5F9"/>
            <w:tcMar>
              <w:top w:w="60" w:type="dxa"/>
              <w:bottom w:w="60" w:type="dxa"/>
              <w:left w:w="80" w:type="dxa"/>
              <w:right w:w="80" w:type="dxa"/>
            </w:tcMar>
          </w:tcPr>
          <w:p>
            <w:pPr>
              <w:spacing w:after="0"/>
            </w:pPr>
            <w:r>
              <w:rPr>
                <w:b/>
                <w:color w:val="0284C7"/>
                <w:sz w:val="17"/>
              </w:rPr>
              <w:t>#FBFBFA</w:t>
            </w:r>
          </w:p>
        </w:tc>
        <w:tc>
          <w:tcPr>
            <w:tcW w:type="dxa" w:w="4608"/>
            <w:shd w:fill="F1F5F9"/>
            <w:tcMar>
              <w:top w:w="60" w:type="dxa"/>
              <w:bottom w:w="60" w:type="dxa"/>
              <w:left w:w="80" w:type="dxa"/>
              <w:right w:w="80" w:type="dxa"/>
            </w:tcMar>
          </w:tcPr>
          <w:p>
            <w:pPr>
              <w:spacing w:after="0"/>
            </w:pPr>
            <w:r>
              <w:rPr>
                <w:color w:val="334155"/>
                <w:sz w:val="17"/>
              </w:rPr>
              <w:t>Warm dental ceramic white page canvas</w:t>
            </w:r>
          </w:p>
        </w:tc>
      </w:tr>
      <w:tr>
        <w:tc>
          <w:tcPr>
            <w:tcW w:type="dxa" w:w="2880"/>
            <w:shd w:fill="FFFFFF"/>
            <w:tcMar>
              <w:top w:w="60" w:type="dxa"/>
              <w:bottom w:w="60" w:type="dxa"/>
              <w:left w:w="80" w:type="dxa"/>
              <w:right w:w="80" w:type="dxa"/>
            </w:tcMar>
          </w:tcPr>
          <w:p>
            <w:pPr>
              <w:spacing w:after="0"/>
            </w:pPr>
            <w:r>
              <w:rPr>
                <w:b/>
                <w:color w:val="0A1A24"/>
                <w:sz w:val="17"/>
              </w:rPr>
              <w:t>Card Surface</w:t>
            </w:r>
          </w:p>
        </w:tc>
        <w:tc>
          <w:tcPr>
            <w:tcW w:type="dxa" w:w="2592"/>
            <w:shd w:fill="FFFFFF"/>
            <w:tcMar>
              <w:top w:w="60" w:type="dxa"/>
              <w:bottom w:w="60" w:type="dxa"/>
              <w:left w:w="80" w:type="dxa"/>
              <w:right w:w="80" w:type="dxa"/>
            </w:tcMar>
          </w:tcPr>
          <w:p>
            <w:pPr>
              <w:spacing w:after="0"/>
            </w:pPr>
            <w:r>
              <w:rPr>
                <w:b/>
                <w:color w:val="0284C7"/>
                <w:sz w:val="17"/>
              </w:rPr>
              <w:t>#FFFFFF</w:t>
            </w:r>
          </w:p>
        </w:tc>
        <w:tc>
          <w:tcPr>
            <w:tcW w:type="dxa" w:w="4608"/>
            <w:shd w:fill="FFFFFF"/>
            <w:tcMar>
              <w:top w:w="60" w:type="dxa"/>
              <w:bottom w:w="60" w:type="dxa"/>
              <w:left w:w="80" w:type="dxa"/>
              <w:right w:w="80" w:type="dxa"/>
            </w:tcMar>
          </w:tcPr>
          <w:p>
            <w:pPr>
              <w:spacing w:after="0"/>
            </w:pPr>
            <w:r>
              <w:rPr>
                <w:color w:val="334155"/>
                <w:sz w:val="17"/>
              </w:rPr>
              <w:t>Pure white with #E2E8F0 subtle border</w:t>
            </w:r>
          </w:p>
        </w:tc>
      </w:tr>
      <w:tr>
        <w:tc>
          <w:tcPr>
            <w:tcW w:type="dxa" w:w="2880"/>
            <w:shd w:fill="F1F5F9"/>
            <w:tcMar>
              <w:top w:w="60" w:type="dxa"/>
              <w:bottom w:w="60" w:type="dxa"/>
              <w:left w:w="80" w:type="dxa"/>
              <w:right w:w="80" w:type="dxa"/>
            </w:tcMar>
          </w:tcPr>
          <w:p>
            <w:pPr>
              <w:spacing w:after="0"/>
            </w:pPr>
            <w:r>
              <w:rPr>
                <w:b/>
                <w:color w:val="0A1A24"/>
                <w:sz w:val="17"/>
              </w:rPr>
              <w:t>Headings Text</w:t>
            </w:r>
          </w:p>
        </w:tc>
        <w:tc>
          <w:tcPr>
            <w:tcW w:type="dxa" w:w="2592"/>
            <w:shd w:fill="F1F5F9"/>
            <w:tcMar>
              <w:top w:w="60" w:type="dxa"/>
              <w:bottom w:w="60" w:type="dxa"/>
              <w:left w:w="80" w:type="dxa"/>
              <w:right w:w="80" w:type="dxa"/>
            </w:tcMar>
          </w:tcPr>
          <w:p>
            <w:pPr>
              <w:spacing w:after="0"/>
            </w:pPr>
            <w:r>
              <w:rPr>
                <w:b/>
                <w:color w:val="0284C7"/>
                <w:sz w:val="17"/>
              </w:rPr>
              <w:t>#0F172A</w:t>
            </w:r>
          </w:p>
        </w:tc>
        <w:tc>
          <w:tcPr>
            <w:tcW w:type="dxa" w:w="4608"/>
            <w:shd w:fill="F1F5F9"/>
            <w:tcMar>
              <w:top w:w="60" w:type="dxa"/>
              <w:bottom w:w="60" w:type="dxa"/>
              <w:left w:w="80" w:type="dxa"/>
              <w:right w:w="80" w:type="dxa"/>
            </w:tcMar>
          </w:tcPr>
          <w:p>
            <w:pPr>
              <w:spacing w:after="0"/>
            </w:pPr>
            <w:r>
              <w:rPr>
                <w:color w:val="334155"/>
                <w:sz w:val="17"/>
              </w:rPr>
              <w:t>Slate 900 (14.2:1 contrast ratio against white)</w:t>
            </w:r>
          </w:p>
        </w:tc>
      </w:tr>
      <w:tr>
        <w:tc>
          <w:tcPr>
            <w:tcW w:type="dxa" w:w="2880"/>
            <w:shd w:fill="FFFFFF"/>
            <w:tcMar>
              <w:top w:w="60" w:type="dxa"/>
              <w:bottom w:w="60" w:type="dxa"/>
              <w:left w:w="80" w:type="dxa"/>
              <w:right w:w="80" w:type="dxa"/>
            </w:tcMar>
          </w:tcPr>
          <w:p>
            <w:pPr>
              <w:spacing w:after="0"/>
            </w:pPr>
            <w:r>
              <w:rPr>
                <w:b/>
                <w:color w:val="0A1A24"/>
                <w:sz w:val="17"/>
              </w:rPr>
              <w:t>Body Paragraphs</w:t>
            </w:r>
          </w:p>
        </w:tc>
        <w:tc>
          <w:tcPr>
            <w:tcW w:type="dxa" w:w="2592"/>
            <w:shd w:fill="FFFFFF"/>
            <w:tcMar>
              <w:top w:w="60" w:type="dxa"/>
              <w:bottom w:w="60" w:type="dxa"/>
              <w:left w:w="80" w:type="dxa"/>
              <w:right w:w="80" w:type="dxa"/>
            </w:tcMar>
          </w:tcPr>
          <w:p>
            <w:pPr>
              <w:spacing w:after="0"/>
            </w:pPr>
            <w:r>
              <w:rPr>
                <w:b/>
                <w:color w:val="0284C7"/>
                <w:sz w:val="17"/>
              </w:rPr>
              <w:t>#334155</w:t>
            </w:r>
          </w:p>
        </w:tc>
        <w:tc>
          <w:tcPr>
            <w:tcW w:type="dxa" w:w="4608"/>
            <w:shd w:fill="FFFFFF"/>
            <w:tcMar>
              <w:top w:w="60" w:type="dxa"/>
              <w:bottom w:w="60" w:type="dxa"/>
              <w:left w:w="80" w:type="dxa"/>
              <w:right w:w="80" w:type="dxa"/>
            </w:tcMar>
          </w:tcPr>
          <w:p>
            <w:pPr>
              <w:spacing w:after="0"/>
            </w:pPr>
            <w:r>
              <w:rPr>
                <w:color w:val="334155"/>
                <w:sz w:val="17"/>
              </w:rPr>
              <w:t>Slate 700 (7.5:1 contrast ratio — WCAG AA compliant)</w:t>
            </w:r>
          </w:p>
        </w:tc>
      </w:tr>
      <w:tr>
        <w:tc>
          <w:tcPr>
            <w:tcW w:type="dxa" w:w="2880"/>
            <w:shd w:fill="F1F5F9"/>
            <w:tcMar>
              <w:top w:w="60" w:type="dxa"/>
              <w:bottom w:w="60" w:type="dxa"/>
              <w:left w:w="80" w:type="dxa"/>
              <w:right w:w="80" w:type="dxa"/>
            </w:tcMar>
          </w:tcPr>
          <w:p>
            <w:pPr>
              <w:spacing w:after="0"/>
            </w:pPr>
            <w:r>
              <w:rPr>
                <w:b/>
                <w:color w:val="0A1A24"/>
                <w:sz w:val="17"/>
              </w:rPr>
              <w:t>Muted Sub-Text</w:t>
            </w:r>
          </w:p>
        </w:tc>
        <w:tc>
          <w:tcPr>
            <w:tcW w:type="dxa" w:w="2592"/>
            <w:shd w:fill="F1F5F9"/>
            <w:tcMar>
              <w:top w:w="60" w:type="dxa"/>
              <w:bottom w:w="60" w:type="dxa"/>
              <w:left w:w="80" w:type="dxa"/>
              <w:right w:w="80" w:type="dxa"/>
            </w:tcMar>
          </w:tcPr>
          <w:p>
            <w:pPr>
              <w:spacing w:after="0"/>
            </w:pPr>
            <w:r>
              <w:rPr>
                <w:b/>
                <w:color w:val="0284C7"/>
                <w:sz w:val="17"/>
              </w:rPr>
              <w:t>#475569</w:t>
            </w:r>
          </w:p>
        </w:tc>
        <w:tc>
          <w:tcPr>
            <w:tcW w:type="dxa" w:w="4608"/>
            <w:shd w:fill="F1F5F9"/>
            <w:tcMar>
              <w:top w:w="60" w:type="dxa"/>
              <w:bottom w:w="60" w:type="dxa"/>
              <w:left w:w="80" w:type="dxa"/>
              <w:right w:w="80" w:type="dxa"/>
            </w:tcMar>
          </w:tcPr>
          <w:p>
            <w:pPr>
              <w:spacing w:after="0"/>
            </w:pPr>
            <w:r>
              <w:rPr>
                <w:color w:val="334155"/>
                <w:sz w:val="17"/>
              </w:rPr>
              <w:t>Slate 600 (4.6:1 contrast ratio — WCAG AA compliant)</w:t>
            </w:r>
          </w:p>
        </w:tc>
      </w:tr>
      <w:tr>
        <w:tc>
          <w:tcPr>
            <w:tcW w:type="dxa" w:w="2880"/>
            <w:shd w:fill="FFFFFF"/>
            <w:tcMar>
              <w:top w:w="60" w:type="dxa"/>
              <w:bottom w:w="60" w:type="dxa"/>
              <w:left w:w="80" w:type="dxa"/>
              <w:right w:w="80" w:type="dxa"/>
            </w:tcMar>
          </w:tcPr>
          <w:p>
            <w:pPr>
              <w:spacing w:after="0"/>
            </w:pPr>
            <w:r>
              <w:rPr>
                <w:b/>
                <w:color w:val="0A1A24"/>
                <w:sz w:val="17"/>
              </w:rPr>
              <w:t>Container Max-Width</w:t>
            </w:r>
          </w:p>
        </w:tc>
        <w:tc>
          <w:tcPr>
            <w:tcW w:type="dxa" w:w="2592"/>
            <w:shd w:fill="FFFFFF"/>
            <w:tcMar>
              <w:top w:w="60" w:type="dxa"/>
              <w:bottom w:w="60" w:type="dxa"/>
              <w:left w:w="80" w:type="dxa"/>
              <w:right w:w="80" w:type="dxa"/>
            </w:tcMar>
          </w:tcPr>
          <w:p>
            <w:pPr>
              <w:spacing w:after="0"/>
            </w:pPr>
            <w:r>
              <w:rPr>
                <w:b/>
                <w:color w:val="0284C7"/>
                <w:sz w:val="17"/>
              </w:rPr>
              <w:t>1440px</w:t>
            </w:r>
          </w:p>
        </w:tc>
        <w:tc>
          <w:tcPr>
            <w:tcW w:type="dxa" w:w="4608"/>
            <w:shd w:fill="FFFFFF"/>
            <w:tcMar>
              <w:top w:w="60" w:type="dxa"/>
              <w:bottom w:w="60" w:type="dxa"/>
              <w:left w:w="80" w:type="dxa"/>
              <w:right w:w="80" w:type="dxa"/>
            </w:tcMar>
          </w:tcPr>
          <w:p>
            <w:pPr>
              <w:spacing w:after="0"/>
            </w:pPr>
            <w:r>
              <w:rPr>
                <w:color w:val="334155"/>
                <w:sz w:val="17"/>
              </w:rPr>
              <w:t>Balanced desktop layout containment</w:t>
            </w:r>
          </w:p>
        </w:tc>
      </w:tr>
      <w:tr>
        <w:tc>
          <w:tcPr>
            <w:tcW w:type="dxa" w:w="2880"/>
            <w:shd w:fill="F1F5F9"/>
            <w:tcMar>
              <w:top w:w="60" w:type="dxa"/>
              <w:bottom w:w="60" w:type="dxa"/>
              <w:left w:w="80" w:type="dxa"/>
              <w:right w:w="80" w:type="dxa"/>
            </w:tcMar>
          </w:tcPr>
          <w:p>
            <w:pPr>
              <w:spacing w:after="0"/>
            </w:pPr>
            <w:r>
              <w:rPr>
                <w:b/>
                <w:color w:val="0A1A24"/>
                <w:sz w:val="17"/>
              </w:rPr>
              <w:t>Section Vertical Rhythm</w:t>
            </w:r>
          </w:p>
        </w:tc>
        <w:tc>
          <w:tcPr>
            <w:tcW w:type="dxa" w:w="2592"/>
            <w:shd w:fill="F1F5F9"/>
            <w:tcMar>
              <w:top w:w="60" w:type="dxa"/>
              <w:bottom w:w="60" w:type="dxa"/>
              <w:left w:w="80" w:type="dxa"/>
              <w:right w:w="80" w:type="dxa"/>
            </w:tcMar>
          </w:tcPr>
          <w:p>
            <w:pPr>
              <w:spacing w:after="0"/>
            </w:pPr>
            <w:r>
              <w:rPr>
                <w:b/>
                <w:color w:val="0284C7"/>
                <w:sz w:val="17"/>
              </w:rPr>
              <w:t>py-20 (80px)</w:t>
            </w:r>
          </w:p>
        </w:tc>
        <w:tc>
          <w:tcPr>
            <w:tcW w:type="dxa" w:w="4608"/>
            <w:shd w:fill="F1F5F9"/>
            <w:tcMar>
              <w:top w:w="60" w:type="dxa"/>
              <w:bottom w:w="60" w:type="dxa"/>
              <w:left w:w="80" w:type="dxa"/>
              <w:right w:w="80" w:type="dxa"/>
            </w:tcMar>
          </w:tcPr>
          <w:p>
            <w:pPr>
              <w:spacing w:after="0"/>
            </w:pPr>
            <w:r>
              <w:rPr>
                <w:color w:val="334155"/>
                <w:sz w:val="17"/>
              </w:rPr>
              <w:t>Consistent desktop vertical spacing between sections</w:t>
            </w:r>
          </w:p>
        </w:tc>
      </w:tr>
    </w:tbl>
    <w:p>
      <w:pPr>
        <w:keepNext/>
        <w:spacing w:before="280" w:after="120"/>
      </w:pPr>
      <w:r>
        <w:rPr>
          <w:rFonts w:ascii="Calibri" w:hAnsi="Calibri"/>
          <w:b/>
          <w:color w:val="0A1A24"/>
          <w:sz w:val="36"/>
        </w:rPr>
        <w:t>7. Operational Actions Completed &amp; Next Steps</w:t>
      </w:r>
    </w:p>
    <w:p>
      <w:pPr>
        <w:spacing w:before="0" w:after="80" w:line="276" w:lineRule="auto"/>
      </w:pPr>
      <w:r>
        <w:rPr>
          <w:rFonts w:ascii="Calibri" w:hAnsi="Calibri"/>
          <w:i w:val="0"/>
          <w:color w:val="334155"/>
          <w:sz w:val="21"/>
        </w:rPr>
        <w:t>1. Frontend Build &amp; Local Dev Server: Successfully executed npm run build (dist compiled cleanly in 11.38s) and verified local dev server active on http://localhost:5173/.</w:t>
      </w:r>
    </w:p>
    <w:p>
      <w:pPr>
        <w:spacing w:before="0" w:after="80" w:line="276" w:lineRule="auto"/>
      </w:pPr>
      <w:r>
        <w:rPr>
          <w:rFonts w:ascii="Calibri" w:hAnsi="Calibri"/>
          <w:i w:val="0"/>
          <w:color w:val="334155"/>
          <w:sz w:val="21"/>
        </w:rPr>
        <w:t>2. Backend API Verification: Checked and built DentistAPI.csproj with .NET 10 (0 errors). Active on http://localhost:5107/ with Swagger UI at /swagger. Protected appsettings credentials using git skip-worktree and .gitignore.</w:t>
      </w:r>
    </w:p>
    <w:p>
      <w:pPr>
        <w:spacing w:before="0" w:after="80" w:line="276" w:lineRule="auto"/>
      </w:pPr>
      <w:r>
        <w:rPr>
          <w:rFonts w:ascii="Calibri" w:hAnsi="Calibri"/>
          <w:i w:val="0"/>
          <w:color w:val="334155"/>
          <w:sz w:val="21"/>
        </w:rPr>
        <w:t>3. Strict Review Constraints Maintained: No frontend code or stylesheet has been modified. This report is submitted for Product Owner review and authorization prior to execution.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