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Cambria" w:cs="Cambria" w:eastAsia="Cambria" w:hAnsi="Cambria"/>
          <w:b/>
          <w:bCs/>
          <w:color w:val="073430"/>
          <w:sz w:val="64"/>
          <w:szCs w:val="64"/>
        </w:rPr>
        <w:t xml:space="preserve">DENTIA</w:t>
      </w:r>
    </w:p>
    <w:p>
      <w:pPr>
        <w:spacing w:after="100" w:before="220"/>
        <w:jc w:val="center"/>
      </w:pPr>
      <w:r>
        <w:rPr>
          <w:rFonts w:ascii="Cambria" w:cs="Cambria" w:eastAsia="Cambria" w:hAnsi="Cambria"/>
          <w:color w:val="2E8B82"/>
          <w:sz w:val="30"/>
          <w:szCs w:val="30"/>
        </w:rPr>
        <w:t xml:space="preserve">Imaging Capture, Groq AI Analysis &amp; Automated Chart Integration</w:t>
      </w:r>
    </w:p>
    <w:p>
      <w:pPr>
        <w:spacing w:after="1400" w:before="60"/>
        <w:jc w:val="center"/>
      </w:pPr>
      <w:r>
        <w:rPr>
          <w:i/>
          <w:iCs/>
          <w:color w:val="5C6E6C"/>
          <w:sz w:val="22"/>
          <w:szCs w:val="22"/>
        </w:rPr>
        <w:t xml:space="preserve">Technical Architecture &amp; Hardware Report</w:t>
      </w:r>
    </w:p>
    <w:p>
      <w:pPr>
        <w:spacing w:before="2600"/>
        <w:jc w:val="center"/>
      </w:pPr>
      <w:r>
        <w:rPr>
          <w:color w:val="5C6E6C"/>
          <w:sz w:val="19"/>
          <w:szCs w:val="19"/>
        </w:rPr>
        <w:t xml:space="preserve">Prepared for: Dentia Clinical &amp; System Manual</w:t>
      </w:r>
    </w:p>
    <w:p>
      <w:pPr>
        <w:spacing w:before="80"/>
        <w:jc w:val="center"/>
      </w:pPr>
      <w:r>
        <w:rPr>
          <w:color w:val="5C6E6C"/>
          <w:sz w:val="19"/>
          <w:szCs w:val="19"/>
        </w:rPr>
        <w:t xml:space="preserve">Scope: X-ray sensors, panoramic/OPG machines, intraoral cameras &amp; webcam video — USB capture, Groq AI vision analysis, AI-generated clinical notes, and automated odontogram chart updates.</w:t>
      </w:r>
    </w:p>
    <w:p>
      <w:pPr>
        <w:spacing w:before="80"/>
        <w:jc w:val="center"/>
      </w:pPr>
      <w:r>
        <w:rPr>
          <w:color w:val="5C6E6C"/>
          <w:sz w:val="19"/>
          <w:szCs w:val="19"/>
        </w:rPr>
        <w:t xml:space="preserve">Regional focus: Pakistan — commonly available imaging hardware</w:t>
      </w:r>
    </w:p>
    <w:p>
      <w:pPr>
        <w:sectPr>
          <w:pgSz w:w="12240" w:h="15840" w:orient="portrait"/>
          <w:pgMar w:top="1440" w:right="1440" w:bottom="1440" w:left="1440" w:header="708" w:footer="708" w:gutter="0"/>
          <w:pgNumType/>
          <w:docGrid w:linePitch="360"/>
        </w:sectPr>
      </w:pPr>
    </w:p>
    <w:p>
      <w:pPr>
        <w:pStyle w:val="Heading1"/>
        <w:pBdr>
          <w:bottom w:val="single" w:color="0B4F4A" w:sz="8" w:space="4"/>
        </w:pBdr>
        <w:spacing w:after="160" w:before="380"/>
      </w:pPr>
      <w:r>
        <w:rPr>
          <w:rFonts w:ascii="Cambria" w:cs="Cambria" w:eastAsia="Cambria" w:hAnsi="Cambria"/>
          <w:b/>
          <w:bCs/>
          <w:color w:val="073430"/>
          <w:sz w:val="30"/>
          <w:szCs w:val="30"/>
        </w:rPr>
        <w:t xml:space="preserve">1. Executive Summary</w:t>
      </w:r>
    </w:p>
    <w:p>
      <w:pPr>
        <w:spacing w:after="160" w:line="276"/>
      </w:pPr>
      <w:r>
        <w:rPr>
          <w:b w:val="false"/>
          <w:bCs w:val="false"/>
          <w:i w:val="false"/>
          <w:iCs w:val="false"/>
          <w:color w:val="1E2B2A"/>
          <w:sz w:val="21"/>
          <w:szCs w:val="21"/>
        </w:rPr>
        <w:t xml:space="preserve">This report defines how Dentia captures clinical images and video directly from chairside hardware — intraoral X-ray sensors, panoramic (OPG) machines, and intraoral or webcam cameras — and routes that media into the “Imaging &amp; X-Rays” module without manual file hunting. From there, a Groq-hosted vision-language model observes each image or key video frame, produces a structured clinical read, drafts an AI clinical note, and proposes chart updates that the dentist reviews and confirms before anything is saved to the patient record.</w:t>
      </w:r>
    </w:p>
    <w:p>
      <w:pPr>
        <w:spacing w:after="160" w:line="276"/>
      </w:pPr>
      <w:r>
        <w:rPr>
          <w:b w:val="false"/>
          <w:bCs w:val="false"/>
          <w:i w:val="false"/>
          <w:iCs w:val="false"/>
          <w:color w:val="1E2B2A"/>
          <w:sz w:val="21"/>
          <w:szCs w:val="21"/>
        </w:rPr>
        <w:t xml:space="preserve">The design keeps three concerns separate: (1) how a physical device gets its image onto the computer running Dentia, (2) how Dentia's backend hands that image to Groq for analysis, and (3) how the AI's output is safely converted into SOAP notes and odontogram changes. Each is covered below, along with a shortlist of imaging hardware commonly available in Pakistan that fits this workflow.</w:t>
      </w:r>
    </w:p>
    <w:p>
      <w:pPr>
        <w:pStyle w:val="Heading1"/>
        <w:pBdr>
          <w:bottom w:val="single" w:color="0B4F4A" w:sz="8" w:space="4"/>
        </w:pBdr>
        <w:spacing w:after="160" w:before="380"/>
      </w:pPr>
      <w:r>
        <w:rPr>
          <w:rFonts w:ascii="Cambria" w:cs="Cambria" w:eastAsia="Cambria" w:hAnsi="Cambria"/>
          <w:b/>
          <w:bCs/>
          <w:color w:val="073430"/>
          <w:sz w:val="30"/>
          <w:szCs w:val="30"/>
        </w:rPr>
        <w:t xml:space="preserve">2. Objective &amp; Scope</w:t>
      </w:r>
    </w:p>
    <w:p>
      <w:pPr>
        <w:spacing w:after="160" w:line="276"/>
      </w:pPr>
      <w:r>
        <w:rPr>
          <w:b w:val="false"/>
          <w:bCs w:val="false"/>
          <w:i w:val="false"/>
          <w:iCs w:val="false"/>
          <w:color w:val="1E2B2A"/>
          <w:sz w:val="21"/>
          <w:szCs w:val="21"/>
        </w:rPr>
        <w:t xml:space="preserve">This document answers four practical questions the clinical and engineering teams need before building the capture pipeline:</w:t>
      </w:r>
    </w:p>
    <w:p>
      <w:pPr>
        <w:pStyle w:val="ListParagraph"/>
        <w:numPr>
          <w:ilvl w:val="0"/>
          <w:numId w:val="2"/>
        </w:numPr>
        <w:spacing w:after="90"/>
      </w:pPr>
      <w:r>
        <w:rPr>
          <w:color w:val="1E2B2A"/>
          <w:sz w:val="21"/>
          <w:szCs w:val="21"/>
        </w:rPr>
        <w:t xml:space="preserve">How does an X-ray sensor, scanner, or camera plugged into a USB port get its output directly into Dentia's Imaging &amp; X-Rays module — without the dentist manually saving and re-uploading a file?</w:t>
      </w:r>
    </w:p>
    <w:p>
      <w:pPr>
        <w:pStyle w:val="ListParagraph"/>
        <w:numPr>
          <w:ilvl w:val="0"/>
          <w:numId w:val="2"/>
        </w:numPr>
        <w:spacing w:after="90"/>
      </w:pPr>
      <w:r>
        <w:rPr>
          <w:color w:val="1E2B2A"/>
          <w:sz w:val="21"/>
          <w:szCs w:val="21"/>
        </w:rPr>
        <w:t xml:space="preserve">How does a live video feed (intraoral camera or webcam) get captured and handed to the AI for observation?</w:t>
      </w:r>
    </w:p>
    <w:p>
      <w:pPr>
        <w:pStyle w:val="ListParagraph"/>
        <w:numPr>
          <w:ilvl w:val="0"/>
          <w:numId w:val="2"/>
        </w:numPr>
        <w:spacing w:after="90"/>
      </w:pPr>
      <w:r>
        <w:rPr>
          <w:color w:val="1E2B2A"/>
          <w:sz w:val="21"/>
          <w:szCs w:val="21"/>
        </w:rPr>
        <w:t xml:space="preserve">How does Groq analyze that image or video and turn it into an AI clinical note plus proposed odontogram changes?</w:t>
      </w:r>
    </w:p>
    <w:p>
      <w:pPr>
        <w:pStyle w:val="ListParagraph"/>
        <w:numPr>
          <w:ilvl w:val="0"/>
          <w:numId w:val="2"/>
        </w:numPr>
        <w:spacing w:after="90"/>
      </w:pPr>
      <w:r>
        <w:rPr>
          <w:color w:val="1E2B2A"/>
          <w:sz w:val="21"/>
          <w:szCs w:val="21"/>
        </w:rPr>
        <w:t xml:space="preserve">Which X-ray, scanner, and camera devices are realistically available to clinics in Pakistan, and how do they connect?</w:t>
      </w:r>
    </w:p>
    <w:p>
      <w:pPr>
        <w:spacing w:after="160" w:line="276"/>
      </w:pPr>
      <w:r>
        <w:rPr>
          <w:b w:val="false"/>
          <w:bCs w:val="false"/>
          <w:i w:val="false"/>
          <w:iCs w:val="false"/>
          <w:color w:val="1E2B2A"/>
          <w:sz w:val="21"/>
          <w:szCs w:val="21"/>
        </w:rPr>
        <w:t xml:space="preserve">Out of scope: DICOM PACS integration with hospital-grade CBCT networks, and full radiology reporting — both are natural extensions once the core USB-capture pipeline below is in place.</w:t>
      </w:r>
    </w:p>
    <w:p>
      <w:pPr>
        <w:pStyle w:val="Heading1"/>
        <w:pBdr>
          <w:bottom w:val="single" w:color="0B4F4A" w:sz="8" w:space="4"/>
        </w:pBdr>
        <w:spacing w:after="160" w:before="380"/>
      </w:pPr>
      <w:r>
        <w:rPr>
          <w:rFonts w:ascii="Cambria" w:cs="Cambria" w:eastAsia="Cambria" w:hAnsi="Cambria"/>
          <w:b/>
          <w:bCs/>
          <w:color w:val="073430"/>
          <w:sz w:val="30"/>
          <w:szCs w:val="30"/>
        </w:rPr>
        <w:t xml:space="preserve">3. End-to-End Workflow at a Glance</w:t>
      </w:r>
    </w:p>
    <w:p>
      <w:pPr>
        <w:spacing w:after="160" w:line="276"/>
      </w:pPr>
      <w:r>
        <w:rPr>
          <w:b w:val="false"/>
          <w:bCs w:val="false"/>
          <w:i w:val="false"/>
          <w:iCs w:val="false"/>
          <w:color w:val="1E2B2A"/>
          <w:sz w:val="21"/>
          <w:szCs w:val="21"/>
        </w:rPr>
        <w:t xml:space="preserve">The same four-stage pipeline applies whether the source is a still X-ray, a photo, or a short video clip:</w:t>
      </w:r>
    </w:p>
    <w:p>
      <w:pPr>
        <w:pStyle w:val="ListParagraph"/>
        <w:numPr>
          <w:ilvl w:val="0"/>
          <w:numId w:val="3"/>
        </w:numPr>
        <w:spacing w:after="90"/>
      </w:pPr>
      <w:r>
        <w:rPr>
          <w:color w:val="1E2B2A"/>
          <w:sz w:val="21"/>
          <w:szCs w:val="21"/>
        </w:rPr>
        <w:t xml:space="preserve">Capture — the device (sensor, camera, or scanner) produces an image or video on the clinic PC via its USB connection.</w:t>
      </w:r>
    </w:p>
    <w:p>
      <w:pPr>
        <w:pStyle w:val="ListParagraph"/>
        <w:numPr>
          <w:ilvl w:val="0"/>
          <w:numId w:val="3"/>
        </w:numPr>
        <w:spacing w:after="90"/>
      </w:pPr>
      <w:r>
        <w:rPr>
          <w:color w:val="1E2B2A"/>
          <w:sz w:val="21"/>
          <w:szCs w:val="21"/>
        </w:rPr>
        <w:t xml:space="preserve">Ingest — Dentia's capture layer detects the new image/video and uploads it straight into the patient's Imaging &amp; X-Rays record, tagged with patient ID, tooth number (if selected), and modality.</w:t>
      </w:r>
    </w:p>
    <w:p>
      <w:pPr>
        <w:pStyle w:val="ListParagraph"/>
        <w:numPr>
          <w:ilvl w:val="0"/>
          <w:numId w:val="3"/>
        </w:numPr>
        <w:spacing w:after="90"/>
      </w:pPr>
      <w:r>
        <w:rPr>
          <w:color w:val="1E2B2A"/>
          <w:sz w:val="21"/>
          <w:szCs w:val="21"/>
        </w:rPr>
        <w:t xml:space="preserve">AI Observation — the image (or extracted video frame) is sent to Groq's vision model with a dental-specific prompt; Groq returns structured findings in JSON plus a narrative note.</w:t>
      </w:r>
    </w:p>
    <w:p>
      <w:pPr>
        <w:pStyle w:val="ListParagraph"/>
        <w:numPr>
          <w:ilvl w:val="0"/>
          <w:numId w:val="3"/>
        </w:numPr>
        <w:spacing w:after="90"/>
      </w:pPr>
      <w:r>
        <w:rPr>
          <w:color w:val="1E2B2A"/>
          <w:sz w:val="21"/>
          <w:szCs w:val="21"/>
        </w:rPr>
        <w:t xml:space="preserve">Chart &amp; Note Integration — the findings populate a draft AI clinical note and a draft set of odontogram changes; the dentist reviews both and clicks Save to commit them — nothing writes to the permanent record automatically.</w:t>
      </w:r>
    </w:p>
    <w:p>
      <w:pPr>
        <w:pBdr>
          <w:top w:val="single" w:color="B5651D" w:sz="6" w:space="6"/>
          <w:bottom w:val="single" w:color="B5651D" w:sz="6" w:space="6"/>
        </w:pBdr>
        <w:shd w:fill="FBEBD9" w:val="clear"/>
        <w:spacing w:after="220" w:before="140"/>
      </w:pPr>
      <w:r>
        <w:rPr>
          <w:i/>
          <w:iCs/>
          <w:color w:val="6B3E12"/>
          <w:sz w:val="20"/>
          <w:szCs w:val="20"/>
        </w:rPr>
        <w:t xml:space="preserve">Manual Save Safety applies here exactly as it does in the Ortho/TMJ diagnostic suite: AI-proposed chart changes are staged, never auto-committed. The dentist always has final sign-off.</w:t>
      </w:r>
    </w:p>
    <w:p>
      <w:r>
        <w:br w:type="page"/>
      </w:r>
    </w:p>
    <w:p>
      <w:pPr>
        <w:pStyle w:val="Heading1"/>
        <w:pBdr>
          <w:bottom w:val="single" w:color="0B4F4A" w:sz="8" w:space="4"/>
        </w:pBdr>
        <w:spacing w:after="160" w:before="380"/>
      </w:pPr>
      <w:r>
        <w:rPr>
          <w:rFonts w:ascii="Cambria" w:cs="Cambria" w:eastAsia="Cambria" w:hAnsi="Cambria"/>
          <w:b/>
          <w:bCs/>
          <w:color w:val="073430"/>
          <w:sz w:val="30"/>
          <w:szCs w:val="30"/>
        </w:rPr>
        <w:t xml:space="preserve">4. Imaging &amp; Video Device Categories</w:t>
      </w:r>
    </w:p>
    <w:p>
      <w:pPr>
        <w:spacing w:after="160" w:line="276"/>
      </w:pPr>
      <w:r>
        <w:rPr>
          <w:b w:val="false"/>
          <w:bCs w:val="false"/>
          <w:i w:val="false"/>
          <w:iCs w:val="false"/>
          <w:color w:val="1E2B2A"/>
          <w:sz w:val="21"/>
          <w:szCs w:val="21"/>
        </w:rPr>
        <w:t xml:space="preserve">Chairside capture hardware falls into four categories, each with a different connection method and a different route into Dentia.</w:t>
      </w:r>
    </w:p>
    <w:p>
      <w:pPr>
        <w:pStyle w:val="Heading2"/>
        <w:spacing w:after="120" w:before="260"/>
      </w:pPr>
      <w:r>
        <w:rPr>
          <w:rFonts w:ascii="Cambria" w:cs="Cambria" w:eastAsia="Cambria" w:hAnsi="Cambria"/>
          <w:b/>
          <w:bCs/>
          <w:color w:val="0B4F4A"/>
          <w:sz w:val="24"/>
          <w:szCs w:val="24"/>
        </w:rPr>
        <w:t xml:space="preserve">4.1  Intraoral X-Ray Sensors (RVG / Digital Radiography)</w:t>
      </w:r>
    </w:p>
    <w:p>
      <w:pPr>
        <w:spacing w:after="160" w:line="276"/>
      </w:pPr>
      <w:r>
        <w:rPr>
          <w:b w:val="false"/>
          <w:bCs w:val="false"/>
          <w:i w:val="false"/>
          <w:iCs w:val="false"/>
          <w:color w:val="1E2B2A"/>
          <w:sz w:val="21"/>
          <w:szCs w:val="21"/>
        </w:rPr>
        <w:t xml:space="preserve">A radiovisiography (RVG) sensor is the small cabled chip placed against a tooth in place of film. When the X-ray head fires, the sensor converts the exposure into a digital periapical or bitewing image in one to two seconds, at a significant radiation-dose reduction versus film. Sensors connect over a standard USB cable and are treated by Windows as a TWAIN or vendor-SDK imaging source, not a plug-and-play webcam — capture is triggered by the sensor's own driver software, not a generic browser camera call.</w:t>
      </w:r>
    </w:p>
    <w:p>
      <w:pPr>
        <w:pStyle w:val="ListParagraph"/>
        <w:numPr>
          <w:ilvl w:val="0"/>
          <w:numId w:val="4"/>
        </w:numPr>
        <w:spacing w:after="90"/>
      </w:pPr>
      <w:r>
        <w:rPr>
          <w:color w:val="1E2B2A"/>
          <w:sz w:val="21"/>
          <w:szCs w:val="21"/>
        </w:rPr>
        <w:t xml:space="preserve">Typical use: periapicals, bitewings, working-length checks during root canal, caries and bone-level assessment, implant planning alongside CBCT.</w:t>
      </w:r>
    </w:p>
    <w:p>
      <w:pPr>
        <w:pStyle w:val="ListParagraph"/>
        <w:numPr>
          <w:ilvl w:val="0"/>
          <w:numId w:val="4"/>
        </w:numPr>
        <w:spacing w:after="90"/>
      </w:pPr>
      <w:r>
        <w:rPr>
          <w:color w:val="1E2B2A"/>
          <w:sz w:val="21"/>
          <w:szCs w:val="21"/>
        </w:rPr>
        <w:t xml:space="preserve">Connection: USB 2.0 cable, proprietary TWAIN/SDK driver bundled by the sensor manufacturer.</w:t>
      </w:r>
    </w:p>
    <w:p>
      <w:pPr>
        <w:pStyle w:val="Heading2"/>
        <w:spacing w:after="120" w:before="260"/>
      </w:pPr>
      <w:r>
        <w:rPr>
          <w:rFonts w:ascii="Cambria" w:cs="Cambria" w:eastAsia="Cambria" w:hAnsi="Cambria"/>
          <w:b/>
          <w:bCs/>
          <w:color w:val="0B4F4A"/>
          <w:sz w:val="24"/>
          <w:szCs w:val="24"/>
        </w:rPr>
        <w:t xml:space="preserve">4.2  Panoramic &amp; Cephalometric (OPG) Machines</w:t>
      </w:r>
    </w:p>
    <w:p>
      <w:pPr>
        <w:spacing w:after="160" w:line="276"/>
      </w:pPr>
      <w:r>
        <w:rPr>
          <w:b w:val="false"/>
          <w:bCs w:val="false"/>
          <w:i w:val="false"/>
          <w:iCs w:val="false"/>
          <w:color w:val="1E2B2A"/>
          <w:sz w:val="21"/>
          <w:szCs w:val="21"/>
        </w:rPr>
        <w:t xml:space="preserve">Panoramic (orthopantomogram / OPG) and cephalometric units are wall-mounted or floor-standing X-ray machines that capture a full-jaw or skull-profile image in a single rotating exposure. These are not USB peripherals of the clinic PC in the same sense as a sensor — the machine has its own imaging computer, and the resulting image is exported to the practice-management workstation either over the clinic network (DICOM) or via a TWAIN bridge into imaging software, then dropped into a shared folder or PACS location.</w:t>
      </w:r>
    </w:p>
    <w:p>
      <w:pPr>
        <w:pStyle w:val="ListParagraph"/>
        <w:numPr>
          <w:ilvl w:val="0"/>
          <w:numId w:val="4"/>
        </w:numPr>
        <w:spacing w:after="90"/>
      </w:pPr>
      <w:r>
        <w:rPr>
          <w:color w:val="1E2B2A"/>
          <w:sz w:val="21"/>
          <w:szCs w:val="21"/>
        </w:rPr>
        <w:t xml:space="preserve">Typical use: full-arch overview, wisdom-tooth and impaction assessment, orthodontic and TMJ evaluation, implant planning.</w:t>
      </w:r>
    </w:p>
    <w:p>
      <w:pPr>
        <w:pStyle w:val="ListParagraph"/>
        <w:numPr>
          <w:ilvl w:val="0"/>
          <w:numId w:val="4"/>
        </w:numPr>
        <w:spacing w:after="90"/>
      </w:pPr>
      <w:r>
        <w:rPr>
          <w:color w:val="1E2B2A"/>
          <w:sz w:val="21"/>
          <w:szCs w:val="21"/>
        </w:rPr>
        <w:t xml:space="preserve">Connection: network DICOM export or TWAIN-bridged software integration (not raw USB webcam capture).</w:t>
      </w:r>
    </w:p>
    <w:p>
      <w:pPr>
        <w:pStyle w:val="Heading2"/>
        <w:spacing w:after="120" w:before="260"/>
      </w:pPr>
      <w:r>
        <w:rPr>
          <w:rFonts w:ascii="Cambria" w:cs="Cambria" w:eastAsia="Cambria" w:hAnsi="Cambria"/>
          <w:b/>
          <w:bCs/>
          <w:color w:val="0B4F4A"/>
          <w:sz w:val="24"/>
          <w:szCs w:val="24"/>
        </w:rPr>
        <w:t xml:space="preserve">4.3  Intraoral Cameras (Chairside Photo/Video)</w:t>
      </w:r>
    </w:p>
    <w:p>
      <w:pPr>
        <w:spacing w:after="160" w:line="276"/>
      </w:pPr>
      <w:r>
        <w:rPr>
          <w:b w:val="false"/>
          <w:bCs w:val="false"/>
          <w:i w:val="false"/>
          <w:iCs w:val="false"/>
          <w:color w:val="1E2B2A"/>
          <w:sz w:val="21"/>
          <w:szCs w:val="21"/>
        </w:rPr>
        <w:t xml:space="preserve">An intraoral camera is a pen-shaped wand with an LED-lit lens that a dentist moves around the mouth to show a patient — and to document — a tooth or soft-tissue area up close. Unlike an X-ray sensor, most intraoral cameras are USB Video Class (UVC) devices, meaning the operating system and browser both recognize them exactly like a standard webcam: no special driver is required, and a photo or live video stream can be pulled directly through the browser's camera API.</w:t>
      </w:r>
    </w:p>
    <w:p>
      <w:pPr>
        <w:pStyle w:val="ListParagraph"/>
        <w:numPr>
          <w:ilvl w:val="0"/>
          <w:numId w:val="4"/>
        </w:numPr>
        <w:spacing w:after="90"/>
      </w:pPr>
      <w:r>
        <w:rPr>
          <w:color w:val="1E2B2A"/>
          <w:sz w:val="21"/>
          <w:szCs w:val="21"/>
        </w:rPr>
        <w:t xml:space="preserve">Typical use: patient education, cavity/gumline documentation, before-after photos, cosmetic case presentation.</w:t>
      </w:r>
    </w:p>
    <w:p>
      <w:pPr>
        <w:pStyle w:val="ListParagraph"/>
        <w:numPr>
          <w:ilvl w:val="0"/>
          <w:numId w:val="4"/>
        </w:numPr>
        <w:spacing w:after="90"/>
      </w:pPr>
      <w:r>
        <w:rPr>
          <w:color w:val="1E2B2A"/>
          <w:sz w:val="21"/>
          <w:szCs w:val="21"/>
        </w:rPr>
        <w:t xml:space="preserve">Connection: USB (UVC-class, plug-and-play) or Wi-Fi/wireless models that stream to a companion app.</w:t>
      </w:r>
    </w:p>
    <w:p>
      <w:pPr>
        <w:pStyle w:val="Heading2"/>
        <w:spacing w:after="120" w:before="260"/>
      </w:pPr>
      <w:r>
        <w:rPr>
          <w:rFonts w:ascii="Cambria" w:cs="Cambria" w:eastAsia="Cambria" w:hAnsi="Cambria"/>
          <w:b/>
          <w:bCs/>
          <w:color w:val="0B4F4A"/>
          <w:sz w:val="24"/>
          <w:szCs w:val="24"/>
        </w:rPr>
        <w:t xml:space="preserve">4.4  Webcam / Doctor-Facing Video (Tele-Consult &amp; Chairside Notes)</w:t>
      </w:r>
    </w:p>
    <w:p>
      <w:pPr>
        <w:spacing w:after="160" w:line="276"/>
      </w:pPr>
      <w:r>
        <w:rPr>
          <w:b w:val="false"/>
          <w:bCs w:val="false"/>
          <w:i w:val="false"/>
          <w:iCs w:val="false"/>
          <w:color w:val="1E2B2A"/>
          <w:sz w:val="21"/>
          <w:szCs w:val="21"/>
        </w:rPr>
        <w:t xml:space="preserve">A standard USB or built-in laptop webcam can record short clips during a live consultation — for example, a dentist narrating findings while pointing at a tooth, or a quick video of jaw movement for a TMJ assessment. Like intraoral cameras, this is UVC-class hardware and is captured the same way through the browser, with the resulting clip (or a handful of extracted frames) sent onward to the AI pipeline exactly like a photo.</w:t>
      </w:r>
    </w:p>
    <w:p>
      <w:pPr>
        <w:pStyle w:val="Heading1"/>
        <w:pBdr>
          <w:bottom w:val="single" w:color="0B4F4A" w:sz="8" w:space="4"/>
        </w:pBdr>
        <w:spacing w:after="160" w:before="380"/>
      </w:pPr>
      <w:r>
        <w:rPr>
          <w:rFonts w:ascii="Cambria" w:cs="Cambria" w:eastAsia="Cambria" w:hAnsi="Cambria"/>
          <w:b/>
          <w:bCs/>
          <w:color w:val="073430"/>
          <w:sz w:val="30"/>
          <w:szCs w:val="30"/>
        </w:rPr>
        <w:t xml:space="preserve">5. How Each Device Connects to Dentia</w:t>
      </w:r>
    </w:p>
    <w:p>
      <w:pPr>
        <w:spacing w:after="160" w:line="276"/>
      </w:pPr>
      <w:r>
        <w:rPr>
          <w:b w:val="false"/>
          <w:bCs w:val="false"/>
          <w:i w:val="false"/>
          <w:iCs w:val="false"/>
          <w:color w:val="1E2B2A"/>
          <w:sz w:val="21"/>
          <w:szCs w:val="21"/>
        </w:rPr>
        <w:t xml:space="preserve">The critical distinction for the engineering team is that browsers can talk directly to UVC cameras, but cannot talk directly to X-ray sensors or OPG machines — those require a small local companion application. The table below maps each device type to its actual connection path.</w:t>
      </w:r>
    </w:p>
    <w:tbl>
      <w:tblPr>
        <w:tblW w:type="dxa" w:w="9701"/>
        <w:tblBorders>
          <w:top w:val="single" w:color="auto" w:sz="4"/>
          <w:left w:val="single" w:color="auto" w:sz="4"/>
          <w:bottom w:val="single" w:color="auto" w:sz="4"/>
          <w:right w:val="single" w:color="auto" w:sz="4"/>
          <w:insideH w:val="single" w:color="auto" w:sz="4"/>
          <w:insideV w:val="single" w:color="auto" w:sz="4"/>
        </w:tblBorders>
      </w:tblPr>
      <w:tblGrid>
        <w:gridCol w:w="2524"/>
        <w:gridCol w:w="2524"/>
        <w:gridCol w:w="4653"/>
      </w:tblGrid>
      <w:tr>
        <w:trPr>
          <w:tblHeader/>
        </w:trPr>
        <w:tc>
          <w:tcPr>
            <w:tcW w:type="dxa" w:w="2524"/>
            <w:shd w:fill="0B4F4A" w:val="clear"/>
            <w:tcMar>
              <w:top w:type="dxa" w:w="90"/>
              <w:left w:type="dxa" w:w="120"/>
              <w:bottom w:type="dxa" w:w="90"/>
              <w:right w:type="dxa" w:w="120"/>
            </w:tcMar>
            <w:vAlign w:val="center"/>
          </w:tcPr>
          <w:p>
            <w:r>
              <w:rPr>
                <w:b/>
                <w:bCs/>
                <w:color w:val="FFFFFF"/>
                <w:sz w:val="18"/>
                <w:szCs w:val="18"/>
              </w:rPr>
              <w:t xml:space="preserve">Device Type</w:t>
            </w:r>
          </w:p>
        </w:tc>
        <w:tc>
          <w:tcPr>
            <w:tcW w:type="dxa" w:w="2524"/>
            <w:shd w:fill="0B4F4A" w:val="clear"/>
            <w:tcMar>
              <w:top w:type="dxa" w:w="90"/>
              <w:left w:type="dxa" w:w="120"/>
              <w:bottom w:type="dxa" w:w="90"/>
              <w:right w:type="dxa" w:w="120"/>
            </w:tcMar>
            <w:vAlign w:val="center"/>
          </w:tcPr>
          <w:p>
            <w:r>
              <w:rPr>
                <w:b/>
                <w:bCs/>
                <w:color w:val="FFFFFF"/>
                <w:sz w:val="18"/>
                <w:szCs w:val="18"/>
              </w:rPr>
              <w:t xml:space="preserve">Connects As</w:t>
            </w:r>
          </w:p>
        </w:tc>
        <w:tc>
          <w:tcPr>
            <w:tcW w:type="dxa" w:w="4653"/>
            <w:shd w:fill="0B4F4A" w:val="clear"/>
            <w:tcMar>
              <w:top w:type="dxa" w:w="90"/>
              <w:left w:type="dxa" w:w="120"/>
              <w:bottom w:type="dxa" w:w="90"/>
              <w:right w:type="dxa" w:w="120"/>
            </w:tcMar>
            <w:vAlign w:val="center"/>
          </w:tcPr>
          <w:p>
            <w:r>
              <w:rPr>
                <w:b/>
                <w:bCs/>
                <w:color w:val="FFFFFF"/>
                <w:sz w:val="18"/>
                <w:szCs w:val="18"/>
              </w:rPr>
              <w:t xml:space="preserve">Capture Method Into Dentia</w:t>
            </w:r>
          </w:p>
        </w:tc>
      </w:tr>
      <w:tr>
        <w:tc>
          <w:tcPr>
            <w:tcW w:type="dxa" w:w="2524"/>
            <w:tcMar>
              <w:top w:type="dxa" w:w="90"/>
              <w:left w:type="dxa" w:w="120"/>
              <w:bottom w:type="dxa" w:w="90"/>
              <w:right w:type="dxa" w:w="120"/>
            </w:tcMar>
            <w:vAlign w:val="center"/>
          </w:tcPr>
          <w:p>
            <w:r>
              <w:rPr>
                <w:b w:val="false"/>
                <w:bCs w:val="false"/>
                <w:color w:val="1E2B2A"/>
                <w:sz w:val="18"/>
                <w:szCs w:val="18"/>
              </w:rPr>
              <w:t xml:space="preserve">Intraoral X-ray sensor (RVG)</w:t>
            </w:r>
          </w:p>
        </w:tc>
        <w:tc>
          <w:tcPr>
            <w:tcW w:type="dxa" w:w="2524"/>
            <w:tcMar>
              <w:top w:type="dxa" w:w="90"/>
              <w:left w:type="dxa" w:w="120"/>
              <w:bottom w:type="dxa" w:w="90"/>
              <w:right w:type="dxa" w:w="120"/>
            </w:tcMar>
            <w:vAlign w:val="center"/>
          </w:tcPr>
          <w:p>
            <w:r>
              <w:rPr>
                <w:b w:val="false"/>
                <w:bCs w:val="false"/>
                <w:color w:val="1E2B2A"/>
                <w:sz w:val="18"/>
                <w:szCs w:val="18"/>
              </w:rPr>
              <w:t xml:space="preserve">TWAIN / vendor SDK imaging source</w:t>
            </w:r>
          </w:p>
        </w:tc>
        <w:tc>
          <w:tcPr>
            <w:tcW w:type="dxa" w:w="4653"/>
            <w:tcMar>
              <w:top w:type="dxa" w:w="90"/>
              <w:left w:type="dxa" w:w="120"/>
              <w:bottom w:type="dxa" w:w="90"/>
              <w:right w:type="dxa" w:w="120"/>
            </w:tcMar>
            <w:vAlign w:val="center"/>
          </w:tcPr>
          <w:p>
            <w:r>
              <w:rPr>
                <w:b w:val="false"/>
                <w:bCs w:val="false"/>
                <w:color w:val="1E2B2A"/>
                <w:sz w:val="18"/>
                <w:szCs w:val="18"/>
              </w:rPr>
              <w:t xml:space="preserve">Local Capture Bridge watches the sensor's export folder or calls its SDK, then auto-uploads to Imaging &amp; X-Rays</w:t>
            </w:r>
          </w:p>
        </w:tc>
      </w:tr>
      <w:tr>
        <w:tc>
          <w:tcPr>
            <w:tcW w:type="dxa" w:w="2524"/>
            <w:shd w:fill="F2F7F6" w:val="clear"/>
            <w:tcMar>
              <w:top w:type="dxa" w:w="90"/>
              <w:left w:type="dxa" w:w="120"/>
              <w:bottom w:type="dxa" w:w="90"/>
              <w:right w:type="dxa" w:w="120"/>
            </w:tcMar>
            <w:vAlign w:val="center"/>
          </w:tcPr>
          <w:p>
            <w:r>
              <w:rPr>
                <w:b w:val="false"/>
                <w:bCs w:val="false"/>
                <w:color w:val="1E2B2A"/>
                <w:sz w:val="18"/>
                <w:szCs w:val="18"/>
              </w:rPr>
              <w:t xml:space="preserve">Panoramic / Cephalometric (OPG)</w:t>
            </w:r>
          </w:p>
        </w:tc>
        <w:tc>
          <w:tcPr>
            <w:tcW w:type="dxa" w:w="2524"/>
            <w:shd w:fill="F2F7F6" w:val="clear"/>
            <w:tcMar>
              <w:top w:type="dxa" w:w="90"/>
              <w:left w:type="dxa" w:w="120"/>
              <w:bottom w:type="dxa" w:w="90"/>
              <w:right w:type="dxa" w:w="120"/>
            </w:tcMar>
            <w:vAlign w:val="center"/>
          </w:tcPr>
          <w:p>
            <w:r>
              <w:rPr>
                <w:b w:val="false"/>
                <w:bCs w:val="false"/>
                <w:color w:val="1E2B2A"/>
                <w:sz w:val="18"/>
                <w:szCs w:val="18"/>
              </w:rPr>
              <w:t xml:space="preserve">Network DICOM export or TWAIN bridge</w:t>
            </w:r>
          </w:p>
        </w:tc>
        <w:tc>
          <w:tcPr>
            <w:tcW w:type="dxa" w:w="4653"/>
            <w:shd w:fill="F2F7F6" w:val="clear"/>
            <w:tcMar>
              <w:top w:type="dxa" w:w="90"/>
              <w:left w:type="dxa" w:w="120"/>
              <w:bottom w:type="dxa" w:w="90"/>
              <w:right w:type="dxa" w:w="120"/>
            </w:tcMar>
            <w:vAlign w:val="center"/>
          </w:tcPr>
          <w:p>
            <w:r>
              <w:rPr>
                <w:b w:val="false"/>
                <w:bCs w:val="false"/>
                <w:color w:val="1E2B2A"/>
                <w:sz w:val="18"/>
                <w:szCs w:val="18"/>
              </w:rPr>
              <w:t xml:space="preserve">Local Capture Bridge polls the shared export path / DICOM node and auto-uploads new studies</w:t>
            </w:r>
          </w:p>
        </w:tc>
      </w:tr>
      <w:tr>
        <w:tc>
          <w:tcPr>
            <w:tcW w:type="dxa" w:w="2524"/>
            <w:tcMar>
              <w:top w:type="dxa" w:w="90"/>
              <w:left w:type="dxa" w:w="120"/>
              <w:bottom w:type="dxa" w:w="90"/>
              <w:right w:type="dxa" w:w="120"/>
            </w:tcMar>
            <w:vAlign w:val="center"/>
          </w:tcPr>
          <w:p>
            <w:r>
              <w:rPr>
                <w:b w:val="false"/>
                <w:bCs w:val="false"/>
                <w:color w:val="1E2B2A"/>
                <w:sz w:val="18"/>
                <w:szCs w:val="18"/>
              </w:rPr>
              <w:t xml:space="preserve">Intraoral camera (wired)</w:t>
            </w:r>
          </w:p>
        </w:tc>
        <w:tc>
          <w:tcPr>
            <w:tcW w:type="dxa" w:w="2524"/>
            <w:tcMar>
              <w:top w:type="dxa" w:w="90"/>
              <w:left w:type="dxa" w:w="120"/>
              <w:bottom w:type="dxa" w:w="90"/>
              <w:right w:type="dxa" w:w="120"/>
            </w:tcMar>
            <w:vAlign w:val="center"/>
          </w:tcPr>
          <w:p>
            <w:r>
              <w:rPr>
                <w:b w:val="false"/>
                <w:bCs w:val="false"/>
                <w:color w:val="1E2B2A"/>
                <w:sz w:val="18"/>
                <w:szCs w:val="18"/>
              </w:rPr>
              <w:t xml:space="preserve">USB Video Class (UVC) — like a webcam</w:t>
            </w:r>
          </w:p>
        </w:tc>
        <w:tc>
          <w:tcPr>
            <w:tcW w:type="dxa" w:w="4653"/>
            <w:tcMar>
              <w:top w:type="dxa" w:w="90"/>
              <w:left w:type="dxa" w:w="120"/>
              <w:bottom w:type="dxa" w:w="90"/>
              <w:right w:type="dxa" w:w="120"/>
            </w:tcMar>
            <w:vAlign w:val="center"/>
          </w:tcPr>
          <w:p>
            <w:r>
              <w:rPr>
                <w:b w:val="false"/>
                <w:bCs w:val="false"/>
                <w:color w:val="1E2B2A"/>
                <w:sz w:val="18"/>
                <w:szCs w:val="18"/>
              </w:rPr>
              <w:t xml:space="preserve">Browser captures directly via getUserMedia(); “Capture” button saves the frame straight to the patient record</w:t>
            </w:r>
          </w:p>
        </w:tc>
      </w:tr>
      <w:tr>
        <w:tc>
          <w:tcPr>
            <w:tcW w:type="dxa" w:w="2524"/>
            <w:shd w:fill="F2F7F6" w:val="clear"/>
            <w:tcMar>
              <w:top w:type="dxa" w:w="90"/>
              <w:left w:type="dxa" w:w="120"/>
              <w:bottom w:type="dxa" w:w="90"/>
              <w:right w:type="dxa" w:w="120"/>
            </w:tcMar>
            <w:vAlign w:val="center"/>
          </w:tcPr>
          <w:p>
            <w:r>
              <w:rPr>
                <w:b w:val="false"/>
                <w:bCs w:val="false"/>
                <w:color w:val="1E2B2A"/>
                <w:sz w:val="18"/>
                <w:szCs w:val="18"/>
              </w:rPr>
              <w:t xml:space="preserve">Intraoral camera (Wi-Fi/wireless)</w:t>
            </w:r>
          </w:p>
        </w:tc>
        <w:tc>
          <w:tcPr>
            <w:tcW w:type="dxa" w:w="2524"/>
            <w:shd w:fill="F2F7F6" w:val="clear"/>
            <w:tcMar>
              <w:top w:type="dxa" w:w="90"/>
              <w:left w:type="dxa" w:w="120"/>
              <w:bottom w:type="dxa" w:w="90"/>
              <w:right w:type="dxa" w:w="120"/>
            </w:tcMar>
            <w:vAlign w:val="center"/>
          </w:tcPr>
          <w:p>
            <w:r>
              <w:rPr>
                <w:b w:val="false"/>
                <w:bCs w:val="false"/>
                <w:color w:val="1E2B2A"/>
                <w:sz w:val="18"/>
                <w:szCs w:val="18"/>
              </w:rPr>
              <w:t xml:space="preserve">Vendor app streaming to browser or local network</w:t>
            </w:r>
          </w:p>
        </w:tc>
        <w:tc>
          <w:tcPr>
            <w:tcW w:type="dxa" w:w="4653"/>
            <w:shd w:fill="F2F7F6" w:val="clear"/>
            <w:tcMar>
              <w:top w:type="dxa" w:w="90"/>
              <w:left w:type="dxa" w:w="120"/>
              <w:bottom w:type="dxa" w:w="90"/>
              <w:right w:type="dxa" w:w="120"/>
            </w:tcMar>
            <w:vAlign w:val="center"/>
          </w:tcPr>
          <w:p>
            <w:r>
              <w:rPr>
                <w:b w:val="false"/>
                <w:bCs w:val="false"/>
                <w:color w:val="1E2B2A"/>
                <w:sz w:val="18"/>
                <w:szCs w:val="18"/>
              </w:rPr>
              <w:t xml:space="preserve">Companion app relays the feed to a local port the browser reads, or vendor SDK pushes frames to Dentia's upload endpoint</w:t>
            </w:r>
          </w:p>
        </w:tc>
      </w:tr>
      <w:tr>
        <w:tc>
          <w:tcPr>
            <w:tcW w:type="dxa" w:w="2524"/>
            <w:tcMar>
              <w:top w:type="dxa" w:w="90"/>
              <w:left w:type="dxa" w:w="120"/>
              <w:bottom w:type="dxa" w:w="90"/>
              <w:right w:type="dxa" w:w="120"/>
            </w:tcMar>
            <w:vAlign w:val="center"/>
          </w:tcPr>
          <w:p>
            <w:r>
              <w:rPr>
                <w:b w:val="false"/>
                <w:bCs w:val="false"/>
                <w:color w:val="1E2B2A"/>
                <w:sz w:val="18"/>
                <w:szCs w:val="18"/>
              </w:rPr>
              <w:t xml:space="preserve">Webcam (consultation video)</w:t>
            </w:r>
          </w:p>
        </w:tc>
        <w:tc>
          <w:tcPr>
            <w:tcW w:type="dxa" w:w="2524"/>
            <w:tcMar>
              <w:top w:type="dxa" w:w="90"/>
              <w:left w:type="dxa" w:w="120"/>
              <w:bottom w:type="dxa" w:w="90"/>
              <w:right w:type="dxa" w:w="120"/>
            </w:tcMar>
            <w:vAlign w:val="center"/>
          </w:tcPr>
          <w:p>
            <w:r>
              <w:rPr>
                <w:b w:val="false"/>
                <w:bCs w:val="false"/>
                <w:color w:val="1E2B2A"/>
                <w:sz w:val="18"/>
                <w:szCs w:val="18"/>
              </w:rPr>
              <w:t xml:space="preserve">USB Video Class (UVC)</w:t>
            </w:r>
          </w:p>
        </w:tc>
        <w:tc>
          <w:tcPr>
            <w:tcW w:type="dxa" w:w="4653"/>
            <w:tcMar>
              <w:top w:type="dxa" w:w="90"/>
              <w:left w:type="dxa" w:w="120"/>
              <w:bottom w:type="dxa" w:w="90"/>
              <w:right w:type="dxa" w:w="120"/>
            </w:tcMar>
            <w:vAlign w:val="center"/>
          </w:tcPr>
          <w:p>
            <w:r>
              <w:rPr>
                <w:b w:val="false"/>
                <w:bCs w:val="false"/>
                <w:color w:val="1E2B2A"/>
                <w:sz w:val="18"/>
                <w:szCs w:val="18"/>
              </w:rPr>
              <w:t xml:space="preserve">Browser records short clips via MediaRecorder API; clip or key frames upload on Stop</w:t>
            </w:r>
          </w:p>
        </w:tc>
      </w:tr>
    </w:tbl>
    <w:p>
      <w:pPr>
        <w:pStyle w:val="Heading2"/>
        <w:spacing w:after="120" w:before="260"/>
      </w:pPr>
      <w:r>
        <w:rPr>
          <w:rFonts w:ascii="Cambria" w:cs="Cambria" w:eastAsia="Cambria" w:hAnsi="Cambria"/>
          <w:b/>
          <w:bCs/>
          <w:color w:val="0B4F4A"/>
          <w:sz w:val="24"/>
          <w:szCs w:val="24"/>
        </w:rPr>
        <w:t xml:space="preserve">5.1  The Local Capture Bridge (for X-ray &amp; OPG devices)</w:t>
      </w:r>
    </w:p>
    <w:p>
      <w:pPr>
        <w:spacing w:after="160" w:line="276"/>
      </w:pPr>
      <w:r>
        <w:rPr>
          <w:b w:val="false"/>
          <w:bCs w:val="false"/>
          <w:i w:val="false"/>
          <w:iCs w:val="false"/>
          <w:color w:val="1E2B2A"/>
          <w:sz w:val="21"/>
          <w:szCs w:val="21"/>
        </w:rPr>
        <w:t xml:space="preserve">Because browsers are sandboxed away from TWAIN drivers and DICOM ports for security reasons, X-ray sensors and OPG machines need a small always-on Windows helper — the Capture Bridge — installed once on the clinic PC. It does three things:</w:t>
      </w:r>
    </w:p>
    <w:p>
      <w:pPr>
        <w:pStyle w:val="ListParagraph"/>
        <w:numPr>
          <w:ilvl w:val="0"/>
          <w:numId w:val="4"/>
        </w:numPr>
        <w:spacing w:after="90"/>
      </w:pPr>
      <w:r>
        <w:rPr>
          <w:color w:val="1E2B2A"/>
          <w:sz w:val="21"/>
          <w:szCs w:val="21"/>
        </w:rPr>
        <w:t xml:space="preserve">Watches the folder (or DICOM node) the sensor/OPG software writes new images to.</w:t>
      </w:r>
    </w:p>
    <w:p>
      <w:pPr>
        <w:pStyle w:val="ListParagraph"/>
        <w:numPr>
          <w:ilvl w:val="0"/>
          <w:numId w:val="4"/>
        </w:numPr>
        <w:spacing w:after="90"/>
      </w:pPr>
      <w:r>
        <w:rPr>
          <w:color w:val="1E2B2A"/>
          <w:sz w:val="21"/>
          <w:szCs w:val="21"/>
        </w:rPr>
        <w:t xml:space="preserve">On a new file, tags it with the active patient ID and appointment from Dentia's open session, then uploads it to the Imaging &amp; X-Rays module over HTTPS.</w:t>
      </w:r>
    </w:p>
    <w:p>
      <w:pPr>
        <w:pStyle w:val="ListParagraph"/>
        <w:numPr>
          <w:ilvl w:val="0"/>
          <w:numId w:val="4"/>
        </w:numPr>
        <w:spacing w:after="90"/>
      </w:pPr>
      <w:r>
        <w:rPr>
          <w:color w:val="1E2B2A"/>
          <w:sz w:val="21"/>
          <w:szCs w:val="21"/>
        </w:rPr>
        <w:t xml:space="preserve">Notifies the open Dentia browser tab in real time (via a local WebSocket) so the new X-ray appears on screen within a second or two of exposure — no manual “browse and upload” step.</w:t>
      </w:r>
    </w:p>
    <w:p>
      <w:pPr>
        <w:spacing w:after="160" w:line="276"/>
      </w:pPr>
      <w:r>
        <w:rPr>
          <w:b w:val="false"/>
          <w:bCs w:val="false"/>
          <w:i w:val="false"/>
          <w:iCs w:val="false"/>
          <w:color w:val="1E2B2A"/>
          <w:sz w:val="21"/>
          <w:szCs w:val="21"/>
        </w:rPr>
        <w:t xml:space="preserve">This mirrors how existing practice-management systems (Dentrix, Eaglesoft, Open Dental) already integrate Schick, Dexis, Carestream, and Vatech sensors — a lightweight bridge service, not a browser plugin, is the standard pattern for TWAIN-based dental hardware.</w:t>
      </w:r>
    </w:p>
    <w:p>
      <w:pPr>
        <w:pStyle w:val="Heading2"/>
        <w:spacing w:after="120" w:before="260"/>
      </w:pPr>
      <w:r>
        <w:rPr>
          <w:rFonts w:ascii="Cambria" w:cs="Cambria" w:eastAsia="Cambria" w:hAnsi="Cambria"/>
          <w:b/>
          <w:bCs/>
          <w:color w:val="0B4F4A"/>
          <w:sz w:val="24"/>
          <w:szCs w:val="24"/>
        </w:rPr>
        <w:t xml:space="preserve">5.2  Browser-Native Capture (for intraoral cameras &amp; webcams)</w:t>
      </w:r>
    </w:p>
    <w:p>
      <w:pPr>
        <w:spacing w:after="160" w:line="276"/>
      </w:pPr>
      <w:r>
        <w:rPr>
          <w:b w:val="false"/>
          <w:bCs w:val="false"/>
          <w:i w:val="false"/>
          <w:iCs w:val="false"/>
          <w:color w:val="1E2B2A"/>
          <w:sz w:val="21"/>
          <w:szCs w:val="21"/>
        </w:rPr>
        <w:t xml:space="preserve">UVC cameras need no bridge. Dentia's web app requests camera access the same way a video-call app does, lists the connected camera(s) — including a USB intraoral camera appearing alongside any built-in webcam — lets the dentist pick the device and preview the live feed, and offers a Capture Photo or Record Clip control right inside the patient chart. The saved photo or clip is uploaded to Imaging &amp; X-Rays immediately, tagged to the current patient, tooth (if selected on the odontogram first), and visit.</w:t>
      </w:r>
    </w:p>
    <w:p>
      <w:r>
        <w:br w:type="page"/>
      </w:r>
    </w:p>
    <w:p>
      <w:pPr>
        <w:pStyle w:val="Heading1"/>
        <w:pBdr>
          <w:bottom w:val="single" w:color="0B4F4A" w:sz="8" w:space="4"/>
        </w:pBdr>
        <w:spacing w:after="160" w:before="380"/>
      </w:pPr>
      <w:r>
        <w:rPr>
          <w:rFonts w:ascii="Cambria" w:cs="Cambria" w:eastAsia="Cambria" w:hAnsi="Cambria"/>
          <w:b/>
          <w:bCs/>
          <w:color w:val="073430"/>
          <w:sz w:val="30"/>
          <w:szCs w:val="30"/>
        </w:rPr>
        <w:t xml:space="preserve">6. Groq AI Observation Pipeline</w:t>
      </w:r>
    </w:p>
    <w:p>
      <w:pPr>
        <w:spacing w:after="160" w:line="276"/>
      </w:pPr>
      <w:r>
        <w:rPr>
          <w:b w:val="false"/>
          <w:bCs w:val="false"/>
          <w:i w:val="false"/>
          <w:iCs w:val="false"/>
          <w:color w:val="1E2B2A"/>
          <w:sz w:val="21"/>
          <w:szCs w:val="21"/>
        </w:rPr>
        <w:t xml:space="preserve">Once an image (or a small set of extracted video frames) lands in Imaging &amp; X-Rays, Dentia's backend sends it to Groq's multimodal API for analysis. Groq is used here specifically for its very low inference latency — the goal is a clinical read appearing in seconds while the dentist is still chairside, not a batch job reviewed later.</w:t>
      </w:r>
    </w:p>
    <w:p>
      <w:pPr>
        <w:pStyle w:val="Heading2"/>
        <w:spacing w:after="120" w:before="260"/>
      </w:pPr>
      <w:r>
        <w:rPr>
          <w:rFonts w:ascii="Cambria" w:cs="Cambria" w:eastAsia="Cambria" w:hAnsi="Cambria"/>
          <w:b/>
          <w:bCs/>
          <w:color w:val="0B4F4A"/>
          <w:sz w:val="24"/>
          <w:szCs w:val="24"/>
        </w:rPr>
        <w:t xml:space="preserve">6.1  Model &amp; API Call</w:t>
      </w:r>
    </w:p>
    <w:p>
      <w:pPr>
        <w:spacing w:after="160" w:line="276"/>
      </w:pPr>
      <w:r>
        <w:rPr>
          <w:b w:val="false"/>
          <w:bCs w:val="false"/>
          <w:i w:val="false"/>
          <w:iCs w:val="false"/>
          <w:color w:val="1E2B2A"/>
          <w:sz w:val="21"/>
          <w:szCs w:val="21"/>
        </w:rPr>
        <w:t xml:space="preserve">Groq's current vision-capable model (a 27B-parameter multimodal model supporting image plus text input and native JSON-mode output) receives the image alongside a dental-specific system prompt over Groq's OpenAI-compatible chat completions endpoint. The image is base64-encoded and embedded in the request; Groq returns a response in well under a second for a single image.</w:t>
      </w:r>
    </w:p>
    <w:p>
      <w:pPr>
        <w:pStyle w:val="ListParagraph"/>
        <w:numPr>
          <w:ilvl w:val="0"/>
          <w:numId w:val="4"/>
        </w:numPr>
        <w:spacing w:after="90"/>
      </w:pPr>
      <w:r>
        <w:rPr>
          <w:color w:val="1E2B2A"/>
          <w:sz w:val="21"/>
          <w:szCs w:val="21"/>
        </w:rPr>
        <w:t xml:space="preserve">Endpoint: chat completions API (OpenAI SDK-compatible), model set to Groq's current vision model.</w:t>
      </w:r>
    </w:p>
    <w:p>
      <w:pPr>
        <w:pStyle w:val="ListParagraph"/>
        <w:numPr>
          <w:ilvl w:val="0"/>
          <w:numId w:val="4"/>
        </w:numPr>
        <w:spacing w:after="90"/>
      </w:pPr>
      <w:r>
        <w:rPr>
          <w:color w:val="1E2B2A"/>
          <w:sz w:val="21"/>
          <w:szCs w:val="21"/>
        </w:rPr>
        <w:t xml:space="preserve">Input: base64 image + a system prompt constraining the model to dental findings and Dentia's JSON schema.</w:t>
      </w:r>
    </w:p>
    <w:p>
      <w:pPr>
        <w:pStyle w:val="ListParagraph"/>
        <w:numPr>
          <w:ilvl w:val="0"/>
          <w:numId w:val="4"/>
        </w:numPr>
        <w:spacing w:after="90"/>
      </w:pPr>
      <w:r>
        <w:rPr>
          <w:color w:val="1E2B2A"/>
          <w:sz w:val="21"/>
          <w:szCs w:val="21"/>
        </w:rPr>
        <w:t xml:space="preserve">Output mode: JSON mode, so the response is guaranteed parseable — no free-text scraping.</w:t>
      </w:r>
    </w:p>
    <w:p>
      <w:pPr>
        <w:pStyle w:val="Heading2"/>
        <w:spacing w:after="120" w:before="260"/>
      </w:pPr>
      <w:r>
        <w:rPr>
          <w:rFonts w:ascii="Cambria" w:cs="Cambria" w:eastAsia="Cambria" w:hAnsi="Cambria"/>
          <w:b/>
          <w:bCs/>
          <w:color w:val="0B4F4A"/>
          <w:sz w:val="24"/>
          <w:szCs w:val="24"/>
        </w:rPr>
        <w:t xml:space="preserve">6.2  Prompt Design</w:t>
      </w:r>
    </w:p>
    <w:p>
      <w:pPr>
        <w:spacing w:after="160" w:line="276"/>
      </w:pPr>
      <w:r>
        <w:rPr>
          <w:b w:val="false"/>
          <w:bCs w:val="false"/>
          <w:i w:val="false"/>
          <w:iCs w:val="false"/>
          <w:color w:val="1E2B2A"/>
          <w:sz w:val="21"/>
          <w:szCs w:val="21"/>
        </w:rPr>
        <w:t xml:space="preserve">The system prompt does three jobs: it tells the model what kind of image it is looking at (periapical X-ray, panoramic, intraoral photo, or video frame), constrains its vocabulary to Dentia's existing condition and CDT taxonomy (Section 3 of the Clinical Manual), and forces tooth-number references to the active numbering system (Universal or FDI) already selected for that patient.</w:t>
      </w:r>
    </w:p>
    <w:p>
      <w:pPr>
        <w:pStyle w:val="ListParagraph"/>
        <w:numPr>
          <w:ilvl w:val="0"/>
          <w:numId w:val="4"/>
        </w:numPr>
        <w:spacing w:after="90"/>
      </w:pPr>
      <w:r>
        <w:rPr>
          <w:color w:val="1E2B2A"/>
          <w:sz w:val="21"/>
          <w:szCs w:val="21"/>
        </w:rPr>
        <w:t xml:space="preserve">Modality context: “This is a periapical radiograph of tooth #19” or “This is a live intraoral photo, unlabeled — identify the visible tooth/teeth.”</w:t>
      </w:r>
    </w:p>
    <w:p>
      <w:pPr>
        <w:pStyle w:val="ListParagraph"/>
        <w:numPr>
          <w:ilvl w:val="0"/>
          <w:numId w:val="4"/>
        </w:numPr>
        <w:spacing w:after="90"/>
      </w:pPr>
      <w:r>
        <w:rPr>
          <w:color w:val="1E2B2A"/>
          <w:sz w:val="21"/>
          <w:szCs w:val="21"/>
        </w:rPr>
        <w:t xml:space="preserve">Constrained vocabulary: caries, periapical radiolucency, bone loss, fracture, calculus, restoration, missing tooth, implant, impaction — matched to Dentia's condition legend and CDT code list.</w:t>
      </w:r>
    </w:p>
    <w:p>
      <w:pPr>
        <w:pStyle w:val="ListParagraph"/>
        <w:numPr>
          <w:ilvl w:val="0"/>
          <w:numId w:val="4"/>
        </w:numPr>
        <w:spacing w:after="90"/>
      </w:pPr>
      <w:r>
        <w:rPr>
          <w:color w:val="1E2B2A"/>
          <w:sz w:val="21"/>
          <w:szCs w:val="21"/>
        </w:rPr>
        <w:t xml:space="preserve">Confidence flag: the model scores its own certainty per finding so low-confidence reads are visually flagged for the dentist rather than silently applied.</w:t>
      </w:r>
    </w:p>
    <w:p>
      <w:pPr>
        <w:pStyle w:val="Heading2"/>
        <w:spacing w:after="120" w:before="260"/>
      </w:pPr>
      <w:r>
        <w:rPr>
          <w:rFonts w:ascii="Cambria" w:cs="Cambria" w:eastAsia="Cambria" w:hAnsi="Cambria"/>
          <w:b/>
          <w:bCs/>
          <w:color w:val="0B4F4A"/>
          <w:sz w:val="24"/>
          <w:szCs w:val="24"/>
        </w:rPr>
        <w:t xml:space="preserve">6.3  Structured Output Schema</w:t>
      </w:r>
    </w:p>
    <w:p>
      <w:pPr>
        <w:spacing w:after="160" w:line="276"/>
      </w:pPr>
      <w:r>
        <w:rPr>
          <w:b w:val="false"/>
          <w:bCs w:val="false"/>
          <w:i w:val="false"/>
          <w:iCs w:val="false"/>
          <w:color w:val="1E2B2A"/>
          <w:sz w:val="21"/>
          <w:szCs w:val="21"/>
        </w:rPr>
        <w:t xml:space="preserve">Groq's JSON mode returns a fixed schema so the backend can act on it programmatically rather than parsing prose:</w:t>
      </w:r>
    </w:p>
    <w:tbl>
      <w:tblPr>
        <w:tblW w:type="dxa" w:w="9699"/>
        <w:tblBorders>
          <w:top w:val="single" w:color="auto" w:sz="4"/>
          <w:left w:val="single" w:color="auto" w:sz="4"/>
          <w:bottom w:val="single" w:color="auto" w:sz="4"/>
          <w:right w:val="single" w:color="auto" w:sz="4"/>
          <w:insideH w:val="single" w:color="auto" w:sz="4"/>
          <w:insideV w:val="single" w:color="auto" w:sz="4"/>
        </w:tblBorders>
      </w:tblPr>
      <w:tblGrid>
        <w:gridCol w:w="2050"/>
        <w:gridCol w:w="3312"/>
        <w:gridCol w:w="4337"/>
      </w:tblGrid>
      <w:tr>
        <w:trPr>
          <w:tblHeader/>
        </w:trPr>
        <w:tc>
          <w:tcPr>
            <w:tcW w:type="dxa" w:w="2050"/>
            <w:shd w:fill="0B4F4A" w:val="clear"/>
            <w:tcMar>
              <w:top w:type="dxa" w:w="90"/>
              <w:left w:type="dxa" w:w="120"/>
              <w:bottom w:type="dxa" w:w="90"/>
              <w:right w:type="dxa" w:w="120"/>
            </w:tcMar>
            <w:vAlign w:val="center"/>
          </w:tcPr>
          <w:p>
            <w:r>
              <w:rPr>
                <w:b/>
                <w:bCs/>
                <w:color w:val="FFFFFF"/>
                <w:sz w:val="18"/>
                <w:szCs w:val="18"/>
              </w:rPr>
              <w:t xml:space="preserve">Field</w:t>
            </w:r>
          </w:p>
        </w:tc>
        <w:tc>
          <w:tcPr>
            <w:tcW w:type="dxa" w:w="3312"/>
            <w:shd w:fill="0B4F4A" w:val="clear"/>
            <w:tcMar>
              <w:top w:type="dxa" w:w="90"/>
              <w:left w:type="dxa" w:w="120"/>
              <w:bottom w:type="dxa" w:w="90"/>
              <w:right w:type="dxa" w:w="120"/>
            </w:tcMar>
            <w:vAlign w:val="center"/>
          </w:tcPr>
          <w:p>
            <w:r>
              <w:rPr>
                <w:b/>
                <w:bCs/>
                <w:color w:val="FFFFFF"/>
                <w:sz w:val="18"/>
                <w:szCs w:val="18"/>
              </w:rPr>
              <w:t xml:space="preserve">Example Value</w:t>
            </w:r>
          </w:p>
        </w:tc>
        <w:tc>
          <w:tcPr>
            <w:tcW w:type="dxa" w:w="4337"/>
            <w:shd w:fill="0B4F4A" w:val="clear"/>
            <w:tcMar>
              <w:top w:type="dxa" w:w="90"/>
              <w:left w:type="dxa" w:w="120"/>
              <w:bottom w:type="dxa" w:w="90"/>
              <w:right w:type="dxa" w:w="120"/>
            </w:tcMar>
            <w:vAlign w:val="center"/>
          </w:tcPr>
          <w:p>
            <w:r>
              <w:rPr>
                <w:b/>
                <w:bCs/>
                <w:color w:val="FFFFFF"/>
                <w:sz w:val="18"/>
                <w:szCs w:val="18"/>
              </w:rPr>
              <w:t xml:space="preserve">Purpose</w:t>
            </w:r>
          </w:p>
        </w:tc>
      </w:tr>
      <w:tr>
        <w:tc>
          <w:tcPr>
            <w:tcW w:type="dxa" w:w="2050"/>
            <w:tcMar>
              <w:top w:type="dxa" w:w="90"/>
              <w:left w:type="dxa" w:w="120"/>
              <w:bottom w:type="dxa" w:w="90"/>
              <w:right w:type="dxa" w:w="120"/>
            </w:tcMar>
            <w:vAlign w:val="center"/>
          </w:tcPr>
          <w:p>
            <w:r>
              <w:rPr>
                <w:b w:val="false"/>
                <w:bCs w:val="false"/>
                <w:color w:val="1E2B2A"/>
                <w:sz w:val="18"/>
                <w:szCs w:val="18"/>
              </w:rPr>
              <w:t xml:space="preserve">toothNumber</w:t>
            </w:r>
          </w:p>
        </w:tc>
        <w:tc>
          <w:tcPr>
            <w:tcW w:type="dxa" w:w="3312"/>
            <w:tcMar>
              <w:top w:type="dxa" w:w="90"/>
              <w:left w:type="dxa" w:w="120"/>
              <w:bottom w:type="dxa" w:w="90"/>
              <w:right w:type="dxa" w:w="120"/>
            </w:tcMar>
            <w:vAlign w:val="center"/>
          </w:tcPr>
          <w:p>
            <w:r>
              <w:rPr>
                <w:b w:val="false"/>
                <w:bCs w:val="false"/>
                <w:color w:val="1E2B2A"/>
                <w:sz w:val="18"/>
                <w:szCs w:val="18"/>
              </w:rPr>
              <w:t xml:space="preserve">"19"</w:t>
            </w:r>
          </w:p>
        </w:tc>
        <w:tc>
          <w:tcPr>
            <w:tcW w:type="dxa" w:w="4337"/>
            <w:tcMar>
              <w:top w:type="dxa" w:w="90"/>
              <w:left w:type="dxa" w:w="120"/>
              <w:bottom w:type="dxa" w:w="90"/>
              <w:right w:type="dxa" w:w="120"/>
            </w:tcMar>
            <w:vAlign w:val="center"/>
          </w:tcPr>
          <w:p>
            <w:r>
              <w:rPr>
                <w:b w:val="false"/>
                <w:bCs w:val="false"/>
                <w:color w:val="1E2B2A"/>
                <w:sz w:val="18"/>
                <w:szCs w:val="18"/>
              </w:rPr>
              <w:t xml:space="preserve">Maps the finding to a specific odontogram tooth</w:t>
            </w:r>
          </w:p>
        </w:tc>
      </w:tr>
      <w:tr>
        <w:tc>
          <w:tcPr>
            <w:tcW w:type="dxa" w:w="2050"/>
            <w:shd w:fill="F2F7F6" w:val="clear"/>
            <w:tcMar>
              <w:top w:type="dxa" w:w="90"/>
              <w:left w:type="dxa" w:w="120"/>
              <w:bottom w:type="dxa" w:w="90"/>
              <w:right w:type="dxa" w:w="120"/>
            </w:tcMar>
            <w:vAlign w:val="center"/>
          </w:tcPr>
          <w:p>
            <w:r>
              <w:rPr>
                <w:b w:val="false"/>
                <w:bCs w:val="false"/>
                <w:color w:val="1E2B2A"/>
                <w:sz w:val="18"/>
                <w:szCs w:val="18"/>
              </w:rPr>
              <w:t xml:space="preserve">numberingSystem</w:t>
            </w:r>
          </w:p>
        </w:tc>
        <w:tc>
          <w:tcPr>
            <w:tcW w:type="dxa" w:w="3312"/>
            <w:shd w:fill="F2F7F6" w:val="clear"/>
            <w:tcMar>
              <w:top w:type="dxa" w:w="90"/>
              <w:left w:type="dxa" w:w="120"/>
              <w:bottom w:type="dxa" w:w="90"/>
              <w:right w:type="dxa" w:w="120"/>
            </w:tcMar>
            <w:vAlign w:val="center"/>
          </w:tcPr>
          <w:p>
            <w:r>
              <w:rPr>
                <w:b w:val="false"/>
                <w:bCs w:val="false"/>
                <w:color w:val="1E2B2A"/>
                <w:sz w:val="18"/>
                <w:szCs w:val="18"/>
              </w:rPr>
              <w:t xml:space="preserve">"Universal"</w:t>
            </w:r>
          </w:p>
        </w:tc>
        <w:tc>
          <w:tcPr>
            <w:tcW w:type="dxa" w:w="4337"/>
            <w:shd w:fill="F2F7F6" w:val="clear"/>
            <w:tcMar>
              <w:top w:type="dxa" w:w="90"/>
              <w:left w:type="dxa" w:w="120"/>
              <w:bottom w:type="dxa" w:w="90"/>
              <w:right w:type="dxa" w:w="120"/>
            </w:tcMar>
            <w:vAlign w:val="center"/>
          </w:tcPr>
          <w:p>
            <w:r>
              <w:rPr>
                <w:b w:val="false"/>
                <w:bCs w:val="false"/>
                <w:color w:val="1E2B2A"/>
                <w:sz w:val="18"/>
                <w:szCs w:val="18"/>
              </w:rPr>
              <w:t xml:space="preserve">Confirms Universal vs FDI so the chart maps correctly</w:t>
            </w:r>
          </w:p>
        </w:tc>
      </w:tr>
      <w:tr>
        <w:tc>
          <w:tcPr>
            <w:tcW w:type="dxa" w:w="2050"/>
            <w:tcMar>
              <w:top w:type="dxa" w:w="90"/>
              <w:left w:type="dxa" w:w="120"/>
              <w:bottom w:type="dxa" w:w="90"/>
              <w:right w:type="dxa" w:w="120"/>
            </w:tcMar>
            <w:vAlign w:val="center"/>
          </w:tcPr>
          <w:p>
            <w:r>
              <w:rPr>
                <w:b w:val="false"/>
                <w:bCs w:val="false"/>
                <w:color w:val="1E2B2A"/>
                <w:sz w:val="18"/>
                <w:szCs w:val="18"/>
              </w:rPr>
              <w:t xml:space="preserve">surface</w:t>
            </w:r>
          </w:p>
        </w:tc>
        <w:tc>
          <w:tcPr>
            <w:tcW w:type="dxa" w:w="3312"/>
            <w:tcMar>
              <w:top w:type="dxa" w:w="90"/>
              <w:left w:type="dxa" w:w="120"/>
              <w:bottom w:type="dxa" w:w="90"/>
              <w:right w:type="dxa" w:w="120"/>
            </w:tcMar>
            <w:vAlign w:val="center"/>
          </w:tcPr>
          <w:p>
            <w:r>
              <w:rPr>
                <w:b w:val="false"/>
                <w:bCs w:val="false"/>
                <w:color w:val="1E2B2A"/>
                <w:sz w:val="18"/>
                <w:szCs w:val="18"/>
              </w:rPr>
              <w:t xml:space="preserve">["D", "O"]</w:t>
            </w:r>
          </w:p>
        </w:tc>
        <w:tc>
          <w:tcPr>
            <w:tcW w:type="dxa" w:w="4337"/>
            <w:tcMar>
              <w:top w:type="dxa" w:w="90"/>
              <w:left w:type="dxa" w:w="120"/>
              <w:bottom w:type="dxa" w:w="90"/>
              <w:right w:type="dxa" w:w="120"/>
            </w:tcMar>
            <w:vAlign w:val="center"/>
          </w:tcPr>
          <w:p>
            <w:r>
              <w:rPr>
                <w:b w:val="false"/>
                <w:bCs w:val="false"/>
                <w:color w:val="1E2B2A"/>
                <w:sz w:val="18"/>
                <w:szCs w:val="18"/>
              </w:rPr>
              <w:t xml:space="preserve">Which of the 5 surfaces (MODBL) are affected</w:t>
            </w:r>
          </w:p>
        </w:tc>
      </w:tr>
      <w:tr>
        <w:tc>
          <w:tcPr>
            <w:tcW w:type="dxa" w:w="2050"/>
            <w:shd w:fill="F2F7F6" w:val="clear"/>
            <w:tcMar>
              <w:top w:type="dxa" w:w="90"/>
              <w:left w:type="dxa" w:w="120"/>
              <w:bottom w:type="dxa" w:w="90"/>
              <w:right w:type="dxa" w:w="120"/>
            </w:tcMar>
            <w:vAlign w:val="center"/>
          </w:tcPr>
          <w:p>
            <w:r>
              <w:rPr>
                <w:b w:val="false"/>
                <w:bCs w:val="false"/>
                <w:color w:val="1E2B2A"/>
                <w:sz w:val="18"/>
                <w:szCs w:val="18"/>
              </w:rPr>
              <w:t xml:space="preserve">finding</w:t>
            </w:r>
          </w:p>
        </w:tc>
        <w:tc>
          <w:tcPr>
            <w:tcW w:type="dxa" w:w="3312"/>
            <w:shd w:fill="F2F7F6" w:val="clear"/>
            <w:tcMar>
              <w:top w:type="dxa" w:w="90"/>
              <w:left w:type="dxa" w:w="120"/>
              <w:bottom w:type="dxa" w:w="90"/>
              <w:right w:type="dxa" w:w="120"/>
            </w:tcMar>
            <w:vAlign w:val="center"/>
          </w:tcPr>
          <w:p>
            <w:r>
              <w:rPr>
                <w:b w:val="false"/>
                <w:bCs w:val="false"/>
                <w:color w:val="1E2B2A"/>
                <w:sz w:val="18"/>
                <w:szCs w:val="18"/>
              </w:rPr>
              <w:t xml:space="preserve">"Periapical radiolucency, ~3mm, distal apex"</w:t>
            </w:r>
          </w:p>
        </w:tc>
        <w:tc>
          <w:tcPr>
            <w:tcW w:type="dxa" w:w="4337"/>
            <w:shd w:fill="F2F7F6" w:val="clear"/>
            <w:tcMar>
              <w:top w:type="dxa" w:w="90"/>
              <w:left w:type="dxa" w:w="120"/>
              <w:bottom w:type="dxa" w:w="90"/>
              <w:right w:type="dxa" w:w="120"/>
            </w:tcMar>
            <w:vAlign w:val="center"/>
          </w:tcPr>
          <w:p>
            <w:r>
              <w:rPr>
                <w:b w:val="false"/>
                <w:bCs w:val="false"/>
                <w:color w:val="1E2B2A"/>
                <w:sz w:val="18"/>
                <w:szCs w:val="18"/>
              </w:rPr>
              <w:t xml:space="preserve">Human-readable clinical observation</w:t>
            </w:r>
          </w:p>
        </w:tc>
      </w:tr>
      <w:tr>
        <w:tc>
          <w:tcPr>
            <w:tcW w:type="dxa" w:w="2050"/>
            <w:tcMar>
              <w:top w:type="dxa" w:w="90"/>
              <w:left w:type="dxa" w:w="120"/>
              <w:bottom w:type="dxa" w:w="90"/>
              <w:right w:type="dxa" w:w="120"/>
            </w:tcMar>
            <w:vAlign w:val="center"/>
          </w:tcPr>
          <w:p>
            <w:r>
              <w:rPr>
                <w:b w:val="false"/>
                <w:bCs w:val="false"/>
                <w:color w:val="1E2B2A"/>
                <w:sz w:val="18"/>
                <w:szCs w:val="18"/>
              </w:rPr>
              <w:t xml:space="preserve">suggestedCondition</w:t>
            </w:r>
          </w:p>
        </w:tc>
        <w:tc>
          <w:tcPr>
            <w:tcW w:type="dxa" w:w="3312"/>
            <w:tcMar>
              <w:top w:type="dxa" w:w="90"/>
              <w:left w:type="dxa" w:w="120"/>
              <w:bottom w:type="dxa" w:w="90"/>
              <w:right w:type="dxa" w:w="120"/>
            </w:tcMar>
            <w:vAlign w:val="center"/>
          </w:tcPr>
          <w:p>
            <w:r>
              <w:rPr>
                <w:b w:val="false"/>
                <w:bCs w:val="false"/>
                <w:color w:val="1E2B2A"/>
                <w:sz w:val="18"/>
                <w:szCs w:val="18"/>
              </w:rPr>
              <w:t xml:space="preserve">"Root Canal Indicated"</w:t>
            </w:r>
          </w:p>
        </w:tc>
        <w:tc>
          <w:tcPr>
            <w:tcW w:type="dxa" w:w="4337"/>
            <w:tcMar>
              <w:top w:type="dxa" w:w="90"/>
              <w:left w:type="dxa" w:w="120"/>
              <w:bottom w:type="dxa" w:w="90"/>
              <w:right w:type="dxa" w:w="120"/>
            </w:tcMar>
            <w:vAlign w:val="center"/>
          </w:tcPr>
          <w:p>
            <w:r>
              <w:rPr>
                <w:b w:val="false"/>
                <w:bCs w:val="false"/>
                <w:color w:val="1E2B2A"/>
                <w:sz w:val="18"/>
                <w:szCs w:val="18"/>
              </w:rPr>
              <w:t xml:space="preserve">Maps to Dentia's condition color legend</w:t>
            </w:r>
          </w:p>
        </w:tc>
      </w:tr>
      <w:tr>
        <w:tc>
          <w:tcPr>
            <w:tcW w:type="dxa" w:w="2050"/>
            <w:shd w:fill="F2F7F6" w:val="clear"/>
            <w:tcMar>
              <w:top w:type="dxa" w:w="90"/>
              <w:left w:type="dxa" w:w="120"/>
              <w:bottom w:type="dxa" w:w="90"/>
              <w:right w:type="dxa" w:w="120"/>
            </w:tcMar>
            <w:vAlign w:val="center"/>
          </w:tcPr>
          <w:p>
            <w:r>
              <w:rPr>
                <w:b w:val="false"/>
                <w:bCs w:val="false"/>
                <w:color w:val="1E2B2A"/>
                <w:sz w:val="18"/>
                <w:szCs w:val="18"/>
              </w:rPr>
              <w:t xml:space="preserve">suggestedCdtCode</w:t>
            </w:r>
          </w:p>
        </w:tc>
        <w:tc>
          <w:tcPr>
            <w:tcW w:type="dxa" w:w="3312"/>
            <w:shd w:fill="F2F7F6" w:val="clear"/>
            <w:tcMar>
              <w:top w:type="dxa" w:w="90"/>
              <w:left w:type="dxa" w:w="120"/>
              <w:bottom w:type="dxa" w:w="90"/>
              <w:right w:type="dxa" w:w="120"/>
            </w:tcMar>
            <w:vAlign w:val="center"/>
          </w:tcPr>
          <w:p>
            <w:r>
              <w:rPr>
                <w:b w:val="false"/>
                <w:bCs w:val="false"/>
                <w:color w:val="1E2B2A"/>
                <w:sz w:val="18"/>
                <w:szCs w:val="18"/>
              </w:rPr>
              <w:t xml:space="preserve">"D3330"</w:t>
            </w:r>
          </w:p>
        </w:tc>
        <w:tc>
          <w:tcPr>
            <w:tcW w:type="dxa" w:w="4337"/>
            <w:shd w:fill="F2F7F6" w:val="clear"/>
            <w:tcMar>
              <w:top w:type="dxa" w:w="90"/>
              <w:left w:type="dxa" w:w="120"/>
              <w:bottom w:type="dxa" w:w="90"/>
              <w:right w:type="dxa" w:w="120"/>
            </w:tcMar>
            <w:vAlign w:val="center"/>
          </w:tcPr>
          <w:p>
            <w:r>
              <w:rPr>
                <w:b w:val="false"/>
                <w:bCs w:val="false"/>
                <w:color w:val="1E2B2A"/>
                <w:sz w:val="18"/>
                <w:szCs w:val="18"/>
              </w:rPr>
              <w:t xml:space="preserve">Draft CDT code for the proposed procedure</w:t>
            </w:r>
          </w:p>
        </w:tc>
      </w:tr>
      <w:tr>
        <w:tc>
          <w:tcPr>
            <w:tcW w:type="dxa" w:w="2050"/>
            <w:tcMar>
              <w:top w:type="dxa" w:w="90"/>
              <w:left w:type="dxa" w:w="120"/>
              <w:bottom w:type="dxa" w:w="90"/>
              <w:right w:type="dxa" w:w="120"/>
            </w:tcMar>
            <w:vAlign w:val="center"/>
          </w:tcPr>
          <w:p>
            <w:r>
              <w:rPr>
                <w:b w:val="false"/>
                <w:bCs w:val="false"/>
                <w:color w:val="1E2B2A"/>
                <w:sz w:val="18"/>
                <w:szCs w:val="18"/>
              </w:rPr>
              <w:t xml:space="preserve">confidence</w:t>
            </w:r>
          </w:p>
        </w:tc>
        <w:tc>
          <w:tcPr>
            <w:tcW w:type="dxa" w:w="3312"/>
            <w:tcMar>
              <w:top w:type="dxa" w:w="90"/>
              <w:left w:type="dxa" w:w="120"/>
              <w:bottom w:type="dxa" w:w="90"/>
              <w:right w:type="dxa" w:w="120"/>
            </w:tcMar>
            <w:vAlign w:val="center"/>
          </w:tcPr>
          <w:p>
            <w:r>
              <w:rPr>
                <w:b w:val="false"/>
                <w:bCs w:val="false"/>
                <w:color w:val="1E2B2A"/>
                <w:sz w:val="18"/>
                <w:szCs w:val="18"/>
              </w:rPr>
              <w:t xml:space="preserve">0.86</w:t>
            </w:r>
          </w:p>
        </w:tc>
        <w:tc>
          <w:tcPr>
            <w:tcW w:type="dxa" w:w="4337"/>
            <w:tcMar>
              <w:top w:type="dxa" w:w="90"/>
              <w:left w:type="dxa" w:w="120"/>
              <w:bottom w:type="dxa" w:w="90"/>
              <w:right w:type="dxa" w:w="120"/>
            </w:tcMar>
            <w:vAlign w:val="center"/>
          </w:tcPr>
          <w:p>
            <w:r>
              <w:rPr>
                <w:b w:val="false"/>
                <w:bCs w:val="false"/>
                <w:color w:val="1E2B2A"/>
                <w:sz w:val="18"/>
                <w:szCs w:val="18"/>
              </w:rPr>
              <w:t xml:space="preserve">Model's self-reported certainty (0–1)</w:t>
            </w:r>
          </w:p>
        </w:tc>
      </w:tr>
      <w:tr>
        <w:tc>
          <w:tcPr>
            <w:tcW w:type="dxa" w:w="2050"/>
            <w:shd w:fill="F2F7F6" w:val="clear"/>
            <w:tcMar>
              <w:top w:type="dxa" w:w="90"/>
              <w:left w:type="dxa" w:w="120"/>
              <w:bottom w:type="dxa" w:w="90"/>
              <w:right w:type="dxa" w:w="120"/>
            </w:tcMar>
            <w:vAlign w:val="center"/>
          </w:tcPr>
          <w:p>
            <w:r>
              <w:rPr>
                <w:b w:val="false"/>
                <w:bCs w:val="false"/>
                <w:color w:val="1E2B2A"/>
                <w:sz w:val="18"/>
                <w:szCs w:val="18"/>
              </w:rPr>
              <w:t xml:space="preserve">sourceImageId</w:t>
            </w:r>
          </w:p>
        </w:tc>
        <w:tc>
          <w:tcPr>
            <w:tcW w:type="dxa" w:w="3312"/>
            <w:shd w:fill="F2F7F6" w:val="clear"/>
            <w:tcMar>
              <w:top w:type="dxa" w:w="90"/>
              <w:left w:type="dxa" w:w="120"/>
              <w:bottom w:type="dxa" w:w="90"/>
              <w:right w:type="dxa" w:w="120"/>
            </w:tcMar>
            <w:vAlign w:val="center"/>
          </w:tcPr>
          <w:p>
            <w:r>
              <w:rPr>
                <w:b w:val="false"/>
                <w:bCs w:val="false"/>
                <w:color w:val="1E2B2A"/>
                <w:sz w:val="18"/>
                <w:szCs w:val="18"/>
              </w:rPr>
              <w:t xml:space="preserve">"radiograph_4471"</w:t>
            </w:r>
          </w:p>
        </w:tc>
        <w:tc>
          <w:tcPr>
            <w:tcW w:type="dxa" w:w="4337"/>
            <w:shd w:fill="F2F7F6" w:val="clear"/>
            <w:tcMar>
              <w:top w:type="dxa" w:w="90"/>
              <w:left w:type="dxa" w:w="120"/>
              <w:bottom w:type="dxa" w:w="90"/>
              <w:right w:type="dxa" w:w="120"/>
            </w:tcMar>
            <w:vAlign w:val="center"/>
          </w:tcPr>
          <w:p>
            <w:r>
              <w:rPr>
                <w:b w:val="false"/>
                <w:bCs w:val="false"/>
                <w:color w:val="1E2B2A"/>
                <w:sz w:val="18"/>
                <w:szCs w:val="18"/>
              </w:rPr>
              <w:t xml:space="preserve">Links the finding back to the original image in Imaging &amp; X-Rays</w:t>
            </w:r>
          </w:p>
        </w:tc>
      </w:tr>
    </w:tbl>
    <w:p>
      <w:pPr>
        <w:pStyle w:val="Heading1"/>
        <w:pBdr>
          <w:bottom w:val="single" w:color="0B4F4A" w:sz="8" w:space="4"/>
        </w:pBdr>
        <w:spacing w:after="160" w:before="380"/>
      </w:pPr>
      <w:r>
        <w:rPr>
          <w:rFonts w:ascii="Cambria" w:cs="Cambria" w:eastAsia="Cambria" w:hAnsi="Cambria"/>
          <w:b/>
          <w:bCs/>
          <w:color w:val="073430"/>
          <w:sz w:val="30"/>
          <w:szCs w:val="30"/>
        </w:rPr>
        <w:t xml:space="preserve">7. AI Clinical Notes Generation</w:t>
      </w:r>
    </w:p>
    <w:p>
      <w:pPr>
        <w:spacing w:after="160" w:line="276"/>
      </w:pPr>
      <w:r>
        <w:rPr>
          <w:b w:val="false"/>
          <w:bCs w:val="false"/>
          <w:i w:val="false"/>
          <w:iCs w:val="false"/>
          <w:color w:val="1E2B2A"/>
          <w:sz w:val="21"/>
          <w:szCs w:val="21"/>
        </w:rPr>
        <w:t xml:space="preserve">The structured findings from Section 6.3 are fed into the same 8-section SOAP template used by the Ambient AI Voice Scribe (Section 5.7 of the Clinical Manual), so an X-ray-triggered note and a voice-dictated note share one format and land in the same [dentist].[ClinicalLogs] / [dentist].[DentalNotes] tables.</w:t>
      </w:r>
    </w:p>
    <w:p>
      <w:pPr>
        <w:pStyle w:val="ListParagraph"/>
        <w:numPr>
          <w:ilvl w:val="0"/>
          <w:numId w:val="4"/>
        </w:numPr>
        <w:spacing w:after="90"/>
      </w:pPr>
      <w:r>
        <w:rPr>
          <w:color w:val="1E2B2A"/>
          <w:sz w:val="21"/>
          <w:szCs w:val="21"/>
        </w:rPr>
        <w:t xml:space="preserve">Objective Exam section is auto-populated with the imaging findings (e.g. “Periapical radiolucency noted at distal apex of #19 on periapical radiograph”).</w:t>
      </w:r>
    </w:p>
    <w:p>
      <w:pPr>
        <w:pStyle w:val="ListParagraph"/>
        <w:numPr>
          <w:ilvl w:val="0"/>
          <w:numId w:val="4"/>
        </w:numPr>
        <w:spacing w:after="90"/>
      </w:pPr>
      <w:r>
        <w:rPr>
          <w:color w:val="1E2B2A"/>
          <w:sz w:val="21"/>
          <w:szCs w:val="21"/>
        </w:rPr>
        <w:t xml:space="preserve">Assessment &amp; Diagnosis section receives a draft ICD-10 / clinical impression derived from the finding.</w:t>
      </w:r>
    </w:p>
    <w:p>
      <w:pPr>
        <w:pStyle w:val="ListParagraph"/>
        <w:numPr>
          <w:ilvl w:val="0"/>
          <w:numId w:val="4"/>
        </w:numPr>
        <w:spacing w:after="90"/>
      </w:pPr>
      <w:r>
        <w:rPr>
          <w:color w:val="1E2B2A"/>
          <w:sz w:val="21"/>
          <w:szCs w:val="21"/>
        </w:rPr>
        <w:t xml:space="preserve">Procedures Performed / Recommended is pre-filled with the suggested CDT code, awaiting the dentist's confirmation or edit.</w:t>
      </w:r>
    </w:p>
    <w:p>
      <w:pPr>
        <w:pStyle w:val="ListParagraph"/>
        <w:numPr>
          <w:ilvl w:val="0"/>
          <w:numId w:val="4"/>
        </w:numPr>
        <w:spacing w:after="90"/>
      </w:pPr>
      <w:r>
        <w:rPr>
          <w:color w:val="1E2B2A"/>
          <w:sz w:val="21"/>
          <w:szCs w:val="21"/>
        </w:rPr>
        <w:t xml:space="preserve">The source image itself is linked inline in the note, so anyone reviewing the chart later can open the exact X-ray or photo the AI read.</w:t>
      </w:r>
    </w:p>
    <w:p>
      <w:pPr>
        <w:pBdr>
          <w:top w:val="single" w:color="B5651D" w:sz="6" w:space="6"/>
          <w:bottom w:val="single" w:color="B5651D" w:sz="6" w:space="6"/>
        </w:pBdr>
        <w:shd w:fill="FBEBD9" w:val="clear"/>
        <w:spacing w:after="220" w:before="140"/>
      </w:pPr>
      <w:r>
        <w:rPr>
          <w:i/>
          <w:iCs/>
          <w:color w:val="6B3E12"/>
          <w:sz w:val="20"/>
          <w:szCs w:val="20"/>
        </w:rPr>
        <w:t xml:space="preserve">The AI note is always generated as a draft. The dentist reviews, edits if needed, and electronically signs it — identical to the existing voice-scribe workflow — before it becomes part of the permanent record.</w:t>
      </w:r>
    </w:p>
    <w:p>
      <w:pPr>
        <w:pStyle w:val="Heading1"/>
        <w:pBdr>
          <w:bottom w:val="single" w:color="0B4F4A" w:sz="8" w:space="4"/>
        </w:pBdr>
        <w:spacing w:after="160" w:before="380"/>
      </w:pPr>
      <w:r>
        <w:rPr>
          <w:rFonts w:ascii="Cambria" w:cs="Cambria" w:eastAsia="Cambria" w:hAnsi="Cambria"/>
          <w:b/>
          <w:bCs/>
          <w:color w:val="073430"/>
          <w:sz w:val="30"/>
          <w:szCs w:val="30"/>
        </w:rPr>
        <w:t xml:space="preserve">8. Automated Chart Updates &amp; Safety Controls</w:t>
      </w:r>
    </w:p>
    <w:p>
      <w:pPr>
        <w:spacing w:after="160" w:line="276"/>
      </w:pPr>
      <w:r>
        <w:rPr>
          <w:b w:val="false"/>
          <w:bCs w:val="false"/>
          <w:i w:val="false"/>
          <w:iCs w:val="false"/>
          <w:color w:val="1E2B2A"/>
          <w:sz w:val="21"/>
          <w:szCs w:val="21"/>
        </w:rPr>
        <w:t xml:space="preserve">The proposed odontogram change (tooth, surface, condition, CDT code) from Section 6.3 is rendered on the chart as a highlighted, pending overlay — visually distinct from confirmed chart data — rather than being written into [dentist].[TeethState] immediately.</w:t>
      </w:r>
    </w:p>
    <w:p>
      <w:pPr>
        <w:pStyle w:val="ListParagraph"/>
        <w:numPr>
          <w:ilvl w:val="0"/>
          <w:numId w:val="5"/>
        </w:numPr>
        <w:spacing w:after="90"/>
      </w:pPr>
      <w:r>
        <w:rPr>
          <w:color w:val="1E2B2A"/>
          <w:sz w:val="21"/>
          <w:szCs w:val="21"/>
        </w:rPr>
        <w:t xml:space="preserve">AI finding arrives and is shown as a dashed/pending marker on the relevant tooth, with the source image, finding text, and confidence score visible on hover or tap.</w:t>
      </w:r>
    </w:p>
    <w:p>
      <w:pPr>
        <w:pStyle w:val="ListParagraph"/>
        <w:numPr>
          <w:ilvl w:val="0"/>
          <w:numId w:val="5"/>
        </w:numPr>
        <w:spacing w:after="90"/>
      </w:pPr>
      <w:r>
        <w:rPr>
          <w:color w:val="1E2B2A"/>
          <w:sz w:val="21"/>
          <w:szCs w:val="21"/>
        </w:rPr>
        <w:t xml:space="preserve">The dentist taps the marker to accept, edit (e.g. change the surface or condition), or dismiss it.</w:t>
      </w:r>
    </w:p>
    <w:p>
      <w:pPr>
        <w:pStyle w:val="ListParagraph"/>
        <w:numPr>
          <w:ilvl w:val="0"/>
          <w:numId w:val="5"/>
        </w:numPr>
        <w:spacing w:after="90"/>
      </w:pPr>
      <w:r>
        <w:rPr>
          <w:color w:val="1E2B2A"/>
          <w:sz w:val="21"/>
          <w:szCs w:val="21"/>
        </w:rPr>
        <w:t xml:space="preserve">Only on Accept does the change get written to [dentist].[TeethState] and reflected in the permanent odontogram — following the same Manual Save Safety principle used throughout Dentia's diagnostic suites.</w:t>
      </w:r>
    </w:p>
    <w:p>
      <w:pPr>
        <w:pStyle w:val="ListParagraph"/>
        <w:numPr>
          <w:ilvl w:val="0"/>
          <w:numId w:val="5"/>
        </w:numPr>
        <w:spacing w:after="90"/>
      </w:pPr>
      <w:r>
        <w:rPr>
          <w:color w:val="1E2B2A"/>
          <w:sz w:val="21"/>
          <w:szCs w:val="21"/>
        </w:rPr>
        <w:t xml:space="preserve">Low-confidence findings (below a configurable threshold, e.g. 0.6) are shown but not auto-suggested for one-tap accept — they require the dentist to open the tooth detail view first.</w:t>
      </w:r>
    </w:p>
    <w:p>
      <w:r>
        <w:br w:type="page"/>
      </w:r>
    </w:p>
    <w:p>
      <w:pPr>
        <w:pStyle w:val="Heading1"/>
        <w:pBdr>
          <w:bottom w:val="single" w:color="0B4F4A" w:sz="8" w:space="4"/>
        </w:pBdr>
        <w:spacing w:after="160" w:before="380"/>
      </w:pPr>
      <w:r>
        <w:rPr>
          <w:rFonts w:ascii="Cambria" w:cs="Cambria" w:eastAsia="Cambria" w:hAnsi="Cambria"/>
          <w:b/>
          <w:bCs/>
          <w:color w:val="073430"/>
          <w:sz w:val="30"/>
          <w:szCs w:val="30"/>
        </w:rPr>
        <w:t xml:space="preserve">9. Imaging &amp; Video Devices Available in Pakistan</w:t>
      </w:r>
    </w:p>
    <w:p>
      <w:pPr>
        <w:spacing w:after="160" w:line="276"/>
      </w:pPr>
      <w:r>
        <w:rPr>
          <w:b w:val="false"/>
          <w:bCs w:val="false"/>
          <w:i w:val="false"/>
          <w:iCs w:val="false"/>
          <w:color w:val="1E2B2A"/>
          <w:sz w:val="21"/>
          <w:szCs w:val="21"/>
        </w:rPr>
        <w:t xml:space="preserve">The devices below are the categories of hardware realistically sourced by dental clinics in Pakistan today, either through local importers/distributors or regional suppliers serving South Asia. Exact pricing varies by importer and should be confirmed locally; the table focuses on connectivity, since that determines which capture path (Section 5) applies.</w:t>
      </w:r>
    </w:p>
    <w:p>
      <w:pPr>
        <w:pStyle w:val="Heading2"/>
        <w:spacing w:after="120" w:before="260"/>
      </w:pPr>
      <w:r>
        <w:rPr>
          <w:rFonts w:ascii="Cambria" w:cs="Cambria" w:eastAsia="Cambria" w:hAnsi="Cambria"/>
          <w:b/>
          <w:bCs/>
          <w:color w:val="0B4F4A"/>
          <w:sz w:val="24"/>
          <w:szCs w:val="24"/>
        </w:rPr>
        <w:t xml:space="preserve">9.1  Intraoral X-Ray Sensors (RVG)</w:t>
      </w:r>
    </w:p>
    <w:tbl>
      <w:tblPr>
        <w:tblW w:type="dxa" w:w="9699"/>
        <w:tblBorders>
          <w:top w:val="single" w:color="auto" w:sz="4"/>
          <w:left w:val="single" w:color="auto" w:sz="4"/>
          <w:bottom w:val="single" w:color="auto" w:sz="4"/>
          <w:right w:val="single" w:color="auto" w:sz="4"/>
          <w:insideH w:val="single" w:color="auto" w:sz="4"/>
          <w:insideV w:val="single" w:color="auto" w:sz="4"/>
        </w:tblBorders>
      </w:tblPr>
      <w:tblGrid>
        <w:gridCol w:w="2336"/>
        <w:gridCol w:w="1699"/>
        <w:gridCol w:w="2195"/>
        <w:gridCol w:w="3469"/>
      </w:tblGrid>
      <w:tr>
        <w:trPr>
          <w:tblHeader/>
        </w:trPr>
        <w:tc>
          <w:tcPr>
            <w:tcW w:type="dxa" w:w="2336"/>
            <w:shd w:fill="0B4F4A" w:val="clear"/>
            <w:tcMar>
              <w:top w:type="dxa" w:w="90"/>
              <w:left w:type="dxa" w:w="120"/>
              <w:bottom w:type="dxa" w:w="90"/>
              <w:right w:type="dxa" w:w="120"/>
            </w:tcMar>
            <w:vAlign w:val="center"/>
          </w:tcPr>
          <w:p>
            <w:r>
              <w:rPr>
                <w:b/>
                <w:bCs/>
                <w:color w:val="FFFFFF"/>
                <w:sz w:val="18"/>
                <w:szCs w:val="18"/>
              </w:rPr>
              <w:t xml:space="preserve">Brand / Model Family</w:t>
            </w:r>
          </w:p>
        </w:tc>
        <w:tc>
          <w:tcPr>
            <w:tcW w:type="dxa" w:w="1699"/>
            <w:shd w:fill="0B4F4A" w:val="clear"/>
            <w:tcMar>
              <w:top w:type="dxa" w:w="90"/>
              <w:left w:type="dxa" w:w="120"/>
              <w:bottom w:type="dxa" w:w="90"/>
              <w:right w:type="dxa" w:w="120"/>
            </w:tcMar>
            <w:vAlign w:val="center"/>
          </w:tcPr>
          <w:p>
            <w:r>
              <w:rPr>
                <w:b/>
                <w:bCs/>
                <w:color w:val="FFFFFF"/>
                <w:sz w:val="18"/>
                <w:szCs w:val="18"/>
              </w:rPr>
              <w:t xml:space="preserve">Sensor Type</w:t>
            </w:r>
          </w:p>
        </w:tc>
        <w:tc>
          <w:tcPr>
            <w:tcW w:type="dxa" w:w="2195"/>
            <w:shd w:fill="0B4F4A" w:val="clear"/>
            <w:tcMar>
              <w:top w:type="dxa" w:w="90"/>
              <w:left w:type="dxa" w:w="120"/>
              <w:bottom w:type="dxa" w:w="90"/>
              <w:right w:type="dxa" w:w="120"/>
            </w:tcMar>
            <w:vAlign w:val="center"/>
          </w:tcPr>
          <w:p>
            <w:r>
              <w:rPr>
                <w:b/>
                <w:bCs/>
                <w:color w:val="FFFFFF"/>
                <w:sz w:val="18"/>
                <w:szCs w:val="18"/>
              </w:rPr>
              <w:t xml:space="preserve">Connectivity</w:t>
            </w:r>
          </w:p>
        </w:tc>
        <w:tc>
          <w:tcPr>
            <w:tcW w:type="dxa" w:w="3469"/>
            <w:shd w:fill="0B4F4A" w:val="clear"/>
            <w:tcMar>
              <w:top w:type="dxa" w:w="90"/>
              <w:left w:type="dxa" w:w="120"/>
              <w:bottom w:type="dxa" w:w="90"/>
              <w:right w:type="dxa" w:w="120"/>
            </w:tcMar>
            <w:vAlign w:val="center"/>
          </w:tcPr>
          <w:p>
            <w:r>
              <w:rPr>
                <w:b/>
                <w:bCs/>
                <w:color w:val="FFFFFF"/>
                <w:sz w:val="18"/>
                <w:szCs w:val="18"/>
              </w:rPr>
              <w:t xml:space="preserve">Notes</w:t>
            </w:r>
          </w:p>
        </w:tc>
      </w:tr>
      <w:tr>
        <w:tc>
          <w:tcPr>
            <w:tcW w:type="dxa" w:w="2336"/>
            <w:tcMar>
              <w:top w:type="dxa" w:w="90"/>
              <w:left w:type="dxa" w:w="120"/>
              <w:bottom w:type="dxa" w:w="90"/>
              <w:right w:type="dxa" w:w="120"/>
            </w:tcMar>
            <w:vAlign w:val="center"/>
          </w:tcPr>
          <w:p>
            <w:r>
              <w:rPr>
                <w:b w:val="false"/>
                <w:bCs w:val="false"/>
                <w:color w:val="1E2B2A"/>
                <w:sz w:val="18"/>
                <w:szCs w:val="18"/>
              </w:rPr>
              <w:t xml:space="preserve">NanoPix (Eighteeth)</w:t>
            </w:r>
          </w:p>
        </w:tc>
        <w:tc>
          <w:tcPr>
            <w:tcW w:type="dxa" w:w="1699"/>
            <w:tcMar>
              <w:top w:type="dxa" w:w="90"/>
              <w:left w:type="dxa" w:w="120"/>
              <w:bottom w:type="dxa" w:w="90"/>
              <w:right w:type="dxa" w:w="120"/>
            </w:tcMar>
            <w:vAlign w:val="center"/>
          </w:tcPr>
          <w:p>
            <w:r>
              <w:rPr>
                <w:b w:val="false"/>
                <w:bCs w:val="false"/>
                <w:color w:val="1E2B2A"/>
                <w:sz w:val="18"/>
                <w:szCs w:val="18"/>
              </w:rPr>
              <w:t xml:space="preserve">CMOS, size 1 &amp; 2</w:t>
            </w:r>
          </w:p>
        </w:tc>
        <w:tc>
          <w:tcPr>
            <w:tcW w:type="dxa" w:w="2195"/>
            <w:tcMar>
              <w:top w:type="dxa" w:w="90"/>
              <w:left w:type="dxa" w:w="120"/>
              <w:bottom w:type="dxa" w:w="90"/>
              <w:right w:type="dxa" w:w="120"/>
            </w:tcMar>
            <w:vAlign w:val="center"/>
          </w:tcPr>
          <w:p>
            <w:r>
              <w:rPr>
                <w:b w:val="false"/>
                <w:bCs w:val="false"/>
                <w:color w:val="1E2B2A"/>
                <w:sz w:val="18"/>
                <w:szCs w:val="18"/>
              </w:rPr>
              <w:t xml:space="preserve">USB 2.0, TWAIN driver</w:t>
            </w:r>
          </w:p>
        </w:tc>
        <w:tc>
          <w:tcPr>
            <w:tcW w:type="dxa" w:w="3469"/>
            <w:tcMar>
              <w:top w:type="dxa" w:w="90"/>
              <w:left w:type="dxa" w:w="120"/>
              <w:bottom w:type="dxa" w:w="90"/>
              <w:right w:type="dxa" w:w="120"/>
            </w:tcMar>
            <w:vAlign w:val="center"/>
          </w:tcPr>
          <w:p>
            <w:r>
              <w:rPr>
                <w:b w:val="false"/>
                <w:bCs w:val="false"/>
                <w:color w:val="1E2B2A"/>
                <w:sz w:val="18"/>
                <w:szCs w:val="18"/>
              </w:rPr>
              <w:t xml:space="preserve">Actively imported and distributed in Pakistan; common entry/mid-tier choice</w:t>
            </w:r>
          </w:p>
        </w:tc>
      </w:tr>
      <w:tr>
        <w:tc>
          <w:tcPr>
            <w:tcW w:type="dxa" w:w="2336"/>
            <w:shd w:fill="F2F7F6" w:val="clear"/>
            <w:tcMar>
              <w:top w:type="dxa" w:w="90"/>
              <w:left w:type="dxa" w:w="120"/>
              <w:bottom w:type="dxa" w:w="90"/>
              <w:right w:type="dxa" w:w="120"/>
            </w:tcMar>
            <w:vAlign w:val="center"/>
          </w:tcPr>
          <w:p>
            <w:r>
              <w:rPr>
                <w:b w:val="false"/>
                <w:bCs w:val="false"/>
                <w:color w:val="1E2B2A"/>
                <w:sz w:val="18"/>
                <w:szCs w:val="18"/>
              </w:rPr>
              <w:t xml:space="preserve">Woodpecker i-Sensor</w:t>
            </w:r>
          </w:p>
        </w:tc>
        <w:tc>
          <w:tcPr>
            <w:tcW w:type="dxa" w:w="1699"/>
            <w:shd w:fill="F2F7F6" w:val="clear"/>
            <w:tcMar>
              <w:top w:type="dxa" w:w="90"/>
              <w:left w:type="dxa" w:w="120"/>
              <w:bottom w:type="dxa" w:w="90"/>
              <w:right w:type="dxa" w:w="120"/>
            </w:tcMar>
            <w:vAlign w:val="center"/>
          </w:tcPr>
          <w:p>
            <w:r>
              <w:rPr>
                <w:b w:val="false"/>
                <w:bCs w:val="false"/>
                <w:color w:val="1E2B2A"/>
                <w:sz w:val="18"/>
                <w:szCs w:val="18"/>
              </w:rPr>
              <w:t xml:space="preserve">CMOS</w:t>
            </w:r>
          </w:p>
        </w:tc>
        <w:tc>
          <w:tcPr>
            <w:tcW w:type="dxa" w:w="2195"/>
            <w:shd w:fill="F2F7F6" w:val="clear"/>
            <w:tcMar>
              <w:top w:type="dxa" w:w="90"/>
              <w:left w:type="dxa" w:w="120"/>
              <w:bottom w:type="dxa" w:w="90"/>
              <w:right w:type="dxa" w:w="120"/>
            </w:tcMar>
            <w:vAlign w:val="center"/>
          </w:tcPr>
          <w:p>
            <w:r>
              <w:rPr>
                <w:b w:val="false"/>
                <w:bCs w:val="false"/>
                <w:color w:val="1E2B2A"/>
                <w:sz w:val="18"/>
                <w:szCs w:val="18"/>
              </w:rPr>
              <w:t xml:space="preserve">USB 2.0, TWAIN driver</w:t>
            </w:r>
          </w:p>
        </w:tc>
        <w:tc>
          <w:tcPr>
            <w:tcW w:type="dxa" w:w="3469"/>
            <w:shd w:fill="F2F7F6" w:val="clear"/>
            <w:tcMar>
              <w:top w:type="dxa" w:w="90"/>
              <w:left w:type="dxa" w:w="120"/>
              <w:bottom w:type="dxa" w:w="90"/>
              <w:right w:type="dxa" w:w="120"/>
            </w:tcMar>
            <w:vAlign w:val="center"/>
          </w:tcPr>
          <w:p>
            <w:r>
              <w:rPr>
                <w:b w:val="false"/>
                <w:bCs w:val="false"/>
                <w:color w:val="1E2B2A"/>
                <w:sz w:val="18"/>
                <w:szCs w:val="18"/>
              </w:rPr>
              <w:t xml:space="preserve">Widely available across South Asia through dental supply importers</w:t>
            </w:r>
          </w:p>
        </w:tc>
      </w:tr>
      <w:tr>
        <w:tc>
          <w:tcPr>
            <w:tcW w:type="dxa" w:w="2336"/>
            <w:tcMar>
              <w:top w:type="dxa" w:w="90"/>
              <w:left w:type="dxa" w:w="120"/>
              <w:bottom w:type="dxa" w:w="90"/>
              <w:right w:type="dxa" w:w="120"/>
            </w:tcMar>
            <w:vAlign w:val="center"/>
          </w:tcPr>
          <w:p>
            <w:r>
              <w:rPr>
                <w:b w:val="false"/>
                <w:bCs w:val="false"/>
                <w:color w:val="1E2B2A"/>
                <w:sz w:val="18"/>
                <w:szCs w:val="18"/>
              </w:rPr>
              <w:t xml:space="preserve">Carestream / Kodak RVG 5200</w:t>
            </w:r>
          </w:p>
        </w:tc>
        <w:tc>
          <w:tcPr>
            <w:tcW w:type="dxa" w:w="1699"/>
            <w:tcMar>
              <w:top w:type="dxa" w:w="90"/>
              <w:left w:type="dxa" w:w="120"/>
              <w:bottom w:type="dxa" w:w="90"/>
              <w:right w:type="dxa" w:w="120"/>
            </w:tcMar>
            <w:vAlign w:val="center"/>
          </w:tcPr>
          <w:p>
            <w:r>
              <w:rPr>
                <w:b w:val="false"/>
                <w:bCs w:val="false"/>
                <w:color w:val="1E2B2A"/>
                <w:sz w:val="18"/>
                <w:szCs w:val="18"/>
              </w:rPr>
              <w:t xml:space="preserve">CCD, high resolution</w:t>
            </w:r>
          </w:p>
        </w:tc>
        <w:tc>
          <w:tcPr>
            <w:tcW w:type="dxa" w:w="2195"/>
            <w:tcMar>
              <w:top w:type="dxa" w:w="90"/>
              <w:left w:type="dxa" w:w="120"/>
              <w:bottom w:type="dxa" w:w="90"/>
              <w:right w:type="dxa" w:w="120"/>
            </w:tcMar>
            <w:vAlign w:val="center"/>
          </w:tcPr>
          <w:p>
            <w:r>
              <w:rPr>
                <w:b w:val="false"/>
                <w:bCs w:val="false"/>
                <w:color w:val="1E2B2A"/>
                <w:sz w:val="18"/>
                <w:szCs w:val="18"/>
              </w:rPr>
              <w:t xml:space="preserve">USB, CS Imaging software</w:t>
            </w:r>
          </w:p>
        </w:tc>
        <w:tc>
          <w:tcPr>
            <w:tcW w:type="dxa" w:w="3469"/>
            <w:tcMar>
              <w:top w:type="dxa" w:w="90"/>
              <w:left w:type="dxa" w:w="120"/>
              <w:bottom w:type="dxa" w:w="90"/>
              <w:right w:type="dxa" w:w="120"/>
            </w:tcMar>
            <w:vAlign w:val="center"/>
          </w:tcPr>
          <w:p>
            <w:r>
              <w:rPr>
                <w:b w:val="false"/>
                <w:bCs w:val="false"/>
                <w:color w:val="1E2B2A"/>
                <w:sz w:val="18"/>
                <w:szCs w:val="18"/>
              </w:rPr>
              <w:t xml:space="preserve">Premium tier; strong image quality, higher import cost</w:t>
            </w:r>
          </w:p>
        </w:tc>
      </w:tr>
      <w:tr>
        <w:tc>
          <w:tcPr>
            <w:tcW w:type="dxa" w:w="2336"/>
            <w:shd w:fill="F2F7F6" w:val="clear"/>
            <w:tcMar>
              <w:top w:type="dxa" w:w="90"/>
              <w:left w:type="dxa" w:w="120"/>
              <w:bottom w:type="dxa" w:w="90"/>
              <w:right w:type="dxa" w:w="120"/>
            </w:tcMar>
            <w:vAlign w:val="center"/>
          </w:tcPr>
          <w:p>
            <w:r>
              <w:rPr>
                <w:b w:val="false"/>
                <w:bCs w:val="false"/>
                <w:color w:val="1E2B2A"/>
                <w:sz w:val="18"/>
                <w:szCs w:val="18"/>
              </w:rPr>
              <w:t xml:space="preserve">Vatech EzSensor</w:t>
            </w:r>
          </w:p>
        </w:tc>
        <w:tc>
          <w:tcPr>
            <w:tcW w:type="dxa" w:w="1699"/>
            <w:shd w:fill="F2F7F6" w:val="clear"/>
            <w:tcMar>
              <w:top w:type="dxa" w:w="90"/>
              <w:left w:type="dxa" w:w="120"/>
              <w:bottom w:type="dxa" w:w="90"/>
              <w:right w:type="dxa" w:w="120"/>
            </w:tcMar>
            <w:vAlign w:val="center"/>
          </w:tcPr>
          <w:p>
            <w:r>
              <w:rPr>
                <w:b w:val="false"/>
                <w:bCs w:val="false"/>
                <w:color w:val="1E2B2A"/>
                <w:sz w:val="18"/>
                <w:szCs w:val="18"/>
              </w:rPr>
              <w:t xml:space="preserve">CMOS</w:t>
            </w:r>
          </w:p>
        </w:tc>
        <w:tc>
          <w:tcPr>
            <w:tcW w:type="dxa" w:w="2195"/>
            <w:shd w:fill="F2F7F6" w:val="clear"/>
            <w:tcMar>
              <w:top w:type="dxa" w:w="90"/>
              <w:left w:type="dxa" w:w="120"/>
              <w:bottom w:type="dxa" w:w="90"/>
              <w:right w:type="dxa" w:w="120"/>
            </w:tcMar>
            <w:vAlign w:val="center"/>
          </w:tcPr>
          <w:p>
            <w:r>
              <w:rPr>
                <w:b w:val="false"/>
                <w:bCs w:val="false"/>
                <w:color w:val="1E2B2A"/>
                <w:sz w:val="18"/>
                <w:szCs w:val="18"/>
              </w:rPr>
              <w:t xml:space="preserve">USB, EzDent-i / TWAIN</w:t>
            </w:r>
          </w:p>
        </w:tc>
        <w:tc>
          <w:tcPr>
            <w:tcW w:type="dxa" w:w="3469"/>
            <w:shd w:fill="F2F7F6" w:val="clear"/>
            <w:tcMar>
              <w:top w:type="dxa" w:w="90"/>
              <w:left w:type="dxa" w:w="120"/>
              <w:bottom w:type="dxa" w:w="90"/>
              <w:right w:type="dxa" w:w="120"/>
            </w:tcMar>
            <w:vAlign w:val="center"/>
          </w:tcPr>
          <w:p>
            <w:r>
              <w:rPr>
                <w:b w:val="false"/>
                <w:bCs w:val="false"/>
                <w:color w:val="1E2B2A"/>
                <w:sz w:val="18"/>
                <w:szCs w:val="18"/>
              </w:rPr>
              <w:t xml:space="preserve">Often bundled with Vatech panoramic units for one-vendor workflow</w:t>
            </w:r>
          </w:p>
        </w:tc>
      </w:tr>
      <w:tr>
        <w:tc>
          <w:tcPr>
            <w:tcW w:type="dxa" w:w="2336"/>
            <w:tcMar>
              <w:top w:type="dxa" w:w="90"/>
              <w:left w:type="dxa" w:w="120"/>
              <w:bottom w:type="dxa" w:w="90"/>
              <w:right w:type="dxa" w:w="120"/>
            </w:tcMar>
            <w:vAlign w:val="center"/>
          </w:tcPr>
          <w:p>
            <w:r>
              <w:rPr>
                <w:b w:val="false"/>
                <w:bCs w:val="false"/>
                <w:color w:val="1E2B2A"/>
                <w:sz w:val="18"/>
                <w:szCs w:val="18"/>
              </w:rPr>
              <w:t xml:space="preserve">Waldent RTA / Siger</w:t>
            </w:r>
          </w:p>
        </w:tc>
        <w:tc>
          <w:tcPr>
            <w:tcW w:type="dxa" w:w="1699"/>
            <w:tcMar>
              <w:top w:type="dxa" w:w="90"/>
              <w:left w:type="dxa" w:w="120"/>
              <w:bottom w:type="dxa" w:w="90"/>
              <w:right w:type="dxa" w:w="120"/>
            </w:tcMar>
            <w:vAlign w:val="center"/>
          </w:tcPr>
          <w:p>
            <w:r>
              <w:rPr>
                <w:b w:val="false"/>
                <w:bCs w:val="false"/>
                <w:color w:val="1E2B2A"/>
                <w:sz w:val="18"/>
                <w:szCs w:val="18"/>
              </w:rPr>
              <w:t xml:space="preserve">CMOS</w:t>
            </w:r>
          </w:p>
        </w:tc>
        <w:tc>
          <w:tcPr>
            <w:tcW w:type="dxa" w:w="2195"/>
            <w:tcMar>
              <w:top w:type="dxa" w:w="90"/>
              <w:left w:type="dxa" w:w="120"/>
              <w:bottom w:type="dxa" w:w="90"/>
              <w:right w:type="dxa" w:w="120"/>
            </w:tcMar>
            <w:vAlign w:val="center"/>
          </w:tcPr>
          <w:p>
            <w:r>
              <w:rPr>
                <w:b w:val="false"/>
                <w:bCs w:val="false"/>
                <w:color w:val="1E2B2A"/>
                <w:sz w:val="18"/>
                <w:szCs w:val="18"/>
              </w:rPr>
              <w:t xml:space="preserve">USB 2.0, TWAIN driver</w:t>
            </w:r>
          </w:p>
        </w:tc>
        <w:tc>
          <w:tcPr>
            <w:tcW w:type="dxa" w:w="3469"/>
            <w:tcMar>
              <w:top w:type="dxa" w:w="90"/>
              <w:left w:type="dxa" w:w="120"/>
              <w:bottom w:type="dxa" w:w="90"/>
              <w:right w:type="dxa" w:w="120"/>
            </w:tcMar>
            <w:vAlign w:val="center"/>
          </w:tcPr>
          <w:p>
            <w:r>
              <w:rPr>
                <w:b w:val="false"/>
                <w:bCs w:val="false"/>
                <w:color w:val="1E2B2A"/>
                <w:sz w:val="18"/>
                <w:szCs w:val="18"/>
              </w:rPr>
              <w:t xml:space="preserve">Budget-friendly, common in smaller clinics</w:t>
            </w:r>
          </w:p>
        </w:tc>
      </w:tr>
    </w:tbl>
    <w:p>
      <w:pPr>
        <w:pStyle w:val="Heading2"/>
        <w:spacing w:after="120" w:before="260"/>
      </w:pPr>
      <w:r>
        <w:rPr>
          <w:rFonts w:ascii="Cambria" w:cs="Cambria" w:eastAsia="Cambria" w:hAnsi="Cambria"/>
          <w:b/>
          <w:bCs/>
          <w:color w:val="0B4F4A"/>
          <w:sz w:val="24"/>
          <w:szCs w:val="24"/>
        </w:rPr>
        <w:t xml:space="preserve">9.2  Panoramic / Cephalometric (OPG) Machines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89"/>
        <w:gridCol w:w="2461"/>
        <w:gridCol w:w="2316"/>
        <w:gridCol w:w="2534"/>
      </w:tblGrid>
      <w:tr>
        <w:trPr>
          <w:tblHeader/>
        </w:trPr>
        <w:tc>
          <w:tcPr>
            <w:tcW w:type="dxa" w:w="2389"/>
            <w:shd w:fill="0B4F4A" w:val="clear"/>
            <w:tcMar>
              <w:top w:type="dxa" w:w="90"/>
              <w:left w:type="dxa" w:w="120"/>
              <w:bottom w:type="dxa" w:w="90"/>
              <w:right w:type="dxa" w:w="120"/>
            </w:tcMar>
            <w:vAlign w:val="center"/>
          </w:tcPr>
          <w:p>
            <w:r>
              <w:rPr>
                <w:b/>
                <w:bCs/>
                <w:color w:val="FFFFFF"/>
                <w:sz w:val="18"/>
                <w:szCs w:val="18"/>
              </w:rPr>
              <w:t xml:space="preserve">Brand / Model Family</w:t>
            </w:r>
          </w:p>
        </w:tc>
        <w:tc>
          <w:tcPr>
            <w:tcW w:type="dxa" w:w="2461"/>
            <w:shd w:fill="0B4F4A" w:val="clear"/>
            <w:tcMar>
              <w:top w:type="dxa" w:w="90"/>
              <w:left w:type="dxa" w:w="120"/>
              <w:bottom w:type="dxa" w:w="90"/>
              <w:right w:type="dxa" w:w="120"/>
            </w:tcMar>
            <w:vAlign w:val="center"/>
          </w:tcPr>
          <w:p>
            <w:r>
              <w:rPr>
                <w:b/>
                <w:bCs/>
                <w:color w:val="FFFFFF"/>
                <w:sz w:val="18"/>
                <w:szCs w:val="18"/>
              </w:rPr>
              <w:t xml:space="preserve">Imaging Type</w:t>
            </w:r>
          </w:p>
        </w:tc>
        <w:tc>
          <w:tcPr>
            <w:tcW w:type="dxa" w:w="2316"/>
            <w:shd w:fill="0B4F4A" w:val="clear"/>
            <w:tcMar>
              <w:top w:type="dxa" w:w="90"/>
              <w:left w:type="dxa" w:w="120"/>
              <w:bottom w:type="dxa" w:w="90"/>
              <w:right w:type="dxa" w:w="120"/>
            </w:tcMar>
            <w:vAlign w:val="center"/>
          </w:tcPr>
          <w:p>
            <w:r>
              <w:rPr>
                <w:b/>
                <w:bCs/>
                <w:color w:val="FFFFFF"/>
                <w:sz w:val="18"/>
                <w:szCs w:val="18"/>
              </w:rPr>
              <w:t xml:space="preserve">Connectivity</w:t>
            </w:r>
          </w:p>
        </w:tc>
        <w:tc>
          <w:tcPr>
            <w:tcW w:type="dxa" w:w="2534"/>
            <w:shd w:fill="0B4F4A" w:val="clear"/>
            <w:tcMar>
              <w:top w:type="dxa" w:w="90"/>
              <w:left w:type="dxa" w:w="120"/>
              <w:bottom w:type="dxa" w:w="90"/>
              <w:right w:type="dxa" w:w="120"/>
            </w:tcMar>
            <w:vAlign w:val="center"/>
          </w:tcPr>
          <w:p>
            <w:r>
              <w:rPr>
                <w:b/>
                <w:bCs/>
                <w:color w:val="FFFFFF"/>
                <w:sz w:val="18"/>
                <w:szCs w:val="18"/>
              </w:rPr>
              <w:t xml:space="preserve">Notes</w:t>
            </w:r>
          </w:p>
        </w:tc>
      </w:tr>
      <w:tr>
        <w:tc>
          <w:tcPr>
            <w:tcW w:type="dxa" w:w="2389"/>
            <w:tcMar>
              <w:top w:type="dxa" w:w="90"/>
              <w:left w:type="dxa" w:w="120"/>
              <w:bottom w:type="dxa" w:w="90"/>
              <w:right w:type="dxa" w:w="120"/>
            </w:tcMar>
            <w:vAlign w:val="center"/>
          </w:tcPr>
          <w:p>
            <w:r>
              <w:rPr>
                <w:b w:val="false"/>
                <w:bCs w:val="false"/>
                <w:color w:val="1E2B2A"/>
                <w:sz w:val="18"/>
                <w:szCs w:val="18"/>
              </w:rPr>
              <w:t xml:space="preserve">Vatech PaX-i series</w:t>
            </w:r>
          </w:p>
        </w:tc>
        <w:tc>
          <w:tcPr>
            <w:tcW w:type="dxa" w:w="2461"/>
            <w:tcMar>
              <w:top w:type="dxa" w:w="90"/>
              <w:left w:type="dxa" w:w="120"/>
              <w:bottom w:type="dxa" w:w="90"/>
              <w:right w:type="dxa" w:w="120"/>
            </w:tcMar>
            <w:vAlign w:val="center"/>
          </w:tcPr>
          <w:p>
            <w:r>
              <w:rPr>
                <w:b w:val="false"/>
                <w:bCs w:val="false"/>
                <w:color w:val="1E2B2A"/>
                <w:sz w:val="18"/>
                <w:szCs w:val="18"/>
              </w:rPr>
              <w:t xml:space="preserve">Panoramic (+ optional Ceph/CBCT)</w:t>
            </w:r>
          </w:p>
        </w:tc>
        <w:tc>
          <w:tcPr>
            <w:tcW w:type="dxa" w:w="2316"/>
            <w:tcMar>
              <w:top w:type="dxa" w:w="90"/>
              <w:left w:type="dxa" w:w="120"/>
              <w:bottom w:type="dxa" w:w="90"/>
              <w:right w:type="dxa" w:w="120"/>
            </w:tcMar>
            <w:vAlign w:val="center"/>
          </w:tcPr>
          <w:p>
            <w:r>
              <w:rPr>
                <w:b w:val="false"/>
                <w:bCs w:val="false"/>
                <w:color w:val="1E2B2A"/>
                <w:sz w:val="18"/>
                <w:szCs w:val="18"/>
              </w:rPr>
              <w:t xml:space="preserve">Network DICOM / TWAIN bridge</w:t>
            </w:r>
          </w:p>
        </w:tc>
        <w:tc>
          <w:tcPr>
            <w:tcW w:type="dxa" w:w="2534"/>
            <w:tcMar>
              <w:top w:type="dxa" w:w="90"/>
              <w:left w:type="dxa" w:w="120"/>
              <w:bottom w:type="dxa" w:w="90"/>
              <w:right w:type="dxa" w:w="120"/>
            </w:tcMar>
            <w:vAlign w:val="center"/>
          </w:tcPr>
          <w:p>
            <w:r>
              <w:rPr>
                <w:b w:val="false"/>
                <w:bCs w:val="false"/>
                <w:color w:val="1E2B2A"/>
                <w:sz w:val="18"/>
                <w:szCs w:val="18"/>
              </w:rPr>
              <w:t xml:space="preserve">Common globally and in the region; upgrade path to CBCT</w:t>
            </w:r>
          </w:p>
        </w:tc>
      </w:tr>
      <w:tr>
        <w:tc>
          <w:tcPr>
            <w:tcW w:type="dxa" w:w="2389"/>
            <w:shd w:fill="F2F7F6" w:val="clear"/>
            <w:tcMar>
              <w:top w:type="dxa" w:w="90"/>
              <w:left w:type="dxa" w:w="120"/>
              <w:bottom w:type="dxa" w:w="90"/>
              <w:right w:type="dxa" w:w="120"/>
            </w:tcMar>
            <w:vAlign w:val="center"/>
          </w:tcPr>
          <w:p>
            <w:r>
              <w:rPr>
                <w:b w:val="false"/>
                <w:bCs w:val="false"/>
                <w:color w:val="1E2B2A"/>
                <w:sz w:val="18"/>
                <w:szCs w:val="18"/>
              </w:rPr>
              <w:t xml:space="preserve">Planmeca ProMax 2D</w:t>
            </w:r>
          </w:p>
        </w:tc>
        <w:tc>
          <w:tcPr>
            <w:tcW w:type="dxa" w:w="2461"/>
            <w:shd w:fill="F2F7F6" w:val="clear"/>
            <w:tcMar>
              <w:top w:type="dxa" w:w="90"/>
              <w:left w:type="dxa" w:w="120"/>
              <w:bottom w:type="dxa" w:w="90"/>
              <w:right w:type="dxa" w:w="120"/>
            </w:tcMar>
            <w:vAlign w:val="center"/>
          </w:tcPr>
          <w:p>
            <w:r>
              <w:rPr>
                <w:b w:val="false"/>
                <w:bCs w:val="false"/>
                <w:color w:val="1E2B2A"/>
                <w:sz w:val="18"/>
                <w:szCs w:val="18"/>
              </w:rPr>
              <w:t xml:space="preserve">Panoramic, extraoral bitewing, TMJ</w:t>
            </w:r>
          </w:p>
        </w:tc>
        <w:tc>
          <w:tcPr>
            <w:tcW w:type="dxa" w:w="2316"/>
            <w:shd w:fill="F2F7F6" w:val="clear"/>
            <w:tcMar>
              <w:top w:type="dxa" w:w="90"/>
              <w:left w:type="dxa" w:w="120"/>
              <w:bottom w:type="dxa" w:w="90"/>
              <w:right w:type="dxa" w:w="120"/>
            </w:tcMar>
            <w:vAlign w:val="center"/>
          </w:tcPr>
          <w:p>
            <w:r>
              <w:rPr>
                <w:b w:val="false"/>
                <w:bCs w:val="false"/>
                <w:color w:val="1E2B2A"/>
                <w:sz w:val="18"/>
                <w:szCs w:val="18"/>
              </w:rPr>
              <w:t xml:space="preserve">Network DICOM, Romexis software</w:t>
            </w:r>
          </w:p>
        </w:tc>
        <w:tc>
          <w:tcPr>
            <w:tcW w:type="dxa" w:w="2534"/>
            <w:shd w:fill="F2F7F6" w:val="clear"/>
            <w:tcMar>
              <w:top w:type="dxa" w:w="90"/>
              <w:left w:type="dxa" w:w="120"/>
              <w:bottom w:type="dxa" w:w="90"/>
              <w:right w:type="dxa" w:w="120"/>
            </w:tcMar>
            <w:vAlign w:val="center"/>
          </w:tcPr>
          <w:p>
            <w:r>
              <w:rPr>
                <w:b w:val="false"/>
                <w:bCs w:val="false"/>
                <w:color w:val="1E2B2A"/>
                <w:sz w:val="18"/>
                <w:szCs w:val="18"/>
              </w:rPr>
              <w:t xml:space="preserve">Premium multi-specialty clinics and radiology centers</w:t>
            </w:r>
          </w:p>
        </w:tc>
      </w:tr>
      <w:tr>
        <w:tc>
          <w:tcPr>
            <w:tcW w:type="dxa" w:w="2389"/>
            <w:tcMar>
              <w:top w:type="dxa" w:w="90"/>
              <w:left w:type="dxa" w:w="120"/>
              <w:bottom w:type="dxa" w:w="90"/>
              <w:right w:type="dxa" w:w="120"/>
            </w:tcMar>
            <w:vAlign w:val="center"/>
          </w:tcPr>
          <w:p>
            <w:r>
              <w:rPr>
                <w:b w:val="false"/>
                <w:bCs w:val="false"/>
                <w:color w:val="1E2B2A"/>
                <w:sz w:val="18"/>
                <w:szCs w:val="18"/>
              </w:rPr>
              <w:t xml:space="preserve">Carestream CS-series OPG</w:t>
            </w:r>
          </w:p>
        </w:tc>
        <w:tc>
          <w:tcPr>
            <w:tcW w:type="dxa" w:w="2461"/>
            <w:tcMar>
              <w:top w:type="dxa" w:w="90"/>
              <w:left w:type="dxa" w:w="120"/>
              <w:bottom w:type="dxa" w:w="90"/>
              <w:right w:type="dxa" w:w="120"/>
            </w:tcMar>
            <w:vAlign w:val="center"/>
          </w:tcPr>
          <w:p>
            <w:r>
              <w:rPr>
                <w:b w:val="false"/>
                <w:bCs w:val="false"/>
                <w:color w:val="1E2B2A"/>
                <w:sz w:val="18"/>
                <w:szCs w:val="18"/>
              </w:rPr>
              <w:t xml:space="preserve">Panoramic / Ceph</w:t>
            </w:r>
          </w:p>
        </w:tc>
        <w:tc>
          <w:tcPr>
            <w:tcW w:type="dxa" w:w="2316"/>
            <w:tcMar>
              <w:top w:type="dxa" w:w="90"/>
              <w:left w:type="dxa" w:w="120"/>
              <w:bottom w:type="dxa" w:w="90"/>
              <w:right w:type="dxa" w:w="120"/>
            </w:tcMar>
            <w:vAlign w:val="center"/>
          </w:tcPr>
          <w:p>
            <w:r>
              <w:rPr>
                <w:b w:val="false"/>
                <w:bCs w:val="false"/>
                <w:color w:val="1E2B2A"/>
                <w:sz w:val="18"/>
                <w:szCs w:val="18"/>
              </w:rPr>
              <w:t xml:space="preserve">Network DICOM, CS Imaging</w:t>
            </w:r>
          </w:p>
        </w:tc>
        <w:tc>
          <w:tcPr>
            <w:tcW w:type="dxa" w:w="2534"/>
            <w:tcMar>
              <w:top w:type="dxa" w:w="90"/>
              <w:left w:type="dxa" w:w="120"/>
              <w:bottom w:type="dxa" w:w="90"/>
              <w:right w:type="dxa" w:w="120"/>
            </w:tcMar>
            <w:vAlign w:val="center"/>
          </w:tcPr>
          <w:p>
            <w:r>
              <w:rPr>
                <w:b w:val="false"/>
                <w:bCs w:val="false"/>
                <w:color w:val="1E2B2A"/>
                <w:sz w:val="18"/>
                <w:szCs w:val="18"/>
              </w:rPr>
              <w:t xml:space="preserve">Frequently paired with Carestream RVG sensors</w:t>
            </w:r>
          </w:p>
        </w:tc>
      </w:tr>
    </w:tbl>
    <w:p>
      <w:pPr>
        <w:pStyle w:val="Heading2"/>
        <w:spacing w:after="120" w:before="260"/>
      </w:pPr>
      <w:r>
        <w:rPr>
          <w:rFonts w:ascii="Cambria" w:cs="Cambria" w:eastAsia="Cambria" w:hAnsi="Cambria"/>
          <w:b/>
          <w:bCs/>
          <w:color w:val="0B4F4A"/>
          <w:sz w:val="24"/>
          <w:szCs w:val="24"/>
        </w:rPr>
        <w:t xml:space="preserve">9.3  Intraoral Cameras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56"/>
        <w:gridCol w:w="2910"/>
        <w:gridCol w:w="2217"/>
        <w:gridCol w:w="2217"/>
      </w:tblGrid>
      <w:tr>
        <w:trPr>
          <w:tblHeader/>
        </w:trPr>
        <w:tc>
          <w:tcPr>
            <w:tcW w:type="dxa" w:w="2356"/>
            <w:shd w:fill="0B4F4A" w:val="clear"/>
            <w:tcMar>
              <w:top w:type="dxa" w:w="90"/>
              <w:left w:type="dxa" w:w="120"/>
              <w:bottom w:type="dxa" w:w="90"/>
              <w:right w:type="dxa" w:w="120"/>
            </w:tcMar>
            <w:vAlign w:val="center"/>
          </w:tcPr>
          <w:p>
            <w:r>
              <w:rPr>
                <w:b/>
                <w:bCs/>
                <w:color w:val="FFFFFF"/>
                <w:sz w:val="18"/>
                <w:szCs w:val="18"/>
              </w:rPr>
              <w:t xml:space="preserve">Type</w:t>
            </w:r>
          </w:p>
        </w:tc>
        <w:tc>
          <w:tcPr>
            <w:tcW w:type="dxa" w:w="2910"/>
            <w:shd w:fill="0B4F4A" w:val="clear"/>
            <w:tcMar>
              <w:top w:type="dxa" w:w="90"/>
              <w:left w:type="dxa" w:w="120"/>
              <w:bottom w:type="dxa" w:w="90"/>
              <w:right w:type="dxa" w:w="120"/>
            </w:tcMar>
            <w:vAlign w:val="center"/>
          </w:tcPr>
          <w:p>
            <w:r>
              <w:rPr>
                <w:b/>
                <w:bCs/>
                <w:color w:val="FFFFFF"/>
                <w:sz w:val="18"/>
                <w:szCs w:val="18"/>
              </w:rPr>
              <w:t xml:space="preserve">Examples in Market</w:t>
            </w:r>
          </w:p>
        </w:tc>
        <w:tc>
          <w:tcPr>
            <w:tcW w:type="dxa" w:w="2217"/>
            <w:shd w:fill="0B4F4A" w:val="clear"/>
            <w:tcMar>
              <w:top w:type="dxa" w:w="90"/>
              <w:left w:type="dxa" w:w="120"/>
              <w:bottom w:type="dxa" w:w="90"/>
              <w:right w:type="dxa" w:w="120"/>
            </w:tcMar>
            <w:vAlign w:val="center"/>
          </w:tcPr>
          <w:p>
            <w:r>
              <w:rPr>
                <w:b/>
                <w:bCs/>
                <w:color w:val="FFFFFF"/>
                <w:sz w:val="18"/>
                <w:szCs w:val="18"/>
              </w:rPr>
              <w:t xml:space="preserve">Connectivity</w:t>
            </w:r>
          </w:p>
        </w:tc>
        <w:tc>
          <w:tcPr>
            <w:tcW w:type="dxa" w:w="2217"/>
            <w:shd w:fill="0B4F4A" w:val="clear"/>
            <w:tcMar>
              <w:top w:type="dxa" w:w="90"/>
              <w:left w:type="dxa" w:w="120"/>
              <w:bottom w:type="dxa" w:w="90"/>
              <w:right w:type="dxa" w:w="120"/>
            </w:tcMar>
            <w:vAlign w:val="center"/>
          </w:tcPr>
          <w:p>
            <w:r>
              <w:rPr>
                <w:b/>
                <w:bCs/>
                <w:color w:val="FFFFFF"/>
                <w:sz w:val="18"/>
                <w:szCs w:val="18"/>
              </w:rPr>
              <w:t xml:space="preserve">Notes</w:t>
            </w:r>
          </w:p>
        </w:tc>
      </w:tr>
      <w:tr>
        <w:tc>
          <w:tcPr>
            <w:tcW w:type="dxa" w:w="2356"/>
            <w:tcMar>
              <w:top w:type="dxa" w:w="90"/>
              <w:left w:type="dxa" w:w="120"/>
              <w:bottom w:type="dxa" w:w="90"/>
              <w:right w:type="dxa" w:w="120"/>
            </w:tcMar>
            <w:vAlign w:val="center"/>
          </w:tcPr>
          <w:p>
            <w:r>
              <w:rPr>
                <w:b w:val="false"/>
                <w:bCs w:val="false"/>
                <w:color w:val="1E2B2A"/>
                <w:sz w:val="18"/>
                <w:szCs w:val="18"/>
              </w:rPr>
              <w:t xml:space="preserve">Wired USB intraoral camera</w:t>
            </w:r>
          </w:p>
        </w:tc>
        <w:tc>
          <w:tcPr>
            <w:tcW w:type="dxa" w:w="2910"/>
            <w:tcMar>
              <w:top w:type="dxa" w:w="90"/>
              <w:left w:type="dxa" w:w="120"/>
              <w:bottom w:type="dxa" w:w="90"/>
              <w:right w:type="dxa" w:w="120"/>
            </w:tcMar>
            <w:vAlign w:val="center"/>
          </w:tcPr>
          <w:p>
            <w:r>
              <w:rPr>
                <w:b w:val="false"/>
                <w:bCs w:val="false"/>
                <w:color w:val="1E2B2A"/>
                <w:sz w:val="18"/>
                <w:szCs w:val="18"/>
              </w:rPr>
              <w:t xml:space="preserve">Generic UVC pen-cameras, Waldent, MD-series</w:t>
            </w:r>
          </w:p>
        </w:tc>
        <w:tc>
          <w:tcPr>
            <w:tcW w:type="dxa" w:w="2217"/>
            <w:tcMar>
              <w:top w:type="dxa" w:w="90"/>
              <w:left w:type="dxa" w:w="120"/>
              <w:bottom w:type="dxa" w:w="90"/>
              <w:right w:type="dxa" w:w="120"/>
            </w:tcMar>
            <w:vAlign w:val="center"/>
          </w:tcPr>
          <w:p>
            <w:r>
              <w:rPr>
                <w:b w:val="false"/>
                <w:bCs w:val="false"/>
                <w:color w:val="1E2B2A"/>
                <w:sz w:val="18"/>
                <w:szCs w:val="18"/>
              </w:rPr>
              <w:t xml:space="preserve">USB 2.0 (UVC — plug-and-play)</w:t>
            </w:r>
          </w:p>
        </w:tc>
        <w:tc>
          <w:tcPr>
            <w:tcW w:type="dxa" w:w="2217"/>
            <w:tcMar>
              <w:top w:type="dxa" w:w="90"/>
              <w:left w:type="dxa" w:w="120"/>
              <w:bottom w:type="dxa" w:w="90"/>
              <w:right w:type="dxa" w:w="120"/>
            </w:tcMar>
            <w:vAlign w:val="center"/>
          </w:tcPr>
          <w:p>
            <w:r>
              <w:rPr>
                <w:b w:val="false"/>
                <w:bCs w:val="false"/>
                <w:color w:val="1E2B2A"/>
                <w:sz w:val="18"/>
                <w:szCs w:val="18"/>
              </w:rPr>
              <w:t xml:space="preserve">Simplest integration path: works directly with browser capture, no driver needed</w:t>
            </w:r>
          </w:p>
        </w:tc>
      </w:tr>
      <w:tr>
        <w:tc>
          <w:tcPr>
            <w:tcW w:type="dxa" w:w="2356"/>
            <w:shd w:fill="F2F7F6" w:val="clear"/>
            <w:tcMar>
              <w:top w:type="dxa" w:w="90"/>
              <w:left w:type="dxa" w:w="120"/>
              <w:bottom w:type="dxa" w:w="90"/>
              <w:right w:type="dxa" w:w="120"/>
            </w:tcMar>
            <w:vAlign w:val="center"/>
          </w:tcPr>
          <w:p>
            <w:r>
              <w:rPr>
                <w:b w:val="false"/>
                <w:bCs w:val="false"/>
                <w:color w:val="1E2B2A"/>
                <w:sz w:val="18"/>
                <w:szCs w:val="18"/>
              </w:rPr>
              <w:t xml:space="preserve">Wireless/Wi-Fi intraoral camera</w:t>
            </w:r>
          </w:p>
        </w:tc>
        <w:tc>
          <w:tcPr>
            <w:tcW w:type="dxa" w:w="2910"/>
            <w:shd w:fill="F2F7F6" w:val="clear"/>
            <w:tcMar>
              <w:top w:type="dxa" w:w="90"/>
              <w:left w:type="dxa" w:w="120"/>
              <w:bottom w:type="dxa" w:w="90"/>
              <w:right w:type="dxa" w:w="120"/>
            </w:tcMar>
            <w:vAlign w:val="center"/>
          </w:tcPr>
          <w:p>
            <w:r>
              <w:rPr>
                <w:b w:val="false"/>
                <w:bCs w:val="false"/>
                <w:color w:val="1E2B2A"/>
                <w:sz w:val="18"/>
                <w:szCs w:val="18"/>
              </w:rPr>
              <w:t xml:space="preserve">HD Wi-Fi endoscope-style cameras sold locally</w:t>
            </w:r>
          </w:p>
        </w:tc>
        <w:tc>
          <w:tcPr>
            <w:tcW w:type="dxa" w:w="2217"/>
            <w:shd w:fill="F2F7F6" w:val="clear"/>
            <w:tcMar>
              <w:top w:type="dxa" w:w="90"/>
              <w:left w:type="dxa" w:w="120"/>
              <w:bottom w:type="dxa" w:w="90"/>
              <w:right w:type="dxa" w:w="120"/>
            </w:tcMar>
            <w:vAlign w:val="center"/>
          </w:tcPr>
          <w:p>
            <w:r>
              <w:rPr>
                <w:b w:val="false"/>
                <w:bCs w:val="false"/>
                <w:color w:val="1E2B2A"/>
                <w:sz w:val="18"/>
                <w:szCs w:val="18"/>
              </w:rPr>
              <w:t xml:space="preserve">Wi-Fi to companion app / built-in screen</w:t>
            </w:r>
          </w:p>
        </w:tc>
        <w:tc>
          <w:tcPr>
            <w:tcW w:type="dxa" w:w="2217"/>
            <w:shd w:fill="F2F7F6" w:val="clear"/>
            <w:tcMar>
              <w:top w:type="dxa" w:w="90"/>
              <w:left w:type="dxa" w:w="120"/>
              <w:bottom w:type="dxa" w:w="90"/>
              <w:right w:type="dxa" w:w="120"/>
            </w:tcMar>
            <w:vAlign w:val="center"/>
          </w:tcPr>
          <w:p>
            <w:r>
              <w:rPr>
                <w:b w:val="false"/>
                <w:bCs w:val="false"/>
                <w:color w:val="1E2B2A"/>
                <w:sz w:val="18"/>
                <w:szCs w:val="18"/>
              </w:rPr>
              <w:t xml:space="preserve">Needs vendor app or local relay; slightly more setup than wired UVC</w:t>
            </w:r>
          </w:p>
        </w:tc>
      </w:tr>
    </w:tbl>
    <w:p>
      <w:pPr>
        <w:pStyle w:val="Heading2"/>
        <w:spacing w:after="120" w:before="260"/>
      </w:pPr>
      <w:r>
        <w:rPr>
          <w:rFonts w:ascii="Cambria" w:cs="Cambria" w:eastAsia="Cambria" w:hAnsi="Cambria"/>
          <w:b/>
          <w:bCs/>
          <w:color w:val="0B4F4A"/>
          <w:sz w:val="24"/>
          <w:szCs w:val="24"/>
        </w:rPr>
        <w:t xml:space="preserve">9.4  Standard Webcams</w:t>
      </w:r>
    </w:p>
    <w:p>
      <w:pPr>
        <w:spacing w:after="160" w:line="276"/>
      </w:pPr>
      <w:r>
        <w:rPr>
          <w:b w:val="false"/>
          <w:bCs w:val="false"/>
          <w:i w:val="false"/>
          <w:iCs w:val="false"/>
          <w:color w:val="1E2B2A"/>
          <w:sz w:val="21"/>
          <w:szCs w:val="21"/>
        </w:rPr>
        <w:t xml:space="preserve">Any UVC-compliant USB webcam (Logitech, generic HD webcams widely sold in Pakistan's electronics markets) works out of the box for chairside consultation video — no dental-specific hardware is required for this category.</w:t>
      </w:r>
    </w:p>
    <w:p>
      <w:pPr>
        <w:pStyle w:val="Heading1"/>
        <w:pBdr>
          <w:bottom w:val="single" w:color="0B4F4A" w:sz="8" w:space="4"/>
        </w:pBdr>
        <w:spacing w:after="160" w:before="380"/>
      </w:pPr>
      <w:r>
        <w:rPr>
          <w:rFonts w:ascii="Cambria" w:cs="Cambria" w:eastAsia="Cambria" w:hAnsi="Cambria"/>
          <w:b/>
          <w:bCs/>
          <w:color w:val="073430"/>
          <w:sz w:val="30"/>
          <w:szCs w:val="30"/>
        </w:rPr>
        <w:t xml:space="preserve">10. Security, Compliance &amp; Data Handling</w:t>
      </w:r>
    </w:p>
    <w:p>
      <w:pPr>
        <w:pStyle w:val="ListParagraph"/>
        <w:numPr>
          <w:ilvl w:val="0"/>
          <w:numId w:val="4"/>
        </w:numPr>
        <w:spacing w:after="90"/>
      </w:pPr>
      <w:r>
        <w:rPr>
          <w:color w:val="1E2B2A"/>
          <w:sz w:val="21"/>
          <w:szCs w:val="21"/>
        </w:rPr>
        <w:t xml:space="preserve">Radiation-emitting equipment (X-ray sensors, OPG units) falls under Pakistan Nuclear Regulatory Authority (PNRA) licensing for the physical device and its operation — this is separate from and unaffected by the software integration described here.</w:t>
      </w:r>
    </w:p>
    <w:p>
      <w:pPr>
        <w:pStyle w:val="ListParagraph"/>
        <w:numPr>
          <w:ilvl w:val="0"/>
          <w:numId w:val="4"/>
        </w:numPr>
        <w:spacing w:after="90"/>
      </w:pPr>
      <w:r>
        <w:rPr>
          <w:color w:val="1E2B2A"/>
          <w:sz w:val="21"/>
          <w:szCs w:val="21"/>
        </w:rPr>
        <w:t xml:space="preserve">Patient images and AI-derived notes are health data; access should be role-restricted (per the Doctor &amp; Staff Admin module, Section 5.12 of the Clinical Manual) and images should never be sent to Groq or any AI provider without the patient/clinic's data-handling consent already covered under the clinic's standard EHR policy.</w:t>
      </w:r>
    </w:p>
    <w:p>
      <w:pPr>
        <w:pStyle w:val="ListParagraph"/>
        <w:numPr>
          <w:ilvl w:val="0"/>
          <w:numId w:val="4"/>
        </w:numPr>
        <w:spacing w:after="90"/>
      </w:pPr>
      <w:r>
        <w:rPr>
          <w:color w:val="1E2B2A"/>
          <w:sz w:val="21"/>
          <w:szCs w:val="21"/>
        </w:rPr>
        <w:t xml:space="preserve">Images in transit to Groq's API should be sent over TLS, and the Capture Bridge should authenticate to Dentia's backend with a clinic-scoped token, not a shared credential.</w:t>
      </w:r>
    </w:p>
    <w:p>
      <w:pPr>
        <w:pStyle w:val="ListParagraph"/>
        <w:numPr>
          <w:ilvl w:val="0"/>
          <w:numId w:val="4"/>
        </w:numPr>
        <w:spacing w:after="90"/>
      </w:pPr>
      <w:r>
        <w:rPr>
          <w:color w:val="1E2B2A"/>
          <w:sz w:val="21"/>
          <w:szCs w:val="21"/>
        </w:rPr>
        <w:t xml:space="preserve">Retain the original, unmodified image indefinitely alongside any AI finding — the AI's read is an assistive draft, not a replacement for the source radiograph or photo in the legal record.</w:t>
      </w:r>
    </w:p>
    <w:p>
      <w:pPr>
        <w:pStyle w:val="Heading1"/>
        <w:pBdr>
          <w:bottom w:val="single" w:color="0B4F4A" w:sz="8" w:space="4"/>
        </w:pBdr>
        <w:spacing w:after="160" w:before="380"/>
      </w:pPr>
      <w:r>
        <w:rPr>
          <w:rFonts w:ascii="Cambria" w:cs="Cambria" w:eastAsia="Cambria" w:hAnsi="Cambria"/>
          <w:b/>
          <w:bCs/>
          <w:color w:val="073430"/>
          <w:sz w:val="30"/>
          <w:szCs w:val="30"/>
        </w:rPr>
        <w:t xml:space="preserve">11. Implementation Roadmap</w:t>
      </w:r>
    </w:p>
    <w:tbl>
      <w:tblPr>
        <w:tblW w:type="dxa" w:w="9701"/>
        <w:tblBorders>
          <w:top w:val="single" w:color="auto" w:sz="4"/>
          <w:left w:val="single" w:color="auto" w:sz="4"/>
          <w:bottom w:val="single" w:color="auto" w:sz="4"/>
          <w:right w:val="single" w:color="auto" w:sz="4"/>
          <w:insideH w:val="single" w:color="auto" w:sz="4"/>
          <w:insideV w:val="single" w:color="auto" w:sz="4"/>
        </w:tblBorders>
      </w:tblPr>
      <w:tblGrid>
        <w:gridCol w:w="1420"/>
        <w:gridCol w:w="4732"/>
        <w:gridCol w:w="3549"/>
      </w:tblGrid>
      <w:tr>
        <w:trPr>
          <w:tblHeader/>
        </w:trPr>
        <w:tc>
          <w:tcPr>
            <w:tcW w:type="dxa" w:w="1420"/>
            <w:shd w:fill="0B4F4A" w:val="clear"/>
            <w:tcMar>
              <w:top w:type="dxa" w:w="90"/>
              <w:left w:type="dxa" w:w="120"/>
              <w:bottom w:type="dxa" w:w="90"/>
              <w:right w:type="dxa" w:w="120"/>
            </w:tcMar>
            <w:vAlign w:val="center"/>
          </w:tcPr>
          <w:p>
            <w:r>
              <w:rPr>
                <w:b/>
                <w:bCs/>
                <w:color w:val="FFFFFF"/>
                <w:sz w:val="18"/>
                <w:szCs w:val="18"/>
              </w:rPr>
              <w:t xml:space="preserve">Phase</w:t>
            </w:r>
          </w:p>
        </w:tc>
        <w:tc>
          <w:tcPr>
            <w:tcW w:type="dxa" w:w="4732"/>
            <w:shd w:fill="0B4F4A" w:val="clear"/>
            <w:tcMar>
              <w:top w:type="dxa" w:w="90"/>
              <w:left w:type="dxa" w:w="120"/>
              <w:bottom w:type="dxa" w:w="90"/>
              <w:right w:type="dxa" w:w="120"/>
            </w:tcMar>
            <w:vAlign w:val="center"/>
          </w:tcPr>
          <w:p>
            <w:r>
              <w:rPr>
                <w:b/>
                <w:bCs/>
                <w:color w:val="FFFFFF"/>
                <w:sz w:val="18"/>
                <w:szCs w:val="18"/>
              </w:rPr>
              <w:t xml:space="preserve">Deliverable</w:t>
            </w:r>
          </w:p>
        </w:tc>
        <w:tc>
          <w:tcPr>
            <w:tcW w:type="dxa" w:w="3549"/>
            <w:shd w:fill="0B4F4A" w:val="clear"/>
            <w:tcMar>
              <w:top w:type="dxa" w:w="90"/>
              <w:left w:type="dxa" w:w="120"/>
              <w:bottom w:type="dxa" w:w="90"/>
              <w:right w:type="dxa" w:w="120"/>
            </w:tcMar>
            <w:vAlign w:val="center"/>
          </w:tcPr>
          <w:p>
            <w:r>
              <w:rPr>
                <w:b/>
                <w:bCs/>
                <w:color w:val="FFFFFF"/>
                <w:sz w:val="18"/>
                <w:szCs w:val="18"/>
              </w:rPr>
              <w:t xml:space="preserve">Key Dependency</w:t>
            </w:r>
          </w:p>
        </w:tc>
      </w:tr>
      <w:tr>
        <w:tc>
          <w:tcPr>
            <w:tcW w:type="dxa" w:w="1420"/>
            <w:tcMar>
              <w:top w:type="dxa" w:w="90"/>
              <w:left w:type="dxa" w:w="120"/>
              <w:bottom w:type="dxa" w:w="90"/>
              <w:right w:type="dxa" w:w="120"/>
            </w:tcMar>
            <w:vAlign w:val="center"/>
          </w:tcPr>
          <w:p>
            <w:r>
              <w:rPr>
                <w:b w:val="false"/>
                <w:bCs w:val="false"/>
                <w:color w:val="1E2B2A"/>
                <w:sz w:val="18"/>
                <w:szCs w:val="18"/>
              </w:rPr>
              <w:t xml:space="preserve">Phase 1</w:t>
            </w:r>
          </w:p>
        </w:tc>
        <w:tc>
          <w:tcPr>
            <w:tcW w:type="dxa" w:w="4732"/>
            <w:tcMar>
              <w:top w:type="dxa" w:w="90"/>
              <w:left w:type="dxa" w:w="120"/>
              <w:bottom w:type="dxa" w:w="90"/>
              <w:right w:type="dxa" w:w="120"/>
            </w:tcMar>
            <w:vAlign w:val="center"/>
          </w:tcPr>
          <w:p>
            <w:r>
              <w:rPr>
                <w:b w:val="false"/>
                <w:bCs w:val="false"/>
                <w:color w:val="1E2B2A"/>
                <w:sz w:val="18"/>
                <w:szCs w:val="18"/>
              </w:rPr>
              <w:t xml:space="preserve">Browser-native capture for UVC intraoral cameras &amp; webcams (photo + short clip) into Imaging &amp; X-Rays</w:t>
            </w:r>
          </w:p>
        </w:tc>
        <w:tc>
          <w:tcPr>
            <w:tcW w:type="dxa" w:w="3549"/>
            <w:tcMar>
              <w:top w:type="dxa" w:w="90"/>
              <w:left w:type="dxa" w:w="120"/>
              <w:bottom w:type="dxa" w:w="90"/>
              <w:right w:type="dxa" w:w="120"/>
            </w:tcMar>
            <w:vAlign w:val="center"/>
          </w:tcPr>
          <w:p>
            <w:r>
              <w:rPr>
                <w:b w:val="false"/>
                <w:bCs w:val="false"/>
                <w:color w:val="1E2B2A"/>
                <w:sz w:val="18"/>
                <w:szCs w:val="18"/>
              </w:rPr>
              <w:t xml:space="preserve">getUserMedia / MediaRecorder browser APIs — no new hardware integration</w:t>
            </w:r>
          </w:p>
        </w:tc>
      </w:tr>
      <w:tr>
        <w:tc>
          <w:tcPr>
            <w:tcW w:type="dxa" w:w="1420"/>
            <w:shd w:fill="F2F7F6" w:val="clear"/>
            <w:tcMar>
              <w:top w:type="dxa" w:w="90"/>
              <w:left w:type="dxa" w:w="120"/>
              <w:bottom w:type="dxa" w:w="90"/>
              <w:right w:type="dxa" w:w="120"/>
            </w:tcMar>
            <w:vAlign w:val="center"/>
          </w:tcPr>
          <w:p>
            <w:r>
              <w:rPr>
                <w:b w:val="false"/>
                <w:bCs w:val="false"/>
                <w:color w:val="1E2B2A"/>
                <w:sz w:val="18"/>
                <w:szCs w:val="18"/>
              </w:rPr>
              <w:t xml:space="preserve">Phase 2</w:t>
            </w:r>
          </w:p>
        </w:tc>
        <w:tc>
          <w:tcPr>
            <w:tcW w:type="dxa" w:w="4732"/>
            <w:shd w:fill="F2F7F6" w:val="clear"/>
            <w:tcMar>
              <w:top w:type="dxa" w:w="90"/>
              <w:left w:type="dxa" w:w="120"/>
              <w:bottom w:type="dxa" w:w="90"/>
              <w:right w:type="dxa" w:w="120"/>
            </w:tcMar>
            <w:vAlign w:val="center"/>
          </w:tcPr>
          <w:p>
            <w:r>
              <w:rPr>
                <w:b w:val="false"/>
                <w:bCs w:val="false"/>
                <w:color w:val="1E2B2A"/>
                <w:sz w:val="18"/>
                <w:szCs w:val="18"/>
              </w:rPr>
              <w:t xml:space="preserve">Local Capture Bridge (Windows service) for TWAIN-based RVG sensors, with folder-watch auto-upload</w:t>
            </w:r>
          </w:p>
        </w:tc>
        <w:tc>
          <w:tcPr>
            <w:tcW w:type="dxa" w:w="3549"/>
            <w:shd w:fill="F2F7F6" w:val="clear"/>
            <w:tcMar>
              <w:top w:type="dxa" w:w="90"/>
              <w:left w:type="dxa" w:w="120"/>
              <w:bottom w:type="dxa" w:w="90"/>
              <w:right w:type="dxa" w:w="120"/>
            </w:tcMar>
            <w:vAlign w:val="center"/>
          </w:tcPr>
          <w:p>
            <w:r>
              <w:rPr>
                <w:b w:val="false"/>
                <w:bCs w:val="false"/>
                <w:color w:val="1E2B2A"/>
                <w:sz w:val="18"/>
                <w:szCs w:val="18"/>
              </w:rPr>
              <w:t xml:space="preserve">Sensor vendor TWAIN SDK access; one bridge build per common sensor brand in Section 9.1</w:t>
            </w:r>
          </w:p>
        </w:tc>
      </w:tr>
      <w:tr>
        <w:tc>
          <w:tcPr>
            <w:tcW w:type="dxa" w:w="1420"/>
            <w:tcMar>
              <w:top w:type="dxa" w:w="90"/>
              <w:left w:type="dxa" w:w="120"/>
              <w:bottom w:type="dxa" w:w="90"/>
              <w:right w:type="dxa" w:w="120"/>
            </w:tcMar>
            <w:vAlign w:val="center"/>
          </w:tcPr>
          <w:p>
            <w:r>
              <w:rPr>
                <w:b w:val="false"/>
                <w:bCs w:val="false"/>
                <w:color w:val="1E2B2A"/>
                <w:sz w:val="18"/>
                <w:szCs w:val="18"/>
              </w:rPr>
              <w:t xml:space="preserve">Phase 3</w:t>
            </w:r>
          </w:p>
        </w:tc>
        <w:tc>
          <w:tcPr>
            <w:tcW w:type="dxa" w:w="4732"/>
            <w:tcMar>
              <w:top w:type="dxa" w:w="90"/>
              <w:left w:type="dxa" w:w="120"/>
              <w:bottom w:type="dxa" w:w="90"/>
              <w:right w:type="dxa" w:w="120"/>
            </w:tcMar>
            <w:vAlign w:val="center"/>
          </w:tcPr>
          <w:p>
            <w:r>
              <w:rPr>
                <w:b w:val="false"/>
                <w:bCs w:val="false"/>
                <w:color w:val="1E2B2A"/>
                <w:sz w:val="18"/>
                <w:szCs w:val="18"/>
              </w:rPr>
              <w:t xml:space="preserve">Groq vision pipeline: prompt design, JSON schema, confidence thresholds, pending-chart overlay UI</w:t>
            </w:r>
          </w:p>
        </w:tc>
        <w:tc>
          <w:tcPr>
            <w:tcW w:type="dxa" w:w="3549"/>
            <w:tcMar>
              <w:top w:type="dxa" w:w="90"/>
              <w:left w:type="dxa" w:w="120"/>
              <w:bottom w:type="dxa" w:w="90"/>
              <w:right w:type="dxa" w:w="120"/>
            </w:tcMar>
            <w:vAlign w:val="center"/>
          </w:tcPr>
          <w:p>
            <w:r>
              <w:rPr>
                <w:b w:val="false"/>
                <w:bCs w:val="false"/>
                <w:color w:val="1E2B2A"/>
                <w:sz w:val="18"/>
                <w:szCs w:val="18"/>
              </w:rPr>
              <w:t xml:space="preserve">Groq API key; sample annotated X-ray set for prompt tuning</w:t>
            </w:r>
          </w:p>
        </w:tc>
      </w:tr>
      <w:tr>
        <w:tc>
          <w:tcPr>
            <w:tcW w:type="dxa" w:w="1420"/>
            <w:shd w:fill="F2F7F6" w:val="clear"/>
            <w:tcMar>
              <w:top w:type="dxa" w:w="90"/>
              <w:left w:type="dxa" w:w="120"/>
              <w:bottom w:type="dxa" w:w="90"/>
              <w:right w:type="dxa" w:w="120"/>
            </w:tcMar>
            <w:vAlign w:val="center"/>
          </w:tcPr>
          <w:p>
            <w:r>
              <w:rPr>
                <w:b w:val="false"/>
                <w:bCs w:val="false"/>
                <w:color w:val="1E2B2A"/>
                <w:sz w:val="18"/>
                <w:szCs w:val="18"/>
              </w:rPr>
              <w:t xml:space="preserve">Phase 4</w:t>
            </w:r>
          </w:p>
        </w:tc>
        <w:tc>
          <w:tcPr>
            <w:tcW w:type="dxa" w:w="4732"/>
            <w:shd w:fill="F2F7F6" w:val="clear"/>
            <w:tcMar>
              <w:top w:type="dxa" w:w="90"/>
              <w:left w:type="dxa" w:w="120"/>
              <w:bottom w:type="dxa" w:w="90"/>
              <w:right w:type="dxa" w:w="120"/>
            </w:tcMar>
            <w:vAlign w:val="center"/>
          </w:tcPr>
          <w:p>
            <w:r>
              <w:rPr>
                <w:b w:val="false"/>
                <w:bCs w:val="false"/>
                <w:color w:val="1E2B2A"/>
                <w:sz w:val="18"/>
                <w:szCs w:val="18"/>
              </w:rPr>
              <w:t xml:space="preserve">OPG/Panoramic DICOM or TWAIN-bridge ingestion</w:t>
            </w:r>
          </w:p>
        </w:tc>
        <w:tc>
          <w:tcPr>
            <w:tcW w:type="dxa" w:w="3549"/>
            <w:shd w:fill="F2F7F6" w:val="clear"/>
            <w:tcMar>
              <w:top w:type="dxa" w:w="90"/>
              <w:left w:type="dxa" w:w="120"/>
              <w:bottom w:type="dxa" w:w="90"/>
              <w:right w:type="dxa" w:w="120"/>
            </w:tcMar>
            <w:vAlign w:val="center"/>
          </w:tcPr>
          <w:p>
            <w:r>
              <w:rPr>
                <w:b w:val="false"/>
                <w:bCs w:val="false"/>
                <w:color w:val="1E2B2A"/>
                <w:sz w:val="18"/>
                <w:szCs w:val="18"/>
              </w:rPr>
              <w:t xml:space="preserve">Network access to the OPG machine's export path or DICOM node</w:t>
            </w:r>
          </w:p>
        </w:tc>
      </w:tr>
      <w:tr>
        <w:tc>
          <w:tcPr>
            <w:tcW w:type="dxa" w:w="1420"/>
            <w:tcMar>
              <w:top w:type="dxa" w:w="90"/>
              <w:left w:type="dxa" w:w="120"/>
              <w:bottom w:type="dxa" w:w="90"/>
              <w:right w:type="dxa" w:w="120"/>
            </w:tcMar>
            <w:vAlign w:val="center"/>
          </w:tcPr>
          <w:p>
            <w:r>
              <w:rPr>
                <w:b w:val="false"/>
                <w:bCs w:val="false"/>
                <w:color w:val="1E2B2A"/>
                <w:sz w:val="18"/>
                <w:szCs w:val="18"/>
              </w:rPr>
              <w:t xml:space="preserve">Phase 5</w:t>
            </w:r>
          </w:p>
        </w:tc>
        <w:tc>
          <w:tcPr>
            <w:tcW w:type="dxa" w:w="4732"/>
            <w:tcMar>
              <w:top w:type="dxa" w:w="90"/>
              <w:left w:type="dxa" w:w="120"/>
              <w:bottom w:type="dxa" w:w="90"/>
              <w:right w:type="dxa" w:w="120"/>
            </w:tcMar>
            <w:vAlign w:val="center"/>
          </w:tcPr>
          <w:p>
            <w:r>
              <w:rPr>
                <w:b w:val="false"/>
                <w:bCs w:val="false"/>
                <w:color w:val="1E2B2A"/>
                <w:sz w:val="18"/>
                <w:szCs w:val="18"/>
              </w:rPr>
              <w:t xml:space="preserve">Full AI Notes + Auto-Chart round-trip with dentist accept/edit/dismiss controls</w:t>
            </w:r>
          </w:p>
        </w:tc>
        <w:tc>
          <w:tcPr>
            <w:tcW w:type="dxa" w:w="3549"/>
            <w:tcMar>
              <w:top w:type="dxa" w:w="90"/>
              <w:left w:type="dxa" w:w="120"/>
              <w:bottom w:type="dxa" w:w="90"/>
              <w:right w:type="dxa" w:w="120"/>
            </w:tcMar>
            <w:vAlign w:val="center"/>
          </w:tcPr>
          <w:p>
            <w:r>
              <w:rPr>
                <w:b w:val="false"/>
                <w:bCs w:val="false"/>
                <w:color w:val="1E2B2A"/>
                <w:sz w:val="18"/>
                <w:szCs w:val="18"/>
              </w:rPr>
              <w:t xml:space="preserve">Phases 1–3 complete; SOAP template integration (Section 5.7 of Clinical Manual)</w:t>
            </w:r>
          </w:p>
        </w:tc>
      </w:tr>
    </w:tbl>
    <w:p>
      <w:pPr>
        <w:pStyle w:val="Heading1"/>
        <w:pBdr>
          <w:bottom w:val="single" w:color="0B4F4A" w:sz="8" w:space="4"/>
        </w:pBdr>
        <w:spacing w:after="160" w:before="380"/>
      </w:pPr>
      <w:r>
        <w:rPr>
          <w:rFonts w:ascii="Cambria" w:cs="Cambria" w:eastAsia="Cambria" w:hAnsi="Cambria"/>
          <w:b/>
          <w:bCs/>
          <w:color w:val="073430"/>
          <w:sz w:val="30"/>
          <w:szCs w:val="30"/>
        </w:rPr>
        <w:t xml:space="preserve">12. Summary</w:t>
      </w:r>
    </w:p>
    <w:p>
      <w:pPr>
        <w:spacing w:after="160" w:line="276"/>
      </w:pPr>
      <w:r>
        <w:rPr>
          <w:b w:val="false"/>
          <w:bCs w:val="false"/>
          <w:i w:val="false"/>
          <w:iCs w:val="false"/>
          <w:color w:val="1E2B2A"/>
          <w:sz w:val="21"/>
          <w:szCs w:val="21"/>
        </w:rPr>
        <w:t xml:space="preserve">Two capture paths cover essentially all chairside imaging hardware: UVC devices (intraoral cameras, webcams) connect straight through the browser with no extra software, while X-ray sensors and OPG machines need a small local Capture Bridge because their TWAIN/DICOM interfaces aren't reachable from a sandboxed browser. Either way, the resulting image lands in Imaging &amp; X-Rays automatically and is handed to Groq's vision model for a fast, structured clinical read. That read becomes a draft SOAP note and a set of pending odontogram markers — never a silent chart edit — so the dentist stays the final decision-maker while the AI removes the manual transcription and filing work around every X-ray, photo, and video captured during the visit.</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E6C"/>
        <w:sz w:val="16"/>
        <w:szCs w:val="16"/>
      </w:rPr>
      <w:t xml:space="preserve">Page </w:t>
    </w:r>
    <w:r>
      <w:rPr>
        <w:color w:val="5C6E6C"/>
        <w:sz w:val="16"/>
        <w:szCs w:val="16"/>
      </w:rPr>
      <w:fldChar w:fldCharType="begin"/>
      <w:instrText xml:space="preserve">PAGE</w:instrText>
      <w:fldChar w:fldCharType="separate"/>
      <w:fldChar w:fldCharType="end"/>
    </w:r>
    <w:r>
      <w:rPr>
        <w:color w:val="5C6E6C"/>
        <w:sz w:val="16"/>
        <w:szCs w:val="16"/>
      </w:rPr>
      <w:t xml:space="preserve"> of </w:t>
    </w:r>
    <w:r>
      <w:rPr>
        <w:color w:val="5C6E6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4E2" w:sz="4" w:space="4"/>
      </w:pBdr>
      <w:jc w:val="right"/>
    </w:pPr>
    <w:r>
      <w:rPr>
        <w:color w:val="5C6E6C"/>
        <w:sz w:val="15"/>
        <w:szCs w:val="15"/>
      </w:rPr>
      <w:t xml:space="preserve">DENTIA · IMAGING &amp; AI INTEGRATION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B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2026-09-14T09:06:27.124Z</dcterms:created>
  <dcterms:modified xsi:type="dcterms:W3CDTF">2026-09-14T09:06:27.124Z</dcterms:modified>
</cp:coreProperties>
</file>

<file path=docProps/custom.xml><?xml version="1.0" encoding="utf-8"?>
<Properties xmlns="http://schemas.openxmlformats.org/officeDocument/2006/custom-properties" xmlns:vt="http://schemas.openxmlformats.org/officeDocument/2006/docPropsVTypes"/>
</file>