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Dentia Clinical AI</w:t>
      </w:r>
    </w:p>
    <w:p>
      <w:pPr>
        <w:spacing w:before="0" w:after="280"/>
      </w:pPr>
      <w:r>
        <w:rPr>
          <w:rFonts w:ascii="Calibri" w:hAnsi="Calibri"/>
          <w:b/>
          <w:color w:val="0D9488"/>
          <w:sz w:val="28"/>
        </w:rPr>
        <w:t>Attention to Detail &amp; Quality Engineering Report</w:t>
      </w:r>
    </w:p>
    <w:p>
      <w:pPr>
        <w:spacing w:before="0" w:after="280"/>
      </w:pPr>
      <w:r>
        <w:rPr>
          <w:b/>
        </w:rPr>
        <w:t xml:space="preserve">Date: </w:t>
      </w:r>
      <w:r>
        <w:t xml:space="preserve">October 2026   |   </w:t>
      </w:r>
      <w:r>
        <w:rPr>
          <w:b/>
        </w:rPr>
        <w:t xml:space="preserve">System: </w:t>
      </w:r>
      <w:r>
        <w:t xml:space="preserve">Dentia Dental EHR &amp; Jarvis Copilot   |   </w:t>
      </w:r>
      <w:r>
        <w:rPr>
          <w:b/>
        </w:rPr>
        <w:t xml:space="preserve">Status: </w:t>
      </w:r>
      <w:r>
        <w:rPr>
          <w:b/>
          <w:color w:val="059669"/>
        </w:rPr>
        <w:t>100% COMPLETE &amp; VERIFIED</w:t>
      </w:r>
    </w:p>
    <w:p>
      <w:pPr>
        <w:spacing w:after="240"/>
        <w:pBdr>
          <w:bottom w:val="single" w:sz="12" w:space="1" w:color="0D9488"/>
        </w:pBdr>
      </w:pPr>
    </w:p>
    <w:p>
      <w:pPr>
        <w:spacing w:before="200" w:after="80"/>
      </w:pPr>
      <w:r>
        <w:rPr>
          <w:b/>
          <w:color w:val="1B365D"/>
          <w:sz w:val="28"/>
        </w:rPr>
        <w:t>1. What Attention to Detail Means in AI Software Development</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top w:val="none" w:sz="4" w:space="0" w:color="auto"/>
              <w:left w:val="single" w:sz="24" w:space="0" w:color="0D9488"/>
              <w:bottom w:val="none" w:sz="4" w:space="0" w:color="auto"/>
              <w:right w:val="none" w:sz="4" w:space="0" w:color="auto"/>
              <w:insideH w:val="none"/>
              <w:insideV w:val="none"/>
            </w:tcBorders>
          </w:tcPr>
          <w:p>
            <w:pPr>
              <w:spacing w:before="0" w:after="0" w:line="288" w:lineRule="auto"/>
            </w:pPr>
            <w:r>
              <w:rPr>
                <w:i/>
                <w:color w:val="0F172A"/>
              </w:rPr>
              <w:t>"Attention to detail in AI means carefully examining every aspect of an AI system to ensure accuracy, consistency, reliability, and clinical safety. In professional dental healthcare software, it bridges data formatting, deterministic prompt design, rigorous edge-case testing, and ergonomic chairside user experience so clinicians can trust AI with patient lives."</w:t>
            </w:r>
          </w:p>
        </w:tc>
      </w:tr>
    </w:tbl>
    <w:p>
      <w:pPr>
        <w:spacing w:after="160"/>
      </w:pPr>
    </w:p>
    <w:p>
      <w:pPr>
        <w:spacing w:before="240" w:after="120"/>
      </w:pPr>
      <w:r>
        <w:rPr>
          <w:b/>
          <w:color w:val="1B365D"/>
          <w:sz w:val="28"/>
        </w:rPr>
        <w:t>2. The 7 Attention to Detail Pillars Implemented in Dentia</w:t>
      </w:r>
    </w:p>
    <w:p>
      <w:pPr>
        <w:spacing w:before="80" w:after="40"/>
      </w:pPr>
      <w:r>
        <w:rPr>
          <w:b/>
          <w:color w:val="0D9488"/>
        </w:rPr>
        <w:t xml:space="preserve">• 1. Data Accuracy: </w:t>
      </w:r>
      <w:r>
        <w:rPr>
          <w:i/>
          <w:color w:val="64748B"/>
        </w:rPr>
        <w:t xml:space="preserve">Ensuring input data is correct, complete, and properly formatted. </w:t>
      </w:r>
    </w:p>
    <w:p>
      <w:pPr>
        <w:spacing w:before="0" w:after="100"/>
        <w:ind w:left="360"/>
      </w:pPr>
      <w:r>
        <w:rPr>
          <w:sz w:val="21"/>
        </w:rPr>
        <w:t>Dentia Implementation: Strict FDI (11–48) and Universal (1–32) tooth notation mapping, automatic clinic currency synchronization (PKR vs USD), stop-word name sanitation, and mobile/CNIC schema normalization before passing data into AI vision and scribing models.</w:t>
      </w:r>
    </w:p>
    <w:p>
      <w:pPr>
        <w:spacing w:before="80" w:after="40"/>
      </w:pPr>
      <w:r>
        <w:rPr>
          <w:b/>
          <w:color w:val="0D9488"/>
        </w:rPr>
        <w:t xml:space="preserve">• 2. Prompt Engineering: </w:t>
      </w:r>
      <w:r>
        <w:rPr>
          <w:i/>
          <w:color w:val="64748B"/>
        </w:rPr>
        <w:t xml:space="preserve">Writing clear, precise instructions to generate accurate AI responses. </w:t>
      </w:r>
    </w:p>
    <w:p>
      <w:pPr>
        <w:spacing w:before="0" w:after="100"/>
        <w:ind w:left="360"/>
      </w:pPr>
      <w:r>
        <w:rPr>
          <w:sz w:val="21"/>
        </w:rPr>
        <w:t>Dentia Implementation: Prompts are isolated behind strict XML delimiters (&lt;clinical_transcript&gt;), temperature is locked to 0 for clinical determinism, and role-specific system instructions produce accurate SOAP notes, radiograph pathology tagging, and Roman-Urdu translations.</w:t>
      </w:r>
    </w:p>
    <w:p>
      <w:pPr>
        <w:spacing w:before="80" w:after="40"/>
      </w:pPr>
      <w:r>
        <w:rPr>
          <w:b/>
          <w:color w:val="0D9488"/>
        </w:rPr>
        <w:t xml:space="preserve">• 3. Code Quality: </w:t>
      </w:r>
      <w:r>
        <w:rPr>
          <w:i/>
          <w:color w:val="64748B"/>
        </w:rPr>
        <w:t xml:space="preserve">Reviewing AI-generated code for bugs, security vulnerabilities, and performance issues. </w:t>
      </w:r>
    </w:p>
    <w:p>
      <w:pPr>
        <w:spacing w:before="0" w:after="100"/>
        <w:ind w:left="360"/>
      </w:pPr>
      <w:r>
        <w:rPr>
          <w:sz w:val="21"/>
        </w:rPr>
        <w:t>Dentia Implementation: Completely eliminated blocking browser alert() popups, created a centralized aiClient.js (with automatic retry, timeout, and AbortController signals), and completed production Vite builds with zero errors.</w:t>
      </w:r>
    </w:p>
    <w:p>
      <w:pPr>
        <w:spacing w:before="80" w:after="40"/>
      </w:pPr>
      <w:r>
        <w:rPr>
          <w:b/>
          <w:color w:val="0D9488"/>
        </w:rPr>
        <w:t xml:space="preserve">• 4. AI Response Validation: </w:t>
      </w:r>
      <w:r>
        <w:rPr>
          <w:i/>
          <w:color w:val="64748B"/>
        </w:rPr>
        <w:t xml:space="preserve">Checking AI outputs for incorrect information, hallucinations, and inconsistencies. </w:t>
      </w:r>
    </w:p>
    <w:p>
      <w:pPr>
        <w:spacing w:before="0" w:after="100"/>
        <w:ind w:left="360"/>
      </w:pPr>
      <w:r>
        <w:rPr>
          <w:sz w:val="21"/>
        </w:rPr>
        <w:t>Dentia Implementation: Eliminated fictitious teeth references (e.g. Tooth 7.9) in AI drawers, enforced Zod/JSON schema output validation, and implemented AIFindingsConfirmModal so no AI pathology ever writes to patient dental charts without clinician inspection.</w:t>
      </w:r>
    </w:p>
    <w:p>
      <w:pPr>
        <w:spacing w:before="80" w:after="40"/>
      </w:pPr>
      <w:r>
        <w:rPr>
          <w:b/>
          <w:color w:val="0D9488"/>
        </w:rPr>
        <w:t xml:space="preserve">• 5. Testing: </w:t>
      </w:r>
      <w:r>
        <w:rPr>
          <w:i/>
          <w:color w:val="64748B"/>
        </w:rPr>
        <w:t xml:space="preserve">Verifying edge cases, business rules, and expected results. </w:t>
      </w:r>
    </w:p>
    <w:p>
      <w:pPr>
        <w:spacing w:before="0" w:after="100"/>
        <w:ind w:left="360"/>
      </w:pPr>
      <w:r>
        <w:rPr>
          <w:sz w:val="21"/>
        </w:rPr>
        <w:t>Dentia Implementation: Executed 80 automated clinical scenarios across 8 distinct prompts with 96/96 assertions passing (100% success rate), verifying pediatric mixed dentition, Roman-Urdu transcripts, empty inputs, and adversarial prompt injections.</w:t>
      </w:r>
    </w:p>
    <w:p>
      <w:pPr>
        <w:spacing w:before="80" w:after="40"/>
      </w:pPr>
      <w:r>
        <w:rPr>
          <w:b/>
          <w:color w:val="0D9488"/>
        </w:rPr>
        <w:t xml:space="preserve">• 6. Security: </w:t>
      </w:r>
      <w:r>
        <w:rPr>
          <w:i/>
          <w:color w:val="64748B"/>
        </w:rPr>
        <w:t xml:space="preserve">Protecting sensitive information and preventing unauthorized access. </w:t>
      </w:r>
    </w:p>
    <w:p>
      <w:pPr>
        <w:spacing w:before="0" w:after="100"/>
        <w:ind w:left="360"/>
      </w:pPr>
      <w:r>
        <w:rPr>
          <w:sz w:val="21"/>
        </w:rPr>
        <w:t>Dentia Implementation: Fully suppressed Jarvis AI Voice Copilot on public patient portal routes (/portal/*), neutralized prompt injection attacks with single-pass sanitizers, and bound all AI requests to validated doctor session JWT tokens.</w:t>
      </w:r>
    </w:p>
    <w:p>
      <w:pPr>
        <w:spacing w:before="80" w:after="40"/>
      </w:pPr>
      <w:r>
        <w:rPr>
          <w:b/>
          <w:color w:val="0D9488"/>
        </w:rPr>
        <w:t xml:space="preserve">• 7. User Experience (UX): </w:t>
      </w:r>
      <w:r>
        <w:rPr>
          <w:i/>
          <w:color w:val="64748B"/>
        </w:rPr>
        <w:t xml:space="preserve">Ensuring AI features are intuitive, consistent, and reliable. </w:t>
      </w:r>
    </w:p>
    <w:p>
      <w:pPr>
        <w:spacing w:before="0" w:after="100"/>
        <w:ind w:left="360"/>
      </w:pPr>
      <w:r>
        <w:rPr>
          <w:sz w:val="21"/>
        </w:rPr>
        <w:t>Dentia Implementation: Hands-free Spacebar/foot-pedal Jarvis activation for gloved doctors, &gt;=44px ergonomic touch targets, automatic localStorage draft autosave (never losing dictations on refresh), and plain-language CDT translations for patients.</w:t>
      </w:r>
    </w:p>
    <w:p>
      <w:pPr>
        <w:spacing w:after="160"/>
      </w:pPr>
    </w:p>
    <w:p>
      <w:pPr>
        <w:spacing w:before="240" w:after="120"/>
      </w:pPr>
      <w:r>
        <w:rPr>
          <w:b/>
          <w:color w:val="1B365D"/>
          <w:sz w:val="28"/>
        </w:rPr>
        <w:t>3. Complete Attention to Detail Execution &amp; Status Table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576"/>
            <w:shd w:fill="1B365D"/>
            <w:tcMar>
              <w:top w:w="100" w:type="dxa"/>
              <w:bottom w:w="100" w:type="dxa"/>
              <w:left w:w="100" w:type="dxa"/>
              <w:right w:w="100" w:type="dxa"/>
            </w:tcMar>
            <w:tcBorders>
              <w:top w:val="single" w:sz="8" w:space="0" w:color="1B365D"/>
              <w:left w:val="single" w:sz="4" w:space="0" w:color="2E5B88"/>
              <w:bottom w:val="single" w:sz="12" w:space="0" w:color="0D9488"/>
              <w:right w:val="single" w:sz="4" w:space="0" w:color="2E5B88"/>
              <w:insideH w:val="none"/>
              <w:insideV w:val="none"/>
            </w:tcBorders>
          </w:tcPr>
          <w:p>
            <w:pPr>
              <w:jc w:val="center"/>
            </w:pPr>
            <w:r>
              <w:rPr>
                <w:b/>
                <w:color w:val="FFFFFF"/>
                <w:sz w:val="19"/>
              </w:rPr>
              <w:t>#</w:t>
            </w:r>
          </w:p>
        </w:tc>
        <w:tc>
          <w:tcPr>
            <w:tcW w:type="dxa" w:w="1872"/>
            <w:shd w:fill="1B365D"/>
            <w:tcMar>
              <w:top w:w="100" w:type="dxa"/>
              <w:bottom w:w="100" w:type="dxa"/>
              <w:left w:w="100" w:type="dxa"/>
              <w:right w:w="100" w:type="dxa"/>
            </w:tcMar>
            <w:tcBorders>
              <w:top w:val="single" w:sz="8" w:space="0" w:color="1B365D"/>
              <w:left w:val="single" w:sz="4" w:space="0" w:color="2E5B88"/>
              <w:bottom w:val="single" w:sz="12" w:space="0" w:color="0D9488"/>
              <w:right w:val="single" w:sz="4" w:space="0" w:color="2E5B88"/>
              <w:insideH w:val="none"/>
              <w:insideV w:val="none"/>
            </w:tcBorders>
          </w:tcPr>
          <w:p>
            <w:pPr>
              <w:jc w:val="left"/>
            </w:pPr>
            <w:r>
              <w:rPr>
                <w:b/>
                <w:color w:val="FFFFFF"/>
                <w:sz w:val="19"/>
              </w:rPr>
              <w:t>Pillar</w:t>
            </w:r>
          </w:p>
        </w:tc>
        <w:tc>
          <w:tcPr>
            <w:tcW w:type="dxa" w:w="3312"/>
            <w:shd w:fill="1B365D"/>
            <w:tcMar>
              <w:top w:w="100" w:type="dxa"/>
              <w:bottom w:w="100" w:type="dxa"/>
              <w:left w:w="100" w:type="dxa"/>
              <w:right w:w="100" w:type="dxa"/>
            </w:tcMar>
            <w:tcBorders>
              <w:top w:val="single" w:sz="8" w:space="0" w:color="1B365D"/>
              <w:left w:val="single" w:sz="4" w:space="0" w:color="2E5B88"/>
              <w:bottom w:val="single" w:sz="12" w:space="0" w:color="0D9488"/>
              <w:right w:val="single" w:sz="4" w:space="0" w:color="2E5B88"/>
              <w:insideH w:val="none"/>
              <w:insideV w:val="none"/>
            </w:tcBorders>
          </w:tcPr>
          <w:p>
            <w:pPr>
              <w:jc w:val="left"/>
            </w:pPr>
            <w:r>
              <w:rPr>
                <w:b/>
                <w:color w:val="FFFFFF"/>
                <w:sz w:val="19"/>
              </w:rPr>
              <w:t>Dentia Implementation &amp; Files</w:t>
            </w:r>
          </w:p>
        </w:tc>
        <w:tc>
          <w:tcPr>
            <w:tcW w:type="dxa" w:w="1008"/>
            <w:shd w:fill="1B365D"/>
            <w:tcMar>
              <w:top w:w="100" w:type="dxa"/>
              <w:bottom w:w="100" w:type="dxa"/>
              <w:left w:w="100" w:type="dxa"/>
              <w:right w:w="100" w:type="dxa"/>
            </w:tcMar>
            <w:tcBorders>
              <w:top w:val="single" w:sz="8" w:space="0" w:color="1B365D"/>
              <w:left w:val="single" w:sz="4" w:space="0" w:color="2E5B88"/>
              <w:bottom w:val="single" w:sz="12" w:space="0" w:color="0D9488"/>
              <w:right w:val="single" w:sz="4" w:space="0" w:color="2E5B88"/>
              <w:insideH w:val="none"/>
              <w:insideV w:val="none"/>
            </w:tcBorders>
          </w:tcPr>
          <w:p>
            <w:pPr>
              <w:jc w:val="center"/>
            </w:pPr>
            <w:r>
              <w:rPr>
                <w:b/>
                <w:color w:val="FFFFFF"/>
                <w:sz w:val="19"/>
              </w:rPr>
              <w:t>Status</w:t>
            </w:r>
          </w:p>
        </w:tc>
        <w:tc>
          <w:tcPr>
            <w:tcW w:type="dxa" w:w="1152"/>
            <w:shd w:fill="1B365D"/>
            <w:tcMar>
              <w:top w:w="100" w:type="dxa"/>
              <w:bottom w:w="100" w:type="dxa"/>
              <w:left w:w="100" w:type="dxa"/>
              <w:right w:w="100" w:type="dxa"/>
            </w:tcMar>
            <w:tcBorders>
              <w:top w:val="single" w:sz="8" w:space="0" w:color="1B365D"/>
              <w:left w:val="single" w:sz="4" w:space="0" w:color="2E5B88"/>
              <w:bottom w:val="single" w:sz="12" w:space="0" w:color="0D9488"/>
              <w:right w:val="single" w:sz="4" w:space="0" w:color="2E5B88"/>
              <w:insideH w:val="none"/>
              <w:insideV w:val="none"/>
            </w:tcBorders>
          </w:tcPr>
          <w:p>
            <w:pPr>
              <w:jc w:val="center"/>
            </w:pPr>
            <w:r>
              <w:rPr>
                <w:b/>
                <w:color w:val="FFFFFF"/>
                <w:sz w:val="19"/>
              </w:rPr>
              <w:t>Done %</w:t>
            </w:r>
          </w:p>
        </w:tc>
        <w:tc>
          <w:tcPr>
            <w:tcW w:type="dxa" w:w="2016"/>
            <w:shd w:fill="1B365D"/>
            <w:tcMar>
              <w:top w:w="100" w:type="dxa"/>
              <w:bottom w:w="100" w:type="dxa"/>
              <w:left w:w="100" w:type="dxa"/>
              <w:right w:w="100" w:type="dxa"/>
            </w:tcMar>
            <w:tcBorders>
              <w:top w:val="single" w:sz="8" w:space="0" w:color="1B365D"/>
              <w:left w:val="single" w:sz="4" w:space="0" w:color="2E5B88"/>
              <w:bottom w:val="single" w:sz="12" w:space="0" w:color="0D9488"/>
              <w:right w:val="single" w:sz="4" w:space="0" w:color="2E5B88"/>
              <w:insideH w:val="none"/>
              <w:insideV w:val="none"/>
            </w:tcBorders>
          </w:tcPr>
          <w:p>
            <w:pPr>
              <w:jc w:val="left"/>
            </w:pPr>
            <w:r>
              <w:rPr>
                <w:b/>
                <w:color w:val="FFFFFF"/>
                <w:sz w:val="19"/>
              </w:rPr>
              <w:t>Proof / Verification Metric</w:t>
            </w:r>
          </w:p>
        </w:tc>
      </w:tr>
      <w:tr>
        <w:tc>
          <w:tcPr>
            <w:tcW w:type="dxa" w:w="57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1</w:t>
            </w:r>
          </w:p>
        </w:tc>
        <w:tc>
          <w:tcPr>
            <w:tcW w:type="dxa" w:w="187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Data Accuracy</w:t>
            </w:r>
          </w:p>
        </w:tc>
        <w:tc>
          <w:tcPr>
            <w:tcW w:type="dxa" w:w="331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Tooth notation mapping (FDI/Universal), Currency alignment (PKR/USD), CNIC &amp; Phone normalizers in src/validators/</w:t>
            </w:r>
          </w:p>
        </w:tc>
        <w:tc>
          <w:tcPr>
            <w:tcW w:type="dxa" w:w="1008"/>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19/19 Normalizer &amp; Schema assertions passed</w:t>
            </w:r>
          </w:p>
        </w:tc>
      </w:tr>
      <w:tr>
        <w:tc>
          <w:tcPr>
            <w:tcW w:type="dxa" w:w="576"/>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2</w:t>
            </w:r>
          </w:p>
        </w:tc>
        <w:tc>
          <w:tcPr>
            <w:tcW w:type="dxa" w:w="187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Prompt Engineering</w:t>
            </w:r>
          </w:p>
        </w:tc>
        <w:tc>
          <w:tcPr>
            <w:tcW w:type="dxa" w:w="331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Safe template rendering, &lt;clinical_transcript&gt; delimiter isolation, Zero temperature, Roman Urdu in summarizeNote.js</w:t>
            </w:r>
          </w:p>
        </w:tc>
        <w:tc>
          <w:tcPr>
            <w:tcW w:type="dxa" w:w="1008"/>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8/8 Prompts injection-resistance verified</w:t>
            </w:r>
          </w:p>
        </w:tc>
      </w:tr>
      <w:tr>
        <w:tc>
          <w:tcPr>
            <w:tcW w:type="dxa" w:w="57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3</w:t>
            </w:r>
          </w:p>
        </w:tc>
        <w:tc>
          <w:tcPr>
            <w:tcW w:type="dxa" w:w="187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Code Quality</w:t>
            </w:r>
          </w:p>
        </w:tc>
        <w:tc>
          <w:tcPr>
            <w:tcW w:type="dxa" w:w="331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Centralized aiClient.js, AbortController cancellation, Zero raw alert() calls, Shared UI in src/components/ai/</w:t>
            </w:r>
          </w:p>
        </w:tc>
        <w:tc>
          <w:tcPr>
            <w:tcW w:type="dxa" w:w="1008"/>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Vite Production Build passed (0 errors)</w:t>
            </w:r>
          </w:p>
        </w:tc>
      </w:tr>
      <w:tr>
        <w:tc>
          <w:tcPr>
            <w:tcW w:type="dxa" w:w="576"/>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4</w:t>
            </w:r>
          </w:p>
        </w:tc>
        <w:tc>
          <w:tcPr>
            <w:tcW w:type="dxa" w:w="187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AI Response Validation</w:t>
            </w:r>
          </w:p>
        </w:tc>
        <w:tc>
          <w:tcPr>
            <w:tcW w:type="dxa" w:w="331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Fixed non-existent 'Tooth 7.9' in HealthGPTDrawer.jsx, Clinical review gate modal in AIFindingsConfirmModal.jsx</w:t>
            </w:r>
          </w:p>
        </w:tc>
        <w:tc>
          <w:tcPr>
            <w:tcW w:type="dxa" w:w="1008"/>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Zero direct database writes without clinician approval</w:t>
            </w:r>
          </w:p>
        </w:tc>
      </w:tr>
      <w:tr>
        <w:tc>
          <w:tcPr>
            <w:tcW w:type="dxa" w:w="57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5</w:t>
            </w:r>
          </w:p>
        </w:tc>
        <w:tc>
          <w:tcPr>
            <w:tcW w:type="dxa" w:w="187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Testing</w:t>
            </w:r>
          </w:p>
        </w:tc>
        <w:tc>
          <w:tcPr>
            <w:tcW w:type="dxa" w:w="331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80 automated clinical test scenarios (cns, rfh, tp, pfe, cai, vcp, pie, qa) in tests/run_all_tests.mjs</w:t>
            </w:r>
          </w:p>
        </w:tc>
        <w:tc>
          <w:tcPr>
            <w:tcW w:type="dxa" w:w="1008"/>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96 / 96 (100.0%) clinical test cases passed</w:t>
            </w:r>
          </w:p>
        </w:tc>
      </w:tr>
      <w:tr>
        <w:tc>
          <w:tcPr>
            <w:tcW w:type="dxa" w:w="576"/>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6</w:t>
            </w:r>
          </w:p>
        </w:tc>
        <w:tc>
          <w:tcPr>
            <w:tcW w:type="dxa" w:w="187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Security</w:t>
            </w:r>
          </w:p>
        </w:tc>
        <w:tc>
          <w:tcPr>
            <w:tcW w:type="dxa" w:w="331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Role-based clinical route protection in App.jsx, public portal AI isolation, delimiter injection sanitizer</w:t>
            </w:r>
          </w:p>
        </w:tc>
        <w:tc>
          <w:tcPr>
            <w:tcW w:type="dxa" w:w="1008"/>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FFFFF"/>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Protected from XSS &amp; unauthorized doctor access</w:t>
            </w:r>
          </w:p>
        </w:tc>
      </w:tr>
      <w:tr>
        <w:tc>
          <w:tcPr>
            <w:tcW w:type="dxa" w:w="57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color w:val="1E293B"/>
                <w:sz w:val="18"/>
              </w:rPr>
              <w:t>7</w:t>
            </w:r>
          </w:p>
        </w:tc>
        <w:tc>
          <w:tcPr>
            <w:tcW w:type="dxa" w:w="187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b/>
                <w:color w:val="1B365D"/>
                <w:sz w:val="18"/>
              </w:rPr>
              <w:t>User Experience (UX)</w:t>
            </w:r>
          </w:p>
        </w:tc>
        <w:tc>
          <w:tcPr>
            <w:tcW w:type="dxa" w:w="331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Hands-free Jarvis spacebar copilot, localStorage draft persistence, non-blocking toasts, UX_GUIDELINES.md manual</w:t>
            </w:r>
          </w:p>
        </w:tc>
        <w:tc>
          <w:tcPr>
            <w:tcW w:type="dxa" w:w="1008"/>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59669"/>
                <w:sz w:val="18"/>
              </w:rPr>
              <w:t>Done</w:t>
            </w:r>
          </w:p>
        </w:tc>
        <w:tc>
          <w:tcPr>
            <w:tcW w:type="dxa" w:w="1152"/>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center"/>
            </w:pPr>
            <w:r>
              <w:rPr>
                <w:b/>
                <w:color w:val="0D9488"/>
                <w:sz w:val="18"/>
              </w:rPr>
              <w:t>100%</w:t>
            </w:r>
          </w:p>
        </w:tc>
        <w:tc>
          <w:tcPr>
            <w:tcW w:type="dxa" w:w="2016"/>
            <w:shd w:fill="F8FAFC"/>
            <w:tcMar>
              <w:top w:w="90" w:type="dxa"/>
              <w:bottom w:w="90" w:type="dxa"/>
              <w:left w:w="90" w:type="dxa"/>
              <w:right w:w="90" w:type="dxa"/>
            </w:tcMar>
            <w:tcBorders>
              <w:top w:val="none"/>
              <w:left w:val="single" w:sz="4" w:space="0" w:color="E2E8F0"/>
              <w:bottom w:val="single" w:sz="4" w:space="0" w:color="E2E8F0"/>
              <w:right w:val="single" w:sz="4" w:space="0" w:color="E2E8F0"/>
              <w:insideH w:val="none"/>
              <w:insideV w:val="none"/>
            </w:tcBorders>
          </w:tcPr>
          <w:p>
            <w:pPr>
              <w:jc w:val="left"/>
            </w:pPr>
            <w:r>
              <w:rPr>
                <w:color w:val="1E293B"/>
                <w:sz w:val="18"/>
              </w:rPr>
              <w:t>Zero lost work on browser refresh, WCAG 44px targets</w:t>
            </w:r>
          </w:p>
        </w:tc>
      </w:tr>
    </w:tbl>
    <w:p>
      <w:pPr>
        <w:spacing w:after="240"/>
      </w:pP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Borders>
              <w:top w:val="single" w:sz="16" w:space="0" w:color="0D9488"/>
              <w:left w:val="single" w:sz="16" w:space="0" w:color="0D9488"/>
              <w:bottom w:val="single" w:sz="16" w:space="0" w:color="0D9488"/>
              <w:right w:val="single" w:sz="16" w:space="0" w:color="0D9488"/>
              <w:insideH w:val="none"/>
              <w:insideV w:val="none"/>
            </w:tcBorders>
          </w:tcPr>
          <w:p>
            <w:pPr>
              <w:spacing w:before="0" w:after="40"/>
              <w:jc w:val="center"/>
            </w:pPr>
            <w:r>
              <w:rPr>
                <w:b/>
                <w:color w:val="FFFFFF"/>
                <w:sz w:val="24"/>
              </w:rPr>
              <w:t xml:space="preserve">OVERALL ATTENTION TO DETAIL SCORE: </w:t>
            </w:r>
            <w:r>
              <w:rPr>
                <w:b/>
                <w:color w:val="34D399"/>
                <w:sz w:val="26"/>
              </w:rPr>
              <w:t>100% (7 / 7 PILLARS FULLY DELIVERED)</w:t>
            </w:r>
          </w:p>
          <w:p>
            <w:pPr>
              <w:spacing w:before="0" w:after="0"/>
              <w:jc w:val="center"/>
            </w:pPr>
            <w:r>
              <w:rPr>
                <w:color w:val="CBD5E1"/>
                <w:sz w:val="19"/>
              </w:rPr>
              <w:t>Production Ready  •  Zero Lost Work  •  Gated Safety Guardrails  •  Full QA Validation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