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MEP ESTIMATION REQUEST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Al Reem Tower - Dubai Marina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Prepared by: SABI Estimation Department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Date: April 8, 2026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Client: Al Futtaim Group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Reference: RFQ/AFG/2026/0415</w:t>
      </w:r>
    </w:p>
    <w:p>
      <w:pPr>
        <w:spacing w:after="600"/>
      </w:pPr>
    </w:p>
    <w:p>
      <w:pPr>
        <w:pStyle w:val="Heading1"/>
      </w:pPr>
      <w:r>
        <w:rPr>
          <w:b/>
          <w:bCs/>
        </w:rPr>
        <w:t xml:space="preserve">1. PROJECT OVERVIEW</w:t>
      </w:r>
    </w:p>
    <w:p>
      <w:pPr>
        <w:spacing w:after="200"/>
      </w:pPr>
      <w:r>
        <w:t xml:space="preserve">Al Reem Tower is a Grade-A commercial office building located in Dubai Marina, comprising 24 floors above ground with 4 basement parking levels. The total built-up area is approximately 185,000 square feet with a typical floor-to-floor height of 3.6 meters. The building is designed to achieve LEED Gold certification and will serve as the regional headquarters for multiple multinational corporations.</w:t>
      </w:r>
    </w:p>
    <w:p>
      <w:pPr>
        <w:spacing w:after="200"/>
      </w:pPr>
      <w:r>
        <w:t xml:space="preserve">The developer, Al Futtaim Group, requires a comprehensive MEP estimation covering HVAC, Electrical, Plumbing, and Fire Fighting services. The quotation deadline is May 15, 2026, and SABI has been invited to submit a competitive bid based on the attached drawings and specifications.</w:t>
      </w:r>
    </w:p>
    <w:p>
      <w:pPr>
        <w:pStyle w:val="Heading2"/>
      </w:pPr>
      <w:r>
        <w:rPr>
          <w:b/>
          <w:bCs/>
        </w:rPr>
        <w:t xml:space="preserve">1.1 Building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Parameter</w:t>
            </w:r>
          </w:p>
        </w:tc>
        <w:tc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r>
              <w:t xml:space="preserve">Building Type</w:t>
            </w:r>
          </w:p>
        </w:tc>
        <w:tc>
          <w:p>
            <w:r>
              <w:t xml:space="preserve">Commercial Office (Grade A)</w:t>
            </w:r>
          </w:p>
        </w:tc>
      </w:tr>
      <w:tr>
        <w:tc>
          <w:p>
            <w:r>
              <w:t xml:space="preserve">Total Floors</w:t>
            </w:r>
          </w:p>
        </w:tc>
        <w:tc>
          <w:p>
            <w:r>
              <w:t xml:space="preserve">24 + 4 Basement</w:t>
            </w:r>
          </w:p>
        </w:tc>
      </w:tr>
      <w:tr>
        <w:tc>
          <w:p>
            <w:r>
              <w:t xml:space="preserve">Total Area</w:t>
            </w:r>
          </w:p>
        </w:tc>
        <w:tc>
          <w:p>
            <w:r>
              <w:t xml:space="preserve">185,000 sqft</w:t>
            </w:r>
          </w:p>
        </w:tc>
      </w:tr>
      <w:tr>
        <w:tc>
          <w:p>
            <w:r>
              <w:t xml:space="preserve">Typical Height</w:t>
            </w:r>
          </w:p>
        </w:tc>
        <w:tc>
          <w:p>
            <w:r>
              <w:t xml:space="preserve">3.6 m</w:t>
            </w:r>
          </w:p>
        </w:tc>
      </w:tr>
      <w:tr>
        <w:tc>
          <w:p>
            <w:r>
              <w:t xml:space="preserve">Location</w:t>
            </w:r>
          </w:p>
        </w:tc>
        <w:tc>
          <w:p>
            <w:r>
              <w:t xml:space="preserve">Dubai Marina, Plot 12-B</w:t>
            </w:r>
          </w:p>
        </w:tc>
      </w:tr>
      <w:tr>
        <w:tc>
          <w:p>
            <w:r>
              <w:t xml:space="preserve">Developer</w:t>
            </w:r>
          </w:p>
        </w:tc>
        <w:tc>
          <w:p>
            <w:r>
              <w:t xml:space="preserve">Al Futtaim Group</w:t>
            </w:r>
          </w:p>
        </w:tc>
      </w:tr>
      <w:tr>
        <w:tc>
          <w:p>
            <w:r>
              <w:t xml:space="preserve">Consultant</w:t>
            </w:r>
          </w:p>
        </w:tc>
        <w:tc>
          <w:p>
            <w:r>
              <w:t xml:space="preserve">KEO International Consultants</w:t>
            </w:r>
          </w:p>
        </w:tc>
      </w:tr>
      <w:tr>
        <w:tc>
          <w:p>
            <w:r>
              <w:t xml:space="preserve">Target Certification</w:t>
            </w:r>
          </w:p>
        </w:tc>
        <w:tc>
          <w:p>
            <w:r>
              <w:t xml:space="preserve">LEED Gold</w:t>
            </w:r>
          </w:p>
        </w:tc>
      </w:tr>
      <w:tr>
        <w:tc>
          <w:p>
            <w:r>
              <w:t xml:space="preserve">Submission Deadline</w:t>
            </w:r>
          </w:p>
        </w:tc>
        <w:tc>
          <w:p>
            <w:r>
              <w:t xml:space="preserve">May 15, 2026</w:t>
            </w:r>
          </w:p>
        </w:tc>
      </w:tr>
    </w:tbl>
    <w:p>
      <w:pPr>
        <w:pStyle w:val="Heading1"/>
        <w:spacing w:before="400"/>
      </w:pPr>
      <w:r>
        <w:rPr>
          <w:b/>
          <w:bCs/>
        </w:rPr>
        <w:t xml:space="preserve">2. SCOPE OF WORK</w:t>
      </w:r>
    </w:p>
    <w:p>
      <w:pPr>
        <w:spacing w:after="200"/>
      </w:pPr>
      <w:r>
        <w:t xml:space="preserve">SABI shall provide a complete MEP estimation for the following services: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HVAC (Heating, Ventilation &amp; Air Conditioning) - VRF system with FAHU for fresh air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Electrical - Power distribution, lighting, emergency systems, earthing &amp; lightning protection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Plumbing - Water supply, drainage, hot water system, sanitary fixtures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Fire Fighting - Sprinkler system, wet riser, fire pump set, hose reel cabinets</w:t>
      </w:r>
    </w:p>
    <w:p>
      <w:pPr>
        <w:pStyle w:val="Heading1"/>
        <w:spacing w:before="400"/>
      </w:pPr>
      <w:r>
        <w:rPr>
          <w:b/>
          <w:bCs/>
        </w:rPr>
        <w:t xml:space="preserve">3. HVAC SYSTEM ANALYSIS</w:t>
      </w:r>
    </w:p>
    <w:p>
      <w:pPr>
        <w:spacing w:after="200"/>
      </w:pPr>
      <w:r>
        <w:t xml:space="preserve">Based on the thermal load calculations from the HVAC drawings, the total calculated cooling load is 1,035.4 kW (294.4 TR). The recommended system is a Variable Refrigerant Flow (VRF) system with dedicated Fresh Air Handling Units (FAHUs) for ventilation.</w:t>
      </w:r>
    </w:p>
    <w:p>
      <w:pPr>
        <w:pStyle w:val="Heading2"/>
      </w:pPr>
      <w:r>
        <w:rPr>
          <w:b/>
          <w:bCs/>
        </w:rPr>
        <w:t xml:space="preserve">3.1 Thermal Load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Floor</w:t>
            </w:r>
          </w:p>
        </w:tc>
        <w:tc>
          <w:p>
            <w:r>
              <w:rPr>
                <w:b/>
                <w:bCs/>
              </w:rPr>
              <w:t xml:space="preserve">Zone</w:t>
            </w:r>
          </w:p>
        </w:tc>
        <w:tc>
          <w:p>
            <w:r>
              <w:rPr>
                <w:b/>
                <w:bCs/>
              </w:rPr>
              <w:t xml:space="preserve">Load (kW)</w:t>
            </w:r>
          </w:p>
        </w:tc>
        <w:tc>
          <w:p>
            <w:r>
              <w:rPr>
                <w:b/>
                <w:bCs/>
              </w:rPr>
              <w:t xml:space="preserve">System</w:t>
            </w:r>
          </w:p>
        </w:tc>
        <w:tc>
          <w:p>
            <w:r>
              <w:rPr>
                <w:b/>
                <w:bCs/>
              </w:rPr>
              <w:t xml:space="preserve">Units</w:t>
            </w:r>
          </w:p>
        </w:tc>
      </w:tr>
      <w:tr>
        <w:tc>
          <w:p>
            <w:r>
              <w:t xml:space="preserve">Basement 1</w:t>
            </w:r>
          </w:p>
        </w:tc>
        <w:tc>
          <w:p>
            <w:r>
              <w:t xml:space="preserve">Parking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Exhaust Only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Basement 2</w:t>
            </w:r>
          </w:p>
        </w:tc>
        <w:tc>
          <w:p>
            <w:r>
              <w:t xml:space="preserve">Parking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Exhaust Only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Ground Floor</w:t>
            </w:r>
          </w:p>
        </w:tc>
        <w:tc>
          <w:p>
            <w:r>
              <w:t xml:space="preserve">Lobby &amp; Reception</w:t>
            </w:r>
          </w:p>
        </w:tc>
        <w:tc>
          <w:p>
            <w:r>
              <w:t xml:space="preserve">85.5</w:t>
            </w:r>
          </w:p>
        </w:tc>
        <w:tc>
          <w:p>
            <w:r>
              <w:t xml:space="preserve">VRF</w:t>
            </w:r>
          </w:p>
        </w:tc>
        <w:tc>
          <w:p>
            <w:r>
              <w:t xml:space="preserve">12</w:t>
            </w:r>
          </w:p>
        </w:tc>
      </w:tr>
      <w:tr>
        <w:tc>
          <w:p>
            <w:r>
              <w:t xml:space="preserve">Mezzanine</w:t>
            </w:r>
          </w:p>
        </w:tc>
        <w:tc>
          <w:p>
            <w:r>
              <w:t xml:space="preserve">Meeting Rooms</w:t>
            </w:r>
          </w:p>
        </w:tc>
        <w:tc>
          <w:p>
            <w:r>
              <w:t xml:space="preserve">42.3</w:t>
            </w:r>
          </w:p>
        </w:tc>
        <w:tc>
          <w:p>
            <w:r>
              <w:t xml:space="preserve">VRF</w:t>
            </w:r>
          </w:p>
        </w:tc>
        <w:tc>
          <w:p>
            <w:r>
              <w:t xml:space="preserve">8</w:t>
            </w:r>
          </w:p>
        </w:tc>
      </w:tr>
      <w:tr>
        <w:tc>
          <w:p>
            <w:r>
              <w:t xml:space="preserve">1st Floor</w:t>
            </w:r>
          </w:p>
        </w:tc>
        <w:tc>
          <w:p>
            <w:r>
              <w:t xml:space="preserve">Open Office</w:t>
            </w:r>
          </w:p>
        </w:tc>
        <w:tc>
          <w:p>
            <w:r>
              <w:t xml:space="preserve">125.8</w:t>
            </w:r>
          </w:p>
        </w:tc>
        <w:tc>
          <w:p>
            <w:r>
              <w:t xml:space="preserve">VRF</w:t>
            </w:r>
          </w:p>
        </w:tc>
        <w:tc>
          <w:p>
            <w:r>
              <w:t xml:space="preserve">18</w:t>
            </w:r>
          </w:p>
        </w:tc>
      </w:tr>
      <w:tr>
        <w:tc>
          <w:p>
            <w:r>
              <w:t xml:space="preserve">2nd Floor</w:t>
            </w:r>
          </w:p>
        </w:tc>
        <w:tc>
          <w:p>
            <w:r>
              <w:t xml:space="preserve">Open Office</w:t>
            </w:r>
          </w:p>
        </w:tc>
        <w:tc>
          <w:p>
            <w:r>
              <w:t xml:space="preserve">125.8</w:t>
            </w:r>
          </w:p>
        </w:tc>
        <w:tc>
          <w:p>
            <w:r>
              <w:t xml:space="preserve">VRF</w:t>
            </w:r>
          </w:p>
        </w:tc>
        <w:tc>
          <w:p>
            <w:r>
              <w:t xml:space="preserve">18</w:t>
            </w:r>
          </w:p>
        </w:tc>
      </w:tr>
      <w:tr>
        <w:tc>
          <w:p>
            <w:r>
              <w:t xml:space="preserve">3rd Floor</w:t>
            </w:r>
          </w:p>
        </w:tc>
        <w:tc>
          <w:p>
            <w:r>
              <w:t xml:space="preserve">Open Office</w:t>
            </w:r>
          </w:p>
        </w:tc>
        <w:tc>
          <w:p>
            <w:r>
              <w:t xml:space="preserve">125.8</w:t>
            </w:r>
          </w:p>
        </w:tc>
        <w:tc>
          <w:p>
            <w:r>
              <w:t xml:space="preserve">VRF</w:t>
            </w:r>
          </w:p>
        </w:tc>
        <w:tc>
          <w:p>
            <w:r>
              <w:t xml:space="preserve">18</w:t>
            </w:r>
          </w:p>
        </w:tc>
      </w:tr>
      <w:tr>
        <w:tc>
          <w:p>
            <w:r>
              <w:t xml:space="preserve">4th Floor</w:t>
            </w:r>
          </w:p>
        </w:tc>
        <w:tc>
          <w:p>
            <w:r>
              <w:t xml:space="preserve">Open Office</w:t>
            </w:r>
          </w:p>
        </w:tc>
        <w:tc>
          <w:p>
            <w:r>
              <w:t xml:space="preserve">125.8</w:t>
            </w:r>
          </w:p>
        </w:tc>
        <w:tc>
          <w:p>
            <w:r>
              <w:t xml:space="preserve">VRF</w:t>
            </w:r>
          </w:p>
        </w:tc>
        <w:tc>
          <w:p>
            <w:r>
              <w:t xml:space="preserve">18</w:t>
            </w:r>
          </w:p>
        </w:tc>
      </w:tr>
      <w:tr>
        <w:tc>
          <w:p>
            <w:r>
              <w:t xml:space="preserve">5th Floor</w:t>
            </w:r>
          </w:p>
        </w:tc>
        <w:tc>
          <w:p>
            <w:r>
              <w:t xml:space="preserve">Open Office</w:t>
            </w:r>
          </w:p>
        </w:tc>
        <w:tc>
          <w:p>
            <w:r>
              <w:t xml:space="preserve">125.8</w:t>
            </w:r>
          </w:p>
        </w:tc>
        <w:tc>
          <w:p>
            <w:r>
              <w:t xml:space="preserve">VRF</w:t>
            </w:r>
          </w:p>
        </w:tc>
        <w:tc>
          <w:p>
            <w:r>
              <w:t xml:space="preserve">18</w:t>
            </w:r>
          </w:p>
        </w:tc>
      </w:tr>
      <w:tr>
        <w:tc>
          <w:p>
            <w:r>
              <w:t xml:space="preserve">6th Floor</w:t>
            </w:r>
          </w:p>
        </w:tc>
        <w:tc>
          <w:p>
            <w:r>
              <w:t xml:space="preserve">Executive Suites</w:t>
            </w:r>
          </w:p>
        </w:tc>
        <w:tc>
          <w:p>
            <w:r>
              <w:t xml:space="preserve">98.4</w:t>
            </w:r>
          </w:p>
        </w:tc>
        <w:tc>
          <w:p>
            <w:r>
              <w:t xml:space="preserve">VRF</w:t>
            </w:r>
          </w:p>
        </w:tc>
        <w:tc>
          <w:p>
            <w:r>
              <w:t xml:space="preserve">14</w:t>
            </w:r>
          </w:p>
        </w:tc>
      </w:tr>
      <w:tr>
        <w:tc>
          <w:p>
            <w:r>
              <w:t xml:space="preserve">7th Floor</w:t>
            </w:r>
          </w:p>
        </w:tc>
        <w:tc>
          <w:p>
            <w:r>
              <w:t xml:space="preserve">IT &amp; Server Room</w:t>
            </w:r>
          </w:p>
        </w:tc>
        <w:tc>
          <w:p>
            <w:r>
              <w:t xml:space="preserve">180.2</w:t>
            </w:r>
          </w:p>
        </w:tc>
        <w:tc>
          <w:p>
            <w:r>
              <w:t xml:space="preserve">Precision AC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Roof</w:t>
            </w:r>
          </w:p>
        </w:tc>
        <w:tc>
          <w:p>
            <w:r>
              <w:t xml:space="preserve">Plant Room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rPr>
                <w:b/>
                <w:bCs/>
              </w:rPr>
              <w:t xml:space="preserve">TOTAL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1035.4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130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3.2 System Breakdown</w:t>
      </w:r>
    </w:p>
    <w:p>
      <w:pPr>
        <w:spacing w:after="100"/>
      </w:pPr>
      <w:r>
        <w:rPr>
          <w:b/>
          <w:bCs/>
        </w:rPr>
        <w:t xml:space="preserve">Total Calculated KW: 1,035.4 kW</w:t>
      </w:r>
    </w:p>
    <w:p>
      <w:pPr>
        <w:spacing w:after="100"/>
      </w:pPr>
      <w:r>
        <w:rPr>
          <w:b/>
          <w:bCs/>
        </w:rPr>
        <w:t xml:space="preserve">FAHU KW: 180.2 kW (Fresh Air Handling)</w:t>
      </w:r>
    </w:p>
    <w:p>
      <w:pPr>
        <w:spacing w:after="100"/>
      </w:pPr>
      <w:r>
        <w:rPr>
          <w:b/>
          <w:bCs/>
        </w:rPr>
        <w:t xml:space="preserve">AC Unit KW: 855.2 kW (Total - FAHU = Net AC Load)</w:t>
      </w:r>
    </w:p>
    <w:p>
      <w:pPr>
        <w:spacing w:after="100"/>
      </w:pPr>
      <w:r>
        <w:rPr>
          <w:b/>
          <w:bCs/>
        </w:rPr>
        <w:t xml:space="preserve">Tonnage: 855.2 / 3.517 = 243.2 TR</w:t>
      </w:r>
    </w:p>
    <w:p>
      <w:pPr>
        <w:spacing w:after="200"/>
      </w:pPr>
      <w:r>
        <w:t xml:space="preserve">System Type: VRF (Variable Refrigerant Flow) — based on tonnage range 50-300 TR</w:t>
      </w:r>
    </w:p>
    <w:p>
      <w:pPr>
        <w:pStyle w:val="Heading1"/>
        <w:spacing w:before="400"/>
      </w:pPr>
      <w:r>
        <w:rPr>
          <w:b/>
          <w:bCs/>
        </w:rPr>
        <w:t xml:space="preserve">4. PRICING SUMMARY</w:t>
      </w:r>
    </w:p>
    <w:p>
      <w:pPr>
        <w:spacing w:after="200"/>
      </w:pPr>
      <w:r>
        <w:t xml:space="preserve">The estimated MEP pricing is based on current market rates (Q2 2026) and includes supply, installation, testing, and commissioning of all specified systems. Rates are exclusive of VAT (5%).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Service</w:t>
            </w:r>
          </w:p>
        </w:tc>
        <w:tc>
          <w:p>
            <w:r>
              <w:rPr>
                <w:b/>
                <w:bCs/>
              </w:rPr>
              <w:t xml:space="preserve">Amount (AED)</w:t>
            </w:r>
          </w:p>
        </w:tc>
        <w:tc>
          <w:p>
            <w:r>
              <w:rPr>
                <w:b/>
                <w:bCs/>
              </w:rPr>
              <w:t xml:space="preserve">AED/sqft</w:t>
            </w:r>
          </w:p>
        </w:tc>
      </w:tr>
      <w:tr>
        <w:tc>
          <w:p>
            <w:r>
              <w:t xml:space="preserve">HVAC</w:t>
            </w:r>
          </w:p>
        </w:tc>
        <w:tc>
          <w:p>
            <w:r>
              <w:t xml:space="preserve">3,250,000</w:t>
            </w:r>
          </w:p>
        </w:tc>
        <w:tc>
          <w:p>
            <w:r>
              <w:t xml:space="preserve">17.57</w:t>
            </w:r>
          </w:p>
        </w:tc>
      </w:tr>
      <w:tr>
        <w:tc>
          <w:p>
            <w:r>
              <w:t xml:space="preserve">Electrical</w:t>
            </w:r>
          </w:p>
        </w:tc>
        <w:tc>
          <w:p>
            <w:r>
              <w:t xml:space="preserve">1,850,000</w:t>
            </w:r>
          </w:p>
        </w:tc>
        <w:tc>
          <w:p>
            <w:r>
              <w:t xml:space="preserve">10.00</w:t>
            </w:r>
          </w:p>
        </w:tc>
      </w:tr>
      <w:tr>
        <w:tc>
          <w:p>
            <w:r>
              <w:t xml:space="preserve">Plumbing</w:t>
            </w:r>
          </w:p>
        </w:tc>
        <w:tc>
          <w:p>
            <w:r>
              <w:t xml:space="preserve">920,000</w:t>
            </w:r>
          </w:p>
        </w:tc>
        <w:tc>
          <w:p>
            <w:r>
              <w:t xml:space="preserve">4.97</w:t>
            </w:r>
          </w:p>
        </w:tc>
      </w:tr>
      <w:tr>
        <w:tc>
          <w:p>
            <w:r>
              <w:t xml:space="preserve">Fire Fighting</w:t>
            </w:r>
          </w:p>
        </w:tc>
        <w:tc>
          <w:p>
            <w:r>
              <w:t xml:space="preserve">780,000</w:t>
            </w:r>
          </w:p>
        </w:tc>
        <w:tc>
          <w:p>
            <w:r>
              <w:t xml:space="preserve">4.22</w:t>
            </w:r>
          </w:p>
        </w:tc>
      </w:tr>
      <w:tr>
        <w:tc>
          <w:p>
            <w:r>
              <w:rPr>
                <w:b/>
                <w:bCs/>
              </w:rPr>
              <w:t xml:space="preserve">TOTAL</w:t>
            </w:r>
          </w:p>
        </w:tc>
        <w:tc>
          <w:p>
            <w:r>
              <w:rPr>
                <w:b/>
                <w:bCs/>
              </w:rPr>
              <w:t xml:space="preserve">6,800,000</w:t>
            </w:r>
          </w:p>
        </w:tc>
        <w:tc>
          <w:p>
            <w:r>
              <w:rPr>
                <w:b/>
                <w:bCs/>
              </w:rPr>
              <w:t xml:space="preserve">36.76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4.1 Yardstick Comparison</w:t>
      </w:r>
    </w:p>
    <w:p>
      <w:pPr>
        <w:spacing w:after="100"/>
      </w:pPr>
      <w:r>
        <w:t xml:space="preserve">Market benchmark for Grade-A Office (Dubai): AED 32 - 42 per sqft</w:t>
      </w:r>
    </w:p>
    <w:p>
      <w:pPr>
        <w:spacing w:after="100"/>
      </w:pPr>
      <w:r>
        <w:rPr>
          <w:b/>
          <w:bCs/>
          <w:color w:val="548235"/>
        </w:rPr>
        <w:t xml:space="preserve">Our estimate: AED 36.76 per sqft — WITHIN RANGE</w:t>
      </w:r>
    </w:p>
    <w:p>
      <w:pPr>
        <w:pStyle w:val="Heading1"/>
        <w:spacing w:before="400"/>
      </w:pPr>
      <w:r>
        <w:rPr>
          <w:b/>
          <w:bCs/>
        </w:rPr>
        <w:t xml:space="preserve">5. TERMS &amp; 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Prices are valid for 30 days from the date of this quotation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Payment terms: 30% advance, 60% progress, 10% upon completion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Mobilization period: 2 weeks from receipt of confirmed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Warranty: 12 months from date of handover for all MEP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Excludes: Civil works, architectural finishes, furniture, IT/networking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All works shall comply with Dubai Municipality and DEWA regulations</w:t>
      </w:r>
    </w:p>
    <w:p>
      <w:pPr>
        <w:spacing w:before="400"/>
      </w:pPr>
      <w:r>
        <w:rPr>
          <w:i/>
          <w:iCs/>
          <w:color w:val="666666"/>
        </w:rPr>
        <w:t xml:space="preserve">
Prepared by: SABI Estimation Department
Approved by: George Varkey M — Technical Director
Contact: george@sabi.ae | +971 4 XXX XXXX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2026-04-08T10:47:01.032Z</dcterms:created>
  <dcterms:modified xsi:type="dcterms:W3CDTF">2026-04-08T10:47:01.032Z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