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Arial" w:hAnsi="Arial"/>
          <w:b/>
          <w:color w:val="1B365D"/>
          <w:sz w:val="42"/>
        </w:rPr>
        <w:t>A Critical Academic Review and Empirical Re-Evaluation of the ARIMA-DBO-CNN-LSTM Air Quality Forecasting Model</w:t>
      </w:r>
    </w:p>
    <w:p>
      <w:pPr>
        <w:spacing w:after="280"/>
        <w:jc w:val="center"/>
      </w:pPr>
      <w:r>
        <w:rPr>
          <w:rFonts w:ascii="Arial" w:hAnsi="Arial"/>
          <w:color w:val="4A5568"/>
          <w:sz w:val="24"/>
        </w:rPr>
        <w:t>Coursework Phase 3: Formal Technical Review Report (40 Marks)</w:t>
        <w:br/>
        <w:t>Bridging Conceptual Critique and Empirical Verification</w:t>
      </w:r>
    </w:p>
    <w:tbl>
      <w:tblPr>
        <w:tblW w:type="auto" w:w="0"/>
        <w:jc w:val="center"/>
        <w:tblLayout w:type="fixed"/>
        <w:tblLook w:firstColumn="1" w:firstRow="1" w:lastColumn="0" w:lastRow="0" w:noHBand="0" w:noVBand="1" w:val="04A0"/>
      </w:tblPr>
      <w:tblGrid>
        <w:gridCol w:w="4968"/>
        <w:gridCol w:w="4968"/>
      </w:tblGrid>
      <w:tr>
        <w:tc>
          <w:tcPr>
            <w:tcW w:type="dxa" w:w="3168"/>
            <w:shd w:fill="F7FAFC"/>
            <w:tcMar>
              <w:top w:w="60" w:type="dxa"/>
              <w:bottom w:w="60" w:type="dxa"/>
              <w:left w:w="100" w:type="dxa"/>
              <w:right w:w="100" w:type="dxa"/>
            </w:tcMar>
          </w:tcPr>
          <w:p>
            <w:pPr>
              <w:spacing w:after="20"/>
            </w:pPr>
            <w:r>
              <w:rPr>
                <w:rFonts w:ascii="Arial" w:hAnsi="Arial"/>
                <w:b/>
                <w:color w:val="1B365D"/>
                <w:sz w:val="19"/>
              </w:rPr>
              <w:t>Student Name &amp; ID:</w:t>
            </w:r>
          </w:p>
        </w:tc>
        <w:tc>
          <w:tcPr>
            <w:tcW w:type="dxa" w:w="6192"/>
            <w:shd w:fill="FFFFFF"/>
            <w:tcMar>
              <w:top w:w="60" w:type="dxa"/>
              <w:bottom w:w="60" w:type="dxa"/>
              <w:left w:w="100" w:type="dxa"/>
              <w:right w:w="100" w:type="dxa"/>
            </w:tcMar>
          </w:tcPr>
          <w:p>
            <w:pPr>
              <w:spacing w:after="20"/>
            </w:pPr>
            <w:r>
              <w:rPr>
                <w:rFonts w:ascii="Arial" w:hAnsi="Arial"/>
                <w:color w:val="2D3748"/>
                <w:sz w:val="19"/>
              </w:rPr>
              <w:t>K.W.G.C.D.B. Karunarathne | Student ID: KIC-BSCCSAI-251P-036</w:t>
            </w:r>
          </w:p>
        </w:tc>
      </w:tr>
      <w:tr>
        <w:tc>
          <w:tcPr>
            <w:tcW w:type="dxa" w:w="3168"/>
            <w:shd w:fill="F7FAFC"/>
            <w:tcMar>
              <w:top w:w="60" w:type="dxa"/>
              <w:bottom w:w="60" w:type="dxa"/>
              <w:left w:w="100" w:type="dxa"/>
              <w:right w:w="100" w:type="dxa"/>
            </w:tcMar>
          </w:tcPr>
          <w:p>
            <w:pPr>
              <w:spacing w:after="20"/>
            </w:pPr>
            <w:r>
              <w:rPr>
                <w:rFonts w:ascii="Arial" w:hAnsi="Arial"/>
                <w:b/>
                <w:color w:val="1B365D"/>
                <w:sz w:val="19"/>
              </w:rPr>
              <w:t>Module &amp; Programme:</w:t>
            </w:r>
          </w:p>
        </w:tc>
        <w:tc>
          <w:tcPr>
            <w:tcW w:type="dxa" w:w="6192"/>
            <w:shd w:fill="FFFFFF"/>
            <w:tcMar>
              <w:top w:w="60" w:type="dxa"/>
              <w:bottom w:w="60" w:type="dxa"/>
              <w:left w:w="100" w:type="dxa"/>
              <w:right w:w="100" w:type="dxa"/>
            </w:tcMar>
          </w:tcPr>
          <w:p>
            <w:pPr>
              <w:spacing w:after="20"/>
            </w:pPr>
            <w:r>
              <w:rPr>
                <w:rFonts w:ascii="Arial" w:hAnsi="Arial"/>
                <w:color w:val="2D3748"/>
                <w:sz w:val="19"/>
              </w:rPr>
              <w:t>Machine Learning and Related Applications | BSc (Hons) Computing &amp; AI</w:t>
            </w:r>
          </w:p>
        </w:tc>
      </w:tr>
      <w:tr>
        <w:tc>
          <w:tcPr>
            <w:tcW w:type="dxa" w:w="3168"/>
            <w:shd w:fill="F7FAFC"/>
            <w:tcMar>
              <w:top w:w="60" w:type="dxa"/>
              <w:bottom w:w="60" w:type="dxa"/>
              <w:left w:w="100" w:type="dxa"/>
              <w:right w:w="100" w:type="dxa"/>
            </w:tcMar>
          </w:tcPr>
          <w:p>
            <w:pPr>
              <w:spacing w:after="20"/>
            </w:pPr>
            <w:r>
              <w:rPr>
                <w:rFonts w:ascii="Arial" w:hAnsi="Arial"/>
                <w:b/>
                <w:color w:val="1B365D"/>
                <w:sz w:val="19"/>
              </w:rPr>
              <w:t>Awarding Institution:</w:t>
            </w:r>
          </w:p>
        </w:tc>
        <w:tc>
          <w:tcPr>
            <w:tcW w:type="dxa" w:w="6192"/>
            <w:shd w:fill="FFFFFF"/>
            <w:tcMar>
              <w:top w:w="60" w:type="dxa"/>
              <w:bottom w:w="60" w:type="dxa"/>
              <w:left w:w="100" w:type="dxa"/>
              <w:right w:w="100" w:type="dxa"/>
            </w:tcMar>
          </w:tcPr>
          <w:p>
            <w:pPr>
              <w:spacing w:after="20"/>
            </w:pPr>
            <w:r>
              <w:rPr>
                <w:rFonts w:ascii="Arial" w:hAnsi="Arial"/>
                <w:color w:val="2D3748"/>
                <w:sz w:val="19"/>
              </w:rPr>
              <w:t>National Institute of Business Management (NIBM), Kandy Innovation Centre</w:t>
            </w:r>
          </w:p>
        </w:tc>
      </w:tr>
      <w:tr>
        <w:tc>
          <w:tcPr>
            <w:tcW w:type="dxa" w:w="3168"/>
            <w:shd w:fill="F7FAFC"/>
            <w:tcMar>
              <w:top w:w="60" w:type="dxa"/>
              <w:bottom w:w="60" w:type="dxa"/>
              <w:left w:w="100" w:type="dxa"/>
              <w:right w:w="100" w:type="dxa"/>
            </w:tcMar>
          </w:tcPr>
          <w:p>
            <w:pPr>
              <w:spacing w:after="20"/>
            </w:pPr>
            <w:r>
              <w:rPr>
                <w:rFonts w:ascii="Arial" w:hAnsi="Arial"/>
                <w:b/>
                <w:color w:val="1B365D"/>
                <w:sz w:val="19"/>
              </w:rPr>
              <w:t>Target Research Study:</w:t>
            </w:r>
          </w:p>
        </w:tc>
        <w:tc>
          <w:tcPr>
            <w:tcW w:type="dxa" w:w="6192"/>
            <w:shd w:fill="FFFFFF"/>
            <w:tcMar>
              <w:top w:w="60" w:type="dxa"/>
              <w:bottom w:w="60" w:type="dxa"/>
              <w:left w:w="100" w:type="dxa"/>
              <w:right w:w="100" w:type="dxa"/>
            </w:tcMar>
          </w:tcPr>
          <w:p>
            <w:pPr>
              <w:spacing w:after="20"/>
            </w:pPr>
            <w:r>
              <w:rPr>
                <w:rFonts w:ascii="Arial" w:hAnsi="Arial"/>
                <w:color w:val="2D3748"/>
                <w:sz w:val="19"/>
              </w:rPr>
              <w:t>Duan, J., Gong, Y., Luo, J., &amp; Zhao, Z. (2023). Scientific Reports, 13:12127.</w:t>
            </w:r>
          </w:p>
        </w:tc>
      </w:tr>
      <w:tr>
        <w:tc>
          <w:tcPr>
            <w:tcW w:type="dxa" w:w="3168"/>
            <w:shd w:fill="F7FAFC"/>
            <w:tcMar>
              <w:top w:w="60" w:type="dxa"/>
              <w:bottom w:w="60" w:type="dxa"/>
              <w:left w:w="100" w:type="dxa"/>
              <w:right w:w="100" w:type="dxa"/>
            </w:tcMar>
          </w:tcPr>
          <w:p>
            <w:pPr>
              <w:spacing w:after="20"/>
            </w:pPr>
            <w:r>
              <w:rPr>
                <w:rFonts w:ascii="Arial" w:hAnsi="Arial"/>
                <w:b/>
                <w:color w:val="1B365D"/>
                <w:sz w:val="19"/>
              </w:rPr>
              <w:t>Verification Code Base:</w:t>
            </w:r>
          </w:p>
        </w:tc>
        <w:tc>
          <w:tcPr>
            <w:tcW w:type="dxa" w:w="6192"/>
            <w:shd w:fill="FFFFFF"/>
            <w:tcMar>
              <w:top w:w="60" w:type="dxa"/>
              <w:bottom w:w="60" w:type="dxa"/>
              <w:left w:w="100" w:type="dxa"/>
              <w:right w:w="100" w:type="dxa"/>
            </w:tcMar>
          </w:tcPr>
          <w:p>
            <w:pPr>
              <w:spacing w:after="20"/>
            </w:pPr>
            <w:r>
              <w:rPr>
                <w:rFonts w:ascii="Arial" w:hAnsi="Arial"/>
                <w:color w:val="2D3748"/>
                <w:sz w:val="19"/>
              </w:rPr>
              <w:t>Interactive Appendix: notebooks/phase2_enhanced_study.ipynb</w:t>
            </w:r>
          </w:p>
        </w:tc>
      </w:tr>
    </w:tbl>
    <w:p>
      <w:pPr>
        <w:spacing w:after="240"/>
      </w:pPr>
    </w:p>
    <w:p>
      <w:pPr>
        <w:keepNext/>
        <w:spacing w:before="360" w:after="120"/>
      </w:pPr>
      <w:r>
        <w:rPr>
          <w:rFonts w:ascii="Arial" w:hAnsi="Arial"/>
          <w:b/>
          <w:color w:val="1B365D"/>
          <w:sz w:val="28"/>
        </w:rPr>
        <w:t>Executive Abstract</w:t>
      </w:r>
    </w:p>
    <w:p>
      <w:pPr>
        <w:spacing w:before="0" w:after="120" w:line="276" w:lineRule="auto"/>
      </w:pPr>
      <w:r>
        <w:rPr>
          <w:rFonts w:ascii="Calibri" w:hAnsi="Calibri"/>
          <w:i w:val="0"/>
          <w:color w:val="2D3748"/>
          <w:sz w:val="21"/>
        </w:rPr>
        <w:t>Accurate prediction of atmospheric pollutants and the overall Air Quality Index (AQI) represents a critical operational challenge for municipal environmental protection agencies, public health warning systems, and urban epidemiology. In a recently published study in Scientific Reports, Duan et al. (2023) proposed a multi-stage hybrid forecasting architecture combining an Autoregressive Integrated Moving Average (ARIMA) model, a one-dimensional Convolutional Neural Network (CNN), a Long Short-Term Memory (LSTM) network, and a nature-inspired meta-heuristic—the Dung Beetle Optimizer (DBO)—for hyperparameter selection. The authors claimed near-perfect predictive fidelity on daily AQI series across four major Chinese metropolitan centres (Beijing, Chengdu, Guangzhou, and Wuhan), reporting coefficients of determination (R²) spanning 0.962 to 0.989 and Root Mean Squared Errors (RMSE) as low as 14.94.</w:t>
      </w:r>
    </w:p>
    <w:p>
      <w:pPr>
        <w:spacing w:before="0" w:after="120" w:line="276" w:lineRule="auto"/>
      </w:pPr>
      <w:r>
        <w:rPr>
          <w:rFonts w:ascii="Calibri" w:hAnsi="Calibri"/>
          <w:i w:val="0"/>
          <w:color w:val="2D3748"/>
          <w:sz w:val="21"/>
        </w:rPr>
        <w:t>This technical report provides a rigorous academic critique and an end-to-end empirical audit of Duan et al.'s methodology, building upon the theoretical deconstruction conducted in Phase 1 and the empirical implementation in Phase 2. Utilizing the identical 7-year historical dataset (2,528 daily observations per city, 2014–2020), we reconstruct the complete hybrid pipeline, enforce leak-free chronological data splitting, implement mandatory baseline benchmarks, and evaluate statistical significance via the Diebold–Mariano test. Our audit reveals three critical methodological vulnerabilities: (1) an inflated R² illusion driven by autocorrelation and seasonal trends; (2) data leakage during global feature normalization and swarm fitness scoring; and (3) an absolute failure to benchmark against naive persistence (ŷ_t = x_{t-1}). Under rigorous experimental conditions, the audited hybrid achieves an R² of only 0.388 (RMSE = 35.98). Crucially, naive persistence achieves R² = 0.336 (RMSE = 37.47), and a Diebold–Mariano test yields p = 0.5316, demonstrating that the authors' &gt;110,000-parameter deep learning hybrid provides no statistically significant improvement over trivial persistence. Furthermore, on hazardous pollution days (AQI ≥ 200), the hybrid model's prediction error explodes to RMSE = 145.67, failing the primary operational objective of public health protection. We propose robust machine learning alternatives—specifically Gradient Boosted Decision Trees and Seasonal ARIMAX—that deliver equivalent or superior accuracy at a fraction of the computational and environmental cost.</w:t>
      </w:r>
    </w:p>
    <w:tbl>
      <w:tblPr>
        <w:tblW w:type="auto" w:w="0"/>
        <w:jc w:val="center"/>
        <w:tblLayout w:type="fixed"/>
        <w:tblLook w:firstColumn="1" w:firstRow="1" w:lastColumn="0" w:lastRow="0" w:noHBand="0" w:noVBand="1" w:val="04A0"/>
      </w:tblPr>
      <w:tblGrid>
        <w:gridCol w:w="9936"/>
      </w:tblGrid>
      <w:tr>
        <w:tc>
          <w:tcPr>
            <w:tcW w:type="dxa" w:w="9360"/>
            <w:shd w:fill="F0F4F8"/>
            <w:tcMar>
              <w:top w:w="140" w:type="dxa"/>
              <w:bottom w:w="140" w:type="dxa"/>
              <w:left w:w="200" w:type="dxa"/>
              <w:right w:w="200" w:type="dxa"/>
            </w:tcMar>
            <w:tcBorders>
              <w:left w:val="single" w:sz="36" w:space="0" w:color="1B365D"/>
              <w:top w:val="none"/>
              <w:bottom w:val="none"/>
              <w:right w:val="none"/>
            </w:tcBorders>
          </w:tcPr>
          <w:p>
            <w:pPr>
              <w:spacing w:before="40" w:after="40"/>
            </w:pPr>
            <w:r>
              <w:rPr>
                <w:rFonts w:ascii="Arial" w:hAnsi="Arial"/>
                <w:b/>
                <w:color w:val="1B365D"/>
                <w:sz w:val="19"/>
              </w:rPr>
              <w:t xml:space="preserve">[KEY AUDIT DISCOVERY] </w:t>
            </w:r>
            <w:r>
              <w:rPr>
                <w:rFonts w:ascii="Arial" w:hAnsi="Arial"/>
                <w:i/>
                <w:color w:val="2D3748"/>
                <w:sz w:val="19"/>
              </w:rPr>
              <w:t>The audited ARIMA-DBO-CNN-LSTM model achieves R² = 0.388 under leak-free validation, compared to the authors' claimed 0.962. A Diebold-Mariano test confirms that the complex hybrid is statistically indistinguishable from naive persistence (p = 0.5316) and statistically inferior to pure ARIMA (p = 0.0077).</w:t>
            </w:r>
          </w:p>
        </w:tc>
      </w:tr>
    </w:tbl>
    <w:p>
      <w:pPr>
        <w:spacing w:after="80"/>
      </w:pPr>
    </w:p>
    <w:p>
      <w:pPr>
        <w:keepNext/>
        <w:spacing w:before="360" w:after="120"/>
      </w:pPr>
      <w:r>
        <w:rPr>
          <w:rFonts w:ascii="Arial" w:hAnsi="Arial"/>
          <w:b/>
          <w:color w:val="1B365D"/>
          <w:sz w:val="28"/>
        </w:rPr>
        <w:t>1. Technical Summary of the Reviewed Paper</w:t>
      </w:r>
    </w:p>
    <w:p>
      <w:pPr>
        <w:keepNext/>
        <w:spacing w:before="240" w:after="80"/>
      </w:pPr>
      <w:r>
        <w:rPr>
          <w:rFonts w:ascii="Arial" w:hAnsi="Arial"/>
          <w:b/>
          <w:color w:val="2B6CB0"/>
          <w:sz w:val="24"/>
        </w:rPr>
        <w:t>1.1 Additive Decomposition Framework</w:t>
      </w:r>
    </w:p>
    <w:p>
      <w:pPr>
        <w:spacing w:before="0" w:after="120" w:line="276" w:lineRule="auto"/>
      </w:pPr>
      <w:r>
        <w:rPr>
          <w:rFonts w:ascii="Calibri" w:hAnsi="Calibri"/>
          <w:i w:val="0"/>
          <w:color w:val="2D3748"/>
          <w:sz w:val="21"/>
        </w:rPr>
        <w:t>The foundational architecture proposed by Duan et al. (2023) rests upon the classical additive decomposition paradigm for non-stationary, non-linear time series. The observed univariate atmospheric sequence x_t is assumed to be an additive superposition of a linear stationary component L_t and a non-linear chaotic residual component N_t:</w:t>
      </w:r>
    </w:p>
    <w:p>
      <w:pPr>
        <w:spacing w:before="0" w:after="120" w:line="276" w:lineRule="auto"/>
      </w:pPr>
      <w:r>
        <w:rPr>
          <w:rFonts w:ascii="Calibri" w:hAnsi="Calibri"/>
          <w:i/>
          <w:color w:val="2D3748"/>
          <w:sz w:val="21"/>
        </w:rPr>
        <w:t>x_t = L_t + N_t,    t ∈ {1, 2, ..., T}</w:t>
      </w:r>
    </w:p>
    <w:p>
      <w:pPr>
        <w:spacing w:before="0" w:after="120" w:line="276" w:lineRule="auto"/>
      </w:pPr>
      <w:r>
        <w:rPr>
          <w:rFonts w:ascii="Calibri" w:hAnsi="Calibri"/>
          <w:i w:val="0"/>
          <w:color w:val="2D3748"/>
          <w:sz w:val="21"/>
        </w:rPr>
        <w:t>The core rationale of the authors is that single statistical models (such as ARIMA) cannot capture high-order atmospheric non-linearities driven by complex photochemical reactions and boundary layer meteorology. Conversely, standalone deep neural networks frequently overfit or exhibit phase lag when processing non-stationary trends. By decomposing the series, linear dynamics are isolated and modeled statistically, leaving the residual sequence e_t = x_t - L̂_t to be modeled by neural networks.</w:t>
      </w:r>
    </w:p>
    <w:p>
      <w:pPr>
        <w:keepNext/>
        <w:spacing w:before="240" w:after="80"/>
      </w:pPr>
      <w:r>
        <w:rPr>
          <w:rFonts w:ascii="Arial" w:hAnsi="Arial"/>
          <w:b/>
          <w:color w:val="2B6CB0"/>
          <w:sz w:val="24"/>
        </w:rPr>
        <w:t>1.2 Linear Modeling via ARIMA</w:t>
      </w:r>
    </w:p>
    <w:p>
      <w:pPr>
        <w:spacing w:before="0" w:after="120" w:line="276" w:lineRule="auto"/>
      </w:pPr>
      <w:r>
        <w:rPr>
          <w:rFonts w:ascii="Calibri" w:hAnsi="Calibri"/>
          <w:i w:val="0"/>
          <w:color w:val="2D3748"/>
          <w:sz w:val="21"/>
        </w:rPr>
        <w:t>The linear component L̂_t is captured using a classical Box–Jenkins ARIMA(p, d, q) formulation: Φ_p(B)(1 - B)^d x_t = Θ_q(B)ε_t, where B is the backshift operator, Φ_p(B) is the autoregressive polynomial, Θ_q(B) is the moving average polynomial, d represents the differencing order, and ε_t ~ WN(0, σ²) represents white noise residuals. Order determination for (p, q) is conducted through grid-search minimization of the Bayesian Information Criterion (BIC): BIC = -2 ln(L̂) + k ln(N).</w:t>
      </w:r>
    </w:p>
    <w:p>
      <w:pPr>
        <w:keepNext/>
        <w:spacing w:before="240" w:after="80"/>
      </w:pPr>
      <w:r>
        <w:rPr>
          <w:rFonts w:ascii="Arial" w:hAnsi="Arial"/>
          <w:b/>
          <w:color w:val="2B6CB0"/>
          <w:sz w:val="24"/>
        </w:rPr>
        <w:t>1.3 Residual Sequence Formulation &amp; CNN-LSTM Architecture</w:t>
      </w:r>
    </w:p>
    <w:p>
      <w:pPr>
        <w:spacing w:before="0" w:after="120" w:line="276" w:lineRule="auto"/>
      </w:pPr>
      <w:r>
        <w:rPr>
          <w:rFonts w:ascii="Calibri" w:hAnsi="Calibri"/>
          <w:i w:val="0"/>
          <w:color w:val="2D3748"/>
          <w:sz w:val="21"/>
        </w:rPr>
        <w:t>Once optimal ARIMA parameters generate one-step-ahead linear predictions L̂_t, the deterministic linear trajectory is subtracted from the observed series to yield the non-linear residual sequence: e_t = x_t - L̂_t. This residual series is formatted into supervised pairs with lag window w = 10. To model residual dynamics, the authors deploy: (1) a 1D-CNN layer for local temporal feature extraction; (2) max-pooling for dimension reduction; (3) multi-layer LSTM cells for sequential memory tracking; and (4) a linear projection layer generating residual predictions ê_t.</w:t>
      </w:r>
    </w:p>
    <w:p>
      <w:pPr>
        <w:keepNext/>
        <w:spacing w:before="240" w:after="80"/>
      </w:pPr>
      <w:r>
        <w:rPr>
          <w:rFonts w:ascii="Arial" w:hAnsi="Arial"/>
          <w:b/>
          <w:color w:val="2B6CB0"/>
          <w:sz w:val="24"/>
        </w:rPr>
        <w:t>1.4 Dung Beetle Optimizer (DBO) Hyperparameter Search</w:t>
      </w:r>
    </w:p>
    <w:p>
      <w:pPr>
        <w:spacing w:before="0" w:after="120" w:line="276" w:lineRule="auto"/>
      </w:pPr>
      <w:r>
        <w:rPr>
          <w:rFonts w:ascii="Calibri" w:hAnsi="Calibri"/>
          <w:i w:val="0"/>
          <w:color w:val="2D3748"/>
          <w:sz w:val="21"/>
        </w:rPr>
        <w:t>To automate hyperparameter selection, the authors introduce the Dung Beetle Optimizer (DBO; Xue &amp; Shen, 2022). DBO simulates four biological phenotypes: (1) Ball-rolling beetles (N_1 = 6) navigating by celestial cues; (2) Breeding beetles (N_2 = 6) laying eggs within dynamically contracting boundary zones (Lb*, Ub*); (3) Foraging little beetles (N_3 = 7) exploring optimal food zones (Lbb, Ubb); and (4) Stealing thieves (N_4 = 11) competing for food balls. A swarm of N = 30 agents searches across 7 hyperparameter dimensions: CNN filters, kernel size, LSTM hidden units, learning rate, batch size, epochs, and dropout.</w:t>
      </w:r>
    </w:p>
    <w:p>
      <w:pPr>
        <w:spacing w:before="0" w:after="120" w:line="276" w:lineRule="auto"/>
      </w:pPr>
      <w:r>
        <w:rPr>
          <w:rFonts w:ascii="Calibri" w:hAnsi="Calibri"/>
          <w:i/>
          <w:color w:val="2D3748"/>
          <w:sz w:val="21"/>
        </w:rPr>
        <w:t>The final composite prediction is reconstituted additively: x̂_t = L̂_t + ê_t.</w:t>
      </w:r>
    </w:p>
    <w:p>
      <w:pPr>
        <w:keepNext/>
        <w:spacing w:before="360" w:after="120"/>
      </w:pPr>
      <w:r>
        <w:rPr>
          <w:rFonts w:ascii="Arial" w:hAnsi="Arial"/>
          <w:b/>
          <w:color w:val="1B365D"/>
          <w:sz w:val="28"/>
        </w:rPr>
        <w:t>2. Methodological Critique &amp; Forensic Audit</w:t>
      </w:r>
    </w:p>
    <w:p>
      <w:pPr>
        <w:keepNext/>
        <w:spacing w:before="240" w:after="80"/>
      </w:pPr>
      <w:r>
        <w:rPr>
          <w:rFonts w:ascii="Arial" w:hAnsi="Arial"/>
          <w:b/>
          <w:color w:val="2B6CB0"/>
          <w:sz w:val="24"/>
        </w:rPr>
        <w:t>2.1 The Overclaiming &amp; Flattering R² Illusion</w:t>
      </w:r>
    </w:p>
    <w:p>
      <w:pPr>
        <w:spacing w:before="0" w:after="120" w:line="276" w:lineRule="auto"/>
      </w:pPr>
      <w:r>
        <w:rPr>
          <w:rFonts w:ascii="Calibri" w:hAnsi="Calibri"/>
          <w:i w:val="0"/>
          <w:color w:val="2D3748"/>
          <w:sz w:val="21"/>
        </w:rPr>
        <w:t>The primary claim by Duan et al. is that their model achieves near-perfect predictive accuracy, citing R² between 0.962 and 0.989. In statistical forecasting, reporting R² on non-stationary, autocorrelated daily time series without adequate contextualization introduces a profound evaluation illusion (Hyndman &amp; Athanasopoulos, 2021). The coefficient of determination is formulated as:</w:t>
      </w:r>
    </w:p>
    <w:p>
      <w:pPr>
        <w:spacing w:before="0" w:after="120" w:line="276" w:lineRule="auto"/>
      </w:pPr>
      <w:r>
        <w:rPr>
          <w:rFonts w:ascii="Calibri" w:hAnsi="Calibri"/>
          <w:i/>
          <w:color w:val="2D3748"/>
          <w:sz w:val="21"/>
        </w:rPr>
        <w:t>R² = 1 - [ ∑ (x_t - x̂_t)² ] / [ ∑ (x_t - x̄)² ] = 1 - MSE / Var(x)</w:t>
      </w:r>
    </w:p>
    <w:p>
      <w:pPr>
        <w:spacing w:before="0" w:after="120" w:line="276" w:lineRule="auto"/>
      </w:pPr>
      <w:r>
        <w:rPr>
          <w:rFonts w:ascii="Calibri" w:hAnsi="Calibri"/>
          <w:i w:val="0"/>
          <w:color w:val="2D3748"/>
          <w:sz w:val="21"/>
        </w:rPr>
        <w:t>In atmospheric daily time series spanning seven continuous years (2,528 days), the total sample variance Var(x) in the denominator is massive (σ² = 3,744.13 in Beijing), driven by wide seasonal swings between winter heating spikes (AQI &gt; 400) and clean summer monsoon periods (AQI &lt; 30). Consequently, any model that merely tracks the seasonal cycle will yield a tiny numerator relative to the massive denominator, mathematically guaranteeing an R² approaching 0.90—even if its day-to-day point forecasts carry substantial tracking errors. When evaluated under an honest, leak-free test split, the audited hybrid achieves R² = 0.388.</w:t>
      </w:r>
    </w:p>
    <w:p>
      <w:pPr>
        <w:keepNext/>
        <w:spacing w:before="240" w:after="80"/>
      </w:pPr>
      <w:r>
        <w:rPr>
          <w:rFonts w:ascii="Arial" w:hAnsi="Arial"/>
          <w:b/>
          <w:color w:val="2B6CB0"/>
          <w:sz w:val="24"/>
        </w:rPr>
        <w:t>2.2 The Omission of the Naive Persistence Benchmark</w:t>
      </w:r>
    </w:p>
    <w:p>
      <w:pPr>
        <w:spacing w:before="0" w:after="120" w:line="276" w:lineRule="auto"/>
      </w:pPr>
      <w:r>
        <w:rPr>
          <w:rFonts w:ascii="Calibri" w:hAnsi="Calibri"/>
          <w:i w:val="0"/>
          <w:color w:val="2D3748"/>
          <w:sz w:val="21"/>
        </w:rPr>
        <w:t>A foundational principle of time series benchmarking is that complex machine learning architectures must be evaluated against standard zero-cost heuristics (Armstrong, 2001; Hyndman &amp; Koehler, 2006). In daily air quality forecasting, atmospheric inertia dictates that yesterday's air quality is an exceptionally strong predictor of today's air quality: ŷ_t = x_{t-1}. Duan et al. compared their hybrid against complex single deep models (LSTM, CNN, SVM), yet omitted naive persistence. In our Phase 2 empirical audit, naive persistence achieved RMSE = 37.47, MAE = 23.36, R² = 0.336, and MASE = 0.608. The authors' &gt;110,000-parameter hybrid improved RMSE by only 1.49 AQI units, an advantage proven to be statistically insignificant (p = 0.5316).</w:t>
      </w:r>
    </w:p>
    <w:p>
      <w:pPr>
        <w:keepNext/>
        <w:spacing w:before="240" w:after="80"/>
      </w:pPr>
      <w:r>
        <w:rPr>
          <w:rFonts w:ascii="Arial" w:hAnsi="Arial"/>
          <w:b/>
          <w:color w:val="2B6CB0"/>
          <w:sz w:val="24"/>
        </w:rPr>
        <w:t>2.3 Data Leakage in Global Scaling and Swarm Tuning</w:t>
      </w:r>
    </w:p>
    <w:p>
      <w:pPr>
        <w:spacing w:before="0" w:after="120" w:line="276" w:lineRule="auto"/>
      </w:pPr>
      <w:r>
        <w:rPr>
          <w:rFonts w:ascii="Calibri" w:hAnsi="Calibri"/>
          <w:i w:val="0"/>
          <w:color w:val="2D3748"/>
          <w:sz w:val="21"/>
        </w:rPr>
        <w:t>A forensic inspection reveals two severe vectors of data leakage in Duan et al.'s experimental protocol: (1) Global Min-Max Normalization was applied across the entire 7-year sequence prior to partitioning. Because global minimums and maximums incorporate the extreme pollution peaks of the 2018–2020 testing horizon, the training partition received direct look-ahead information regarding future bounds. (2) Single Train/Test Split without an independent validation set meant that the DBO swarm evaluated its fitness function directly on the test partition. Evaluating 30 agents across 50 iterations (1,500 model fits) on evaluation data causes severe hyperparameter overfitting.</w:t>
      </w:r>
    </w:p>
    <w:p>
      <w:pPr>
        <w:keepNext/>
        <w:spacing w:before="240" w:after="80"/>
      </w:pPr>
      <w:r>
        <w:rPr>
          <w:rFonts w:ascii="Arial" w:hAnsi="Arial"/>
          <w:b/>
          <w:color w:val="2B6CB0"/>
          <w:sz w:val="24"/>
        </w:rPr>
        <w:t>2.4 Severe Degradation on Critical Pollution Days (Regression Imbalance)</w:t>
      </w:r>
    </w:p>
    <w:p>
      <w:pPr>
        <w:spacing w:before="0" w:after="120" w:line="276" w:lineRule="auto"/>
      </w:pPr>
      <w:r>
        <w:rPr>
          <w:rFonts w:ascii="Calibri" w:hAnsi="Calibri"/>
          <w:i w:val="0"/>
          <w:color w:val="2D3748"/>
          <w:sz w:val="21"/>
        </w:rPr>
        <w:t>The core societal justification for atmospheric modeling is public health protection: providing municipal authorities with advance warnings of hazardous episodes (AQI ≥ 150 or ≥ 200). Our error analysis stratifies performance across air quality tiers. While the hybrid performs acceptably during clean conditions (AQI &lt; 100, RMSE = 17.65), its error explodes during hazardous episodes (AQI ≥ 200, RMSE = 145.67, MAE = 138.58). Because hazardous days represent &lt; 4% of the dataset, MSE loss strongly penalizes deviations from the dominant mode (AQI ≈ 60–80). Furthermore, bounded neural activation functions (tanh and sigmoid) compress extreme activations, pulling forecasts toward the mean. On days with acute health risks, the hybrid under-predicts the true peak by more than 130 AQI points, rendering it dangerous for operational deployment.</w:t>
      </w:r>
    </w:p>
    <w:p>
      <w:pPr>
        <w:keepNext/>
        <w:spacing w:before="360" w:after="120"/>
      </w:pPr>
      <w:r>
        <w:rPr>
          <w:rFonts w:ascii="Arial" w:hAnsi="Arial"/>
          <w:b/>
          <w:color w:val="1B365D"/>
          <w:sz w:val="28"/>
        </w:rPr>
        <w:t>3. Comparative Empirical Analysis</w:t>
      </w:r>
    </w:p>
    <w:p>
      <w:pPr>
        <w:spacing w:before="0" w:after="120" w:line="276" w:lineRule="auto"/>
      </w:pPr>
      <w:r>
        <w:rPr>
          <w:rFonts w:ascii="Calibri" w:hAnsi="Calibri"/>
          <w:i w:val="0"/>
          <w:color w:val="2D3748"/>
          <w:sz w:val="21"/>
        </w:rPr>
        <w:t>To rigorously validate the theoretical critique, an end-to-end empirical replication and benchmarking study was conducted on the Beijing daily air quality dataset (2,528 daily observations, 2014–2020). All experiments enforced a leak-free 3-way chronological split (70% Train, 15% Val, 15% Test) with train-only normalization.</w:t>
      </w:r>
    </w:p>
    <w:p>
      <w:pPr>
        <w:keepNext/>
        <w:spacing w:before="240" w:after="80"/>
      </w:pPr>
      <w:r>
        <w:rPr>
          <w:rFonts w:ascii="Arial" w:hAnsi="Arial"/>
          <w:b/>
          <w:color w:val="2B6CB0"/>
          <w:sz w:val="24"/>
        </w:rPr>
        <w:t>3.1 Master Empirical Performance Comparison</w:t>
      </w: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c>
          <w:tcPr>
            <w:tcW w:type="dxa" w:w="2592"/>
            <w:vAlign w:val="center"/>
            <w:tcMar>
              <w:top w:w="60" w:type="dxa"/>
              <w:bottom w:w="60" w:type="dxa"/>
              <w:left w:w="60" w:type="dxa"/>
              <w:right w:w="60" w:type="dxa"/>
            </w:tcMar>
            <w:shd w:fill="1B365D"/>
          </w:tcPr>
          <w:p>
            <w:pPr>
              <w:spacing w:before="20" w:after="20"/>
              <w:jc w:val="left"/>
            </w:pPr>
            <w:r>
              <w:rPr>
                <w:rFonts w:ascii="Arial" w:hAnsi="Arial"/>
                <w:b/>
                <w:color w:val="FFFFFF"/>
                <w:sz w:val="17"/>
              </w:rPr>
              <w:t>Model Architecture</w:t>
            </w:r>
          </w:p>
        </w:tc>
        <w:tc>
          <w:tcPr>
            <w:tcW w:type="dxa" w:w="1008"/>
            <w:vAlign w:val="center"/>
            <w:tcMar>
              <w:top w:w="60" w:type="dxa"/>
              <w:bottom w:w="60" w:type="dxa"/>
              <w:left w:w="60" w:type="dxa"/>
              <w:right w:w="60" w:type="dxa"/>
            </w:tcMar>
            <w:shd w:fill="1B365D"/>
          </w:tcPr>
          <w:p>
            <w:pPr>
              <w:spacing w:before="20" w:after="20"/>
              <w:jc w:val="center"/>
            </w:pPr>
            <w:r>
              <w:rPr>
                <w:rFonts w:ascii="Arial" w:hAnsi="Arial"/>
                <w:b/>
                <w:color w:val="FFFFFF"/>
                <w:sz w:val="17"/>
              </w:rPr>
              <w:t>Params</w:t>
            </w:r>
          </w:p>
        </w:tc>
        <w:tc>
          <w:tcPr>
            <w:tcW w:type="dxa" w:w="1152"/>
            <w:vAlign w:val="center"/>
            <w:tcMar>
              <w:top w:w="60" w:type="dxa"/>
              <w:bottom w:w="60" w:type="dxa"/>
              <w:left w:w="60" w:type="dxa"/>
              <w:right w:w="60" w:type="dxa"/>
            </w:tcMar>
            <w:shd w:fill="1B365D"/>
          </w:tcPr>
          <w:p>
            <w:pPr>
              <w:spacing w:before="20" w:after="20"/>
              <w:jc w:val="center"/>
            </w:pPr>
            <w:r>
              <w:rPr>
                <w:rFonts w:ascii="Arial" w:hAnsi="Arial"/>
                <w:b/>
                <w:color w:val="FFFFFF"/>
                <w:sz w:val="17"/>
              </w:rPr>
              <w:t>Train Time</w:t>
            </w:r>
          </w:p>
        </w:tc>
        <w:tc>
          <w:tcPr>
            <w:tcW w:type="dxa" w:w="936"/>
            <w:vAlign w:val="center"/>
            <w:tcMar>
              <w:top w:w="60" w:type="dxa"/>
              <w:bottom w:w="60" w:type="dxa"/>
              <w:left w:w="60" w:type="dxa"/>
              <w:right w:w="60" w:type="dxa"/>
            </w:tcMar>
            <w:shd w:fill="1B365D"/>
          </w:tcPr>
          <w:p>
            <w:pPr>
              <w:spacing w:before="20" w:after="20"/>
              <w:jc w:val="center"/>
            </w:pPr>
            <w:r>
              <w:rPr>
                <w:rFonts w:ascii="Arial" w:hAnsi="Arial"/>
                <w:b/>
                <w:color w:val="FFFFFF"/>
                <w:sz w:val="17"/>
              </w:rPr>
              <w:t>RMSE</w:t>
            </w:r>
          </w:p>
        </w:tc>
        <w:tc>
          <w:tcPr>
            <w:tcW w:type="dxa" w:w="936"/>
            <w:vAlign w:val="center"/>
            <w:tcMar>
              <w:top w:w="60" w:type="dxa"/>
              <w:bottom w:w="60" w:type="dxa"/>
              <w:left w:w="60" w:type="dxa"/>
              <w:right w:w="60" w:type="dxa"/>
            </w:tcMar>
            <w:shd w:fill="1B365D"/>
          </w:tcPr>
          <w:p>
            <w:pPr>
              <w:spacing w:before="20" w:after="20"/>
              <w:jc w:val="center"/>
            </w:pPr>
            <w:r>
              <w:rPr>
                <w:rFonts w:ascii="Arial" w:hAnsi="Arial"/>
                <w:b/>
                <w:color w:val="FFFFFF"/>
                <w:sz w:val="17"/>
              </w:rPr>
              <w:t>MAE</w:t>
            </w:r>
          </w:p>
        </w:tc>
        <w:tc>
          <w:tcPr>
            <w:tcW w:type="dxa" w:w="792"/>
            <w:vAlign w:val="center"/>
            <w:tcMar>
              <w:top w:w="60" w:type="dxa"/>
              <w:bottom w:w="60" w:type="dxa"/>
              <w:left w:w="60" w:type="dxa"/>
              <w:right w:w="60" w:type="dxa"/>
            </w:tcMar>
            <w:shd w:fill="1B365D"/>
          </w:tcPr>
          <w:p>
            <w:pPr>
              <w:spacing w:before="20" w:after="20"/>
              <w:jc w:val="center"/>
            </w:pPr>
            <w:r>
              <w:rPr>
                <w:rFonts w:ascii="Arial" w:hAnsi="Arial"/>
                <w:b/>
                <w:color w:val="FFFFFF"/>
                <w:sz w:val="17"/>
              </w:rPr>
              <w:t>R²</w:t>
            </w:r>
          </w:p>
        </w:tc>
        <w:tc>
          <w:tcPr>
            <w:tcW w:type="dxa" w:w="1008"/>
            <w:vAlign w:val="center"/>
            <w:tcMar>
              <w:top w:w="60" w:type="dxa"/>
              <w:bottom w:w="60" w:type="dxa"/>
              <w:left w:w="60" w:type="dxa"/>
              <w:right w:w="60" w:type="dxa"/>
            </w:tcMar>
            <w:shd w:fill="1B365D"/>
          </w:tcPr>
          <w:p>
            <w:pPr>
              <w:spacing w:before="20" w:after="20"/>
              <w:jc w:val="center"/>
            </w:pPr>
            <w:r>
              <w:rPr>
                <w:rFonts w:ascii="Arial" w:hAnsi="Arial"/>
                <w:b/>
                <w:color w:val="FFFFFF"/>
                <w:sz w:val="17"/>
              </w:rPr>
              <w:t>MAPE (%)</w:t>
            </w:r>
          </w:p>
        </w:tc>
        <w:tc>
          <w:tcPr>
            <w:tcW w:type="dxa" w:w="936"/>
            <w:vAlign w:val="center"/>
            <w:tcMar>
              <w:top w:w="60" w:type="dxa"/>
              <w:bottom w:w="60" w:type="dxa"/>
              <w:left w:w="60" w:type="dxa"/>
              <w:right w:w="60" w:type="dxa"/>
            </w:tcMar>
            <w:shd w:fill="1B365D"/>
          </w:tcPr>
          <w:p>
            <w:pPr>
              <w:spacing w:before="20" w:after="20"/>
              <w:jc w:val="center"/>
            </w:pPr>
            <w:r>
              <w:rPr>
                <w:rFonts w:ascii="Arial" w:hAnsi="Arial"/>
                <w:b/>
                <w:color w:val="FFFFFF"/>
                <w:sz w:val="17"/>
              </w:rPr>
              <w:t>MASE</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b/>
                <w:color w:val="2D3748"/>
                <w:sz w:val="17"/>
              </w:rPr>
              <w:t>Author Claimed Hybrid (Paper)</w:t>
            </w:r>
          </w:p>
        </w:tc>
        <w:tc>
          <w:tcPr>
            <w:tcW w:type="dxa" w:w="1008"/>
            <w:vAlign w:val="center"/>
            <w:tcMar>
              <w:top w:w="60" w:type="dxa"/>
              <w:bottom w:w="60" w:type="dxa"/>
              <w:left w:w="60" w:type="dxa"/>
              <w:right w:w="60" w:type="dxa"/>
            </w:tcMar>
            <w:shd w:fill="F7FAFC"/>
          </w:tcPr>
          <w:p>
            <w:pPr>
              <w:spacing w:before="20" w:after="20"/>
              <w:jc w:val="center"/>
            </w:pPr>
            <w:r>
              <w:rPr>
                <w:rFonts w:ascii="Arial" w:hAnsi="Arial"/>
                <w:b/>
                <w:color w:val="2D3748"/>
                <w:sz w:val="17"/>
              </w:rPr>
              <w:t>&gt; 110,000</w:t>
            </w:r>
          </w:p>
        </w:tc>
        <w:tc>
          <w:tcPr>
            <w:tcW w:type="dxa" w:w="1152"/>
            <w:vAlign w:val="center"/>
            <w:tcMar>
              <w:top w:w="60" w:type="dxa"/>
              <w:bottom w:w="60" w:type="dxa"/>
              <w:left w:w="60" w:type="dxa"/>
              <w:right w:w="60" w:type="dxa"/>
            </w:tcMar>
            <w:shd w:fill="F7FAFC"/>
          </w:tcPr>
          <w:p>
            <w:pPr>
              <w:spacing w:before="20" w:after="20"/>
              <w:jc w:val="center"/>
            </w:pPr>
            <w:r>
              <w:rPr>
                <w:rFonts w:ascii="Arial" w:hAnsi="Arial"/>
                <w:b/>
                <w:color w:val="2D3748"/>
                <w:sz w:val="17"/>
              </w:rPr>
              <w:t>Not reported</w:t>
            </w:r>
          </w:p>
        </w:tc>
        <w:tc>
          <w:tcPr>
            <w:tcW w:type="dxa" w:w="936"/>
            <w:vAlign w:val="center"/>
            <w:tcMar>
              <w:top w:w="60" w:type="dxa"/>
              <w:bottom w:w="60" w:type="dxa"/>
              <w:left w:w="60" w:type="dxa"/>
              <w:right w:w="60" w:type="dxa"/>
            </w:tcMar>
            <w:shd w:fill="F7FAFC"/>
          </w:tcPr>
          <w:p>
            <w:pPr>
              <w:spacing w:before="20" w:after="20"/>
              <w:jc w:val="center"/>
            </w:pPr>
            <w:r>
              <w:rPr>
                <w:rFonts w:ascii="Arial" w:hAnsi="Arial"/>
                <w:b/>
                <w:color w:val="2D3748"/>
                <w:sz w:val="17"/>
              </w:rPr>
              <w:t>14.940</w:t>
            </w:r>
          </w:p>
        </w:tc>
        <w:tc>
          <w:tcPr>
            <w:tcW w:type="dxa" w:w="936"/>
            <w:vAlign w:val="center"/>
            <w:tcMar>
              <w:top w:w="60" w:type="dxa"/>
              <w:bottom w:w="60" w:type="dxa"/>
              <w:left w:w="60" w:type="dxa"/>
              <w:right w:w="60" w:type="dxa"/>
            </w:tcMar>
            <w:shd w:fill="F7FAFC"/>
          </w:tcPr>
          <w:p>
            <w:pPr>
              <w:spacing w:before="20" w:after="20"/>
              <w:jc w:val="center"/>
            </w:pPr>
            <w:r>
              <w:rPr>
                <w:rFonts w:ascii="Arial" w:hAnsi="Arial"/>
                <w:b/>
                <w:color w:val="2D3748"/>
                <w:sz w:val="17"/>
              </w:rPr>
              <w:t>10.839</w:t>
            </w:r>
          </w:p>
        </w:tc>
        <w:tc>
          <w:tcPr>
            <w:tcW w:type="dxa" w:w="792"/>
            <w:vAlign w:val="center"/>
            <w:tcMar>
              <w:top w:w="60" w:type="dxa"/>
              <w:bottom w:w="60" w:type="dxa"/>
              <w:left w:w="60" w:type="dxa"/>
              <w:right w:w="60" w:type="dxa"/>
            </w:tcMar>
            <w:shd w:fill="F7FAFC"/>
          </w:tcPr>
          <w:p>
            <w:pPr>
              <w:spacing w:before="20" w:after="20"/>
              <w:jc w:val="center"/>
            </w:pPr>
            <w:r>
              <w:rPr>
                <w:rFonts w:ascii="Arial" w:hAnsi="Arial"/>
                <w:b/>
                <w:color w:val="2D3748"/>
                <w:sz w:val="17"/>
              </w:rPr>
              <w:t>0.962</w:t>
            </w:r>
          </w:p>
        </w:tc>
        <w:tc>
          <w:tcPr>
            <w:tcW w:type="dxa" w:w="1008"/>
            <w:vAlign w:val="center"/>
            <w:tcMar>
              <w:top w:w="60" w:type="dxa"/>
              <w:bottom w:w="60" w:type="dxa"/>
              <w:left w:w="60" w:type="dxa"/>
              <w:right w:w="60" w:type="dxa"/>
            </w:tcMar>
            <w:shd w:fill="F7FAFC"/>
          </w:tcPr>
          <w:p>
            <w:pPr>
              <w:spacing w:before="20" w:after="20"/>
              <w:jc w:val="center"/>
            </w:pPr>
            <w:r>
              <w:rPr>
                <w:rFonts w:ascii="Arial" w:hAnsi="Arial"/>
                <w:b/>
                <w:color w:val="2D3748"/>
                <w:sz w:val="17"/>
              </w:rPr>
              <w:t>Unreported</w:t>
            </w:r>
          </w:p>
        </w:tc>
        <w:tc>
          <w:tcPr>
            <w:tcW w:type="dxa" w:w="936"/>
            <w:vAlign w:val="center"/>
            <w:tcMar>
              <w:top w:w="60" w:type="dxa"/>
              <w:bottom w:w="60" w:type="dxa"/>
              <w:left w:w="60" w:type="dxa"/>
              <w:right w:w="60" w:type="dxa"/>
            </w:tcMar>
            <w:shd w:fill="F7FAFC"/>
          </w:tcPr>
          <w:p>
            <w:pPr>
              <w:spacing w:before="20" w:after="20"/>
              <w:jc w:val="center"/>
            </w:pPr>
            <w:r>
              <w:rPr>
                <w:rFonts w:ascii="Arial" w:hAnsi="Arial"/>
                <w:b/>
                <w:color w:val="2D3748"/>
                <w:sz w:val="17"/>
              </w:rPr>
              <w:t>Unreported</w:t>
            </w:r>
          </w:p>
        </w:tc>
      </w:tr>
      <w:tr>
        <w:tc>
          <w:tcPr>
            <w:tcW w:type="dxa" w:w="2592"/>
            <w:vAlign w:val="center"/>
            <w:tcMar>
              <w:top w:w="60" w:type="dxa"/>
              <w:bottom w:w="60" w:type="dxa"/>
              <w:left w:w="60" w:type="dxa"/>
              <w:right w:w="60" w:type="dxa"/>
            </w:tcMar>
            <w:shd w:fill="FFFFFF"/>
          </w:tcPr>
          <w:p>
            <w:pPr>
              <w:spacing w:before="20" w:after="20"/>
              <w:jc w:val="left"/>
            </w:pPr>
            <w:r>
              <w:rPr>
                <w:rFonts w:ascii="Arial" w:hAnsi="Arial"/>
                <w:color w:val="2D3748"/>
                <w:sz w:val="17"/>
              </w:rPr>
              <w:t>Audited Hybrid (Honest Split)</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112,450</w:t>
            </w:r>
          </w:p>
        </w:tc>
        <w:tc>
          <w:tcPr>
            <w:tcW w:type="dxa" w:w="1152"/>
            <w:vAlign w:val="center"/>
            <w:tcMar>
              <w:top w:w="60" w:type="dxa"/>
              <w:bottom w:w="60" w:type="dxa"/>
              <w:left w:w="60" w:type="dxa"/>
              <w:right w:w="60" w:type="dxa"/>
            </w:tcMar>
            <w:shd w:fill="FFFFFF"/>
          </w:tcPr>
          <w:p>
            <w:pPr>
              <w:spacing w:before="20" w:after="20"/>
              <w:jc w:val="center"/>
            </w:pPr>
            <w:r>
              <w:rPr>
                <w:rFonts w:ascii="Arial" w:hAnsi="Arial"/>
                <w:color w:val="2D3748"/>
                <w:sz w:val="17"/>
              </w:rPr>
              <w:t>1,480.2 s</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35.980</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22.899</w:t>
            </w:r>
          </w:p>
        </w:tc>
        <w:tc>
          <w:tcPr>
            <w:tcW w:type="dxa" w:w="792"/>
            <w:vAlign w:val="center"/>
            <w:tcMar>
              <w:top w:w="60" w:type="dxa"/>
              <w:bottom w:w="60" w:type="dxa"/>
              <w:left w:w="60" w:type="dxa"/>
              <w:right w:w="60" w:type="dxa"/>
            </w:tcMar>
            <w:shd w:fill="FFFFFF"/>
          </w:tcPr>
          <w:p>
            <w:pPr>
              <w:spacing w:before="20" w:after="20"/>
              <w:jc w:val="center"/>
            </w:pPr>
            <w:r>
              <w:rPr>
                <w:rFonts w:ascii="Arial" w:hAnsi="Arial"/>
                <w:color w:val="2D3748"/>
                <w:sz w:val="17"/>
              </w:rPr>
              <w:t>0.388</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35.57%</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0.596</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Pure ARIMA(3, 1, 1)</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5</w:t>
            </w:r>
          </w:p>
        </w:tc>
        <w:tc>
          <w:tcPr>
            <w:tcW w:type="dxa" w:w="1152"/>
            <w:vAlign w:val="center"/>
            <w:tcMar>
              <w:top w:w="60" w:type="dxa"/>
              <w:bottom w:w="60" w:type="dxa"/>
              <w:left w:w="60" w:type="dxa"/>
              <w:right w:w="60" w:type="dxa"/>
            </w:tcMar>
            <w:shd w:fill="F7FAFC"/>
          </w:tcPr>
          <w:p>
            <w:pPr>
              <w:spacing w:before="20" w:after="20"/>
              <w:jc w:val="center"/>
            </w:pPr>
            <w:r>
              <w:rPr>
                <w:rFonts w:ascii="Arial" w:hAnsi="Arial"/>
                <w:color w:val="2D3748"/>
                <w:sz w:val="17"/>
              </w:rPr>
              <w:t>0.24 s</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34.633</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22.935</w:t>
            </w:r>
          </w:p>
        </w:tc>
        <w:tc>
          <w:tcPr>
            <w:tcW w:type="dxa" w:w="792"/>
            <w:vAlign w:val="center"/>
            <w:tcMar>
              <w:top w:w="60" w:type="dxa"/>
              <w:bottom w:w="60" w:type="dxa"/>
              <w:left w:w="60" w:type="dxa"/>
              <w:right w:w="60" w:type="dxa"/>
            </w:tcMar>
            <w:shd w:fill="F7FAFC"/>
          </w:tcPr>
          <w:p>
            <w:pPr>
              <w:spacing w:before="20" w:after="20"/>
              <w:jc w:val="center"/>
            </w:pPr>
            <w:r>
              <w:rPr>
                <w:rFonts w:ascii="Arial" w:hAnsi="Arial"/>
                <w:color w:val="2D3748"/>
                <w:sz w:val="17"/>
              </w:rPr>
              <w:t>0.433</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41.80%</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0.597</w:t>
            </w:r>
          </w:p>
        </w:tc>
      </w:tr>
      <w:tr>
        <w:tc>
          <w:tcPr>
            <w:tcW w:type="dxa" w:w="2592"/>
            <w:vAlign w:val="center"/>
            <w:tcMar>
              <w:top w:w="60" w:type="dxa"/>
              <w:bottom w:w="60" w:type="dxa"/>
              <w:left w:w="60" w:type="dxa"/>
              <w:right w:w="60" w:type="dxa"/>
            </w:tcMar>
            <w:shd w:fill="FFFFFF"/>
          </w:tcPr>
          <w:p>
            <w:pPr>
              <w:spacing w:before="20" w:after="20"/>
              <w:jc w:val="left"/>
            </w:pPr>
            <w:r>
              <w:rPr>
                <w:rFonts w:ascii="Arial" w:hAnsi="Arial"/>
                <w:color w:val="2D3748"/>
                <w:sz w:val="17"/>
              </w:rPr>
              <w:t>Naive Persistence (ŷ_t = x_{t-1})</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0</w:t>
            </w:r>
          </w:p>
        </w:tc>
        <w:tc>
          <w:tcPr>
            <w:tcW w:type="dxa" w:w="1152"/>
            <w:vAlign w:val="center"/>
            <w:tcMar>
              <w:top w:w="60" w:type="dxa"/>
              <w:bottom w:w="60" w:type="dxa"/>
              <w:left w:w="60" w:type="dxa"/>
              <w:right w:w="60" w:type="dxa"/>
            </w:tcMar>
            <w:shd w:fill="FFFFFF"/>
          </w:tcPr>
          <w:p>
            <w:pPr>
              <w:spacing w:before="20" w:after="20"/>
              <w:jc w:val="center"/>
            </w:pPr>
            <w:r>
              <w:rPr>
                <w:rFonts w:ascii="Arial" w:hAnsi="Arial"/>
                <w:color w:val="2D3748"/>
                <w:sz w:val="17"/>
              </w:rPr>
              <w:t>0.00 s</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37.473</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23.361</w:t>
            </w:r>
          </w:p>
        </w:tc>
        <w:tc>
          <w:tcPr>
            <w:tcW w:type="dxa" w:w="792"/>
            <w:vAlign w:val="center"/>
            <w:tcMar>
              <w:top w:w="60" w:type="dxa"/>
              <w:bottom w:w="60" w:type="dxa"/>
              <w:left w:w="60" w:type="dxa"/>
              <w:right w:w="60" w:type="dxa"/>
            </w:tcMar>
            <w:shd w:fill="FFFFFF"/>
          </w:tcPr>
          <w:p>
            <w:pPr>
              <w:spacing w:before="20" w:after="20"/>
              <w:jc w:val="center"/>
            </w:pPr>
            <w:r>
              <w:rPr>
                <w:rFonts w:ascii="Arial" w:hAnsi="Arial"/>
                <w:color w:val="2D3748"/>
                <w:sz w:val="17"/>
              </w:rPr>
              <w:t>0.336</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41.83%</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0.608</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Gradient Boosted Trees (Alt. 1)</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100 trees</w:t>
            </w:r>
          </w:p>
        </w:tc>
        <w:tc>
          <w:tcPr>
            <w:tcW w:type="dxa" w:w="1152"/>
            <w:vAlign w:val="center"/>
            <w:tcMar>
              <w:top w:w="60" w:type="dxa"/>
              <w:bottom w:w="60" w:type="dxa"/>
              <w:left w:w="60" w:type="dxa"/>
              <w:right w:w="60" w:type="dxa"/>
            </w:tcMar>
            <w:shd w:fill="F7FAFC"/>
          </w:tcPr>
          <w:p>
            <w:pPr>
              <w:spacing w:before="20" w:after="20"/>
              <w:jc w:val="center"/>
            </w:pPr>
            <w:r>
              <w:rPr>
                <w:rFonts w:ascii="Arial" w:hAnsi="Arial"/>
                <w:color w:val="2D3748"/>
                <w:sz w:val="17"/>
              </w:rPr>
              <w:t>0.42 s</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36.420</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25.490</w:t>
            </w:r>
          </w:p>
        </w:tc>
        <w:tc>
          <w:tcPr>
            <w:tcW w:type="dxa" w:w="792"/>
            <w:vAlign w:val="center"/>
            <w:tcMar>
              <w:top w:w="60" w:type="dxa"/>
              <w:bottom w:w="60" w:type="dxa"/>
              <w:left w:w="60" w:type="dxa"/>
              <w:right w:w="60" w:type="dxa"/>
            </w:tcMar>
            <w:shd w:fill="F7FAFC"/>
          </w:tcPr>
          <w:p>
            <w:pPr>
              <w:spacing w:before="20" w:after="20"/>
              <w:jc w:val="center"/>
            </w:pPr>
            <w:r>
              <w:rPr>
                <w:rFonts w:ascii="Arial" w:hAnsi="Arial"/>
                <w:color w:val="2D3748"/>
                <w:sz w:val="17"/>
              </w:rPr>
              <w:t>0.373</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54.63%</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0.664</w:t>
            </w:r>
          </w:p>
        </w:tc>
      </w:tr>
      <w:tr>
        <w:tc>
          <w:tcPr>
            <w:tcW w:type="dxa" w:w="2592"/>
            <w:vAlign w:val="center"/>
            <w:tcMar>
              <w:top w:w="60" w:type="dxa"/>
              <w:bottom w:w="60" w:type="dxa"/>
              <w:left w:w="60" w:type="dxa"/>
              <w:right w:w="60" w:type="dxa"/>
            </w:tcMar>
            <w:shd w:fill="FFFFFF"/>
          </w:tcPr>
          <w:p>
            <w:pPr>
              <w:spacing w:before="20" w:after="20"/>
              <w:jc w:val="left"/>
            </w:pPr>
            <w:r>
              <w:rPr>
                <w:rFonts w:ascii="Arial" w:hAnsi="Arial"/>
                <w:color w:val="2D3748"/>
                <w:sz w:val="17"/>
              </w:rPr>
              <w:t>Random Forest Regressor</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100 trees</w:t>
            </w:r>
          </w:p>
        </w:tc>
        <w:tc>
          <w:tcPr>
            <w:tcW w:type="dxa" w:w="1152"/>
            <w:vAlign w:val="center"/>
            <w:tcMar>
              <w:top w:w="60" w:type="dxa"/>
              <w:bottom w:w="60" w:type="dxa"/>
              <w:left w:w="60" w:type="dxa"/>
              <w:right w:w="60" w:type="dxa"/>
            </w:tcMar>
            <w:shd w:fill="FFFFFF"/>
          </w:tcPr>
          <w:p>
            <w:pPr>
              <w:spacing w:before="20" w:after="20"/>
              <w:jc w:val="center"/>
            </w:pPr>
            <w:r>
              <w:rPr>
                <w:rFonts w:ascii="Arial" w:hAnsi="Arial"/>
                <w:color w:val="2D3748"/>
                <w:sz w:val="17"/>
              </w:rPr>
              <w:t>1.18 s</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37.265</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25.447</w:t>
            </w:r>
          </w:p>
        </w:tc>
        <w:tc>
          <w:tcPr>
            <w:tcW w:type="dxa" w:w="792"/>
            <w:vAlign w:val="center"/>
            <w:tcMar>
              <w:top w:w="60" w:type="dxa"/>
              <w:bottom w:w="60" w:type="dxa"/>
              <w:left w:w="60" w:type="dxa"/>
              <w:right w:w="60" w:type="dxa"/>
            </w:tcMar>
            <w:shd w:fill="FFFFFF"/>
          </w:tcPr>
          <w:p>
            <w:pPr>
              <w:spacing w:before="20" w:after="20"/>
              <w:jc w:val="center"/>
            </w:pPr>
            <w:r>
              <w:rPr>
                <w:rFonts w:ascii="Arial" w:hAnsi="Arial"/>
                <w:color w:val="2D3748"/>
                <w:sz w:val="17"/>
              </w:rPr>
              <w:t>0.343</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51.46%</w:t>
            </w:r>
          </w:p>
        </w:tc>
        <w:tc>
          <w:tcPr>
            <w:tcW w:type="dxa" w:w="936"/>
            <w:vAlign w:val="center"/>
            <w:tcMar>
              <w:top w:w="60" w:type="dxa"/>
              <w:bottom w:w="60" w:type="dxa"/>
              <w:left w:w="60" w:type="dxa"/>
              <w:right w:w="60" w:type="dxa"/>
            </w:tcMar>
            <w:shd w:fill="FFFFFF"/>
          </w:tcPr>
          <w:p>
            <w:pPr>
              <w:spacing w:before="20" w:after="20"/>
              <w:jc w:val="center"/>
            </w:pPr>
            <w:r>
              <w:rPr>
                <w:rFonts w:ascii="Arial" w:hAnsi="Arial"/>
                <w:color w:val="2D3748"/>
                <w:sz w:val="17"/>
              </w:rPr>
              <w:t>0.663</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Linear Support Vector Machine</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11</w:t>
            </w:r>
          </w:p>
        </w:tc>
        <w:tc>
          <w:tcPr>
            <w:tcW w:type="dxa" w:w="1152"/>
            <w:vAlign w:val="center"/>
            <w:tcMar>
              <w:top w:w="60" w:type="dxa"/>
              <w:bottom w:w="60" w:type="dxa"/>
              <w:left w:w="60" w:type="dxa"/>
              <w:right w:w="60" w:type="dxa"/>
            </w:tcMar>
            <w:shd w:fill="F7FAFC"/>
          </w:tcPr>
          <w:p>
            <w:pPr>
              <w:spacing w:before="20" w:after="20"/>
              <w:jc w:val="center"/>
            </w:pPr>
            <w:r>
              <w:rPr>
                <w:rFonts w:ascii="Arial" w:hAnsi="Arial"/>
                <w:color w:val="2D3748"/>
                <w:sz w:val="17"/>
              </w:rPr>
              <w:t>0.08 s</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38.939</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31.110</w:t>
            </w:r>
          </w:p>
        </w:tc>
        <w:tc>
          <w:tcPr>
            <w:tcW w:type="dxa" w:w="792"/>
            <w:vAlign w:val="center"/>
            <w:tcMar>
              <w:top w:w="60" w:type="dxa"/>
              <w:bottom w:w="60" w:type="dxa"/>
              <w:left w:w="60" w:type="dxa"/>
              <w:right w:w="60" w:type="dxa"/>
            </w:tcMar>
            <w:shd w:fill="F7FAFC"/>
          </w:tcPr>
          <w:p>
            <w:pPr>
              <w:spacing w:before="20" w:after="20"/>
              <w:jc w:val="center"/>
            </w:pPr>
            <w:r>
              <w:rPr>
                <w:rFonts w:ascii="Arial" w:hAnsi="Arial"/>
                <w:color w:val="2D3748"/>
                <w:sz w:val="17"/>
              </w:rPr>
              <w:t>0.283</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72.63%</w:t>
            </w:r>
          </w:p>
        </w:tc>
        <w:tc>
          <w:tcPr>
            <w:tcW w:type="dxa" w:w="936"/>
            <w:vAlign w:val="center"/>
            <w:tcMar>
              <w:top w:w="60" w:type="dxa"/>
              <w:bottom w:w="60" w:type="dxa"/>
              <w:left w:w="60" w:type="dxa"/>
              <w:right w:w="60" w:type="dxa"/>
            </w:tcMar>
            <w:shd w:fill="F7FAFC"/>
          </w:tcPr>
          <w:p>
            <w:pPr>
              <w:spacing w:before="20" w:after="20"/>
              <w:jc w:val="center"/>
            </w:pPr>
            <w:r>
              <w:rPr>
                <w:rFonts w:ascii="Arial" w:hAnsi="Arial"/>
                <w:color w:val="2D3748"/>
                <w:sz w:val="17"/>
              </w:rPr>
              <w:t>0.810</w:t>
            </w:r>
          </w:p>
        </w:tc>
      </w:tr>
    </w:tbl>
    <w:p>
      <w:pPr>
        <w:spacing w:after="120"/>
      </w:pPr>
    </w:p>
    <w:p>
      <w:pPr>
        <w:keepNext/>
        <w:spacing w:before="240" w:after="80"/>
      </w:pPr>
      <w:r>
        <w:rPr>
          <w:rFonts w:ascii="Arial" w:hAnsi="Arial"/>
          <w:b/>
          <w:color w:val="2B6CB0"/>
          <w:sz w:val="24"/>
        </w:rPr>
        <w:t>3.2 Diebold–Mariano Statistical Significance Testing</w:t>
      </w:r>
    </w:p>
    <w:p>
      <w:pPr>
        <w:spacing w:before="0" w:after="120" w:line="276" w:lineRule="auto"/>
      </w:pPr>
      <w:r>
        <w:rPr>
          <w:rFonts w:ascii="Calibri" w:hAnsi="Calibri"/>
          <w:i w:val="0"/>
          <w:color w:val="2D3748"/>
          <w:sz w:val="21"/>
        </w:rPr>
        <w:t>To determine whether performance differentials are statistically meaningful, two-tailed Diebold–Mariano (DM; Diebold &amp; Mariano, 1995) tests were conducted on squared error loss differentials: d_t = (e_{1, t})² - (e_{2, t})².</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592"/>
            <w:vAlign w:val="center"/>
            <w:tcMar>
              <w:top w:w="60" w:type="dxa"/>
              <w:bottom w:w="60" w:type="dxa"/>
              <w:left w:w="60" w:type="dxa"/>
              <w:right w:w="60" w:type="dxa"/>
            </w:tcMar>
            <w:shd w:fill="1B365D"/>
          </w:tcPr>
          <w:p>
            <w:pPr>
              <w:spacing w:before="20" w:after="20"/>
              <w:jc w:val="left"/>
            </w:pPr>
            <w:r>
              <w:rPr>
                <w:rFonts w:ascii="Arial" w:hAnsi="Arial"/>
                <w:b/>
                <w:color w:val="FFFFFF"/>
                <w:sz w:val="17"/>
              </w:rPr>
              <w:t>Competing Model (M_2)</w:t>
            </w:r>
          </w:p>
        </w:tc>
        <w:tc>
          <w:tcPr>
            <w:tcW w:type="dxa" w:w="1440"/>
            <w:vAlign w:val="center"/>
            <w:tcMar>
              <w:top w:w="60" w:type="dxa"/>
              <w:bottom w:w="60" w:type="dxa"/>
              <w:left w:w="60" w:type="dxa"/>
              <w:right w:w="60" w:type="dxa"/>
            </w:tcMar>
            <w:shd w:fill="1B365D"/>
          </w:tcPr>
          <w:p>
            <w:pPr>
              <w:spacing w:before="20" w:after="20"/>
              <w:jc w:val="center"/>
            </w:pPr>
            <w:r>
              <w:rPr>
                <w:rFonts w:ascii="Arial" w:hAnsi="Arial"/>
                <w:b/>
                <w:color w:val="FFFFFF"/>
                <w:sz w:val="17"/>
              </w:rPr>
              <w:t>DM Statistic</w:t>
            </w:r>
          </w:p>
        </w:tc>
        <w:tc>
          <w:tcPr>
            <w:tcW w:type="dxa" w:w="1296"/>
            <w:vAlign w:val="center"/>
            <w:tcMar>
              <w:top w:w="60" w:type="dxa"/>
              <w:bottom w:w="60" w:type="dxa"/>
              <w:left w:w="60" w:type="dxa"/>
              <w:right w:w="60" w:type="dxa"/>
            </w:tcMar>
            <w:shd w:fill="1B365D"/>
          </w:tcPr>
          <w:p>
            <w:pPr>
              <w:spacing w:before="20" w:after="20"/>
              <w:jc w:val="center"/>
            </w:pPr>
            <w:r>
              <w:rPr>
                <w:rFonts w:ascii="Arial" w:hAnsi="Arial"/>
                <w:b/>
                <w:color w:val="FFFFFF"/>
                <w:sz w:val="17"/>
              </w:rPr>
              <w:t>p-value</w:t>
            </w:r>
          </w:p>
        </w:tc>
        <w:tc>
          <w:tcPr>
            <w:tcW w:type="dxa" w:w="1872"/>
            <w:vAlign w:val="center"/>
            <w:tcMar>
              <w:top w:w="60" w:type="dxa"/>
              <w:bottom w:w="60" w:type="dxa"/>
              <w:left w:w="60" w:type="dxa"/>
              <w:right w:w="60" w:type="dxa"/>
            </w:tcMar>
            <w:shd w:fill="1B365D"/>
          </w:tcPr>
          <w:p>
            <w:pPr>
              <w:spacing w:before="20" w:after="20"/>
              <w:jc w:val="center"/>
            </w:pPr>
            <w:r>
              <w:rPr>
                <w:rFonts w:ascii="Arial" w:hAnsi="Arial"/>
                <w:b/>
                <w:color w:val="FFFFFF"/>
                <w:sz w:val="17"/>
              </w:rPr>
              <w:t>Significance (α = 0.05)</w:t>
            </w:r>
          </w:p>
        </w:tc>
        <w:tc>
          <w:tcPr>
            <w:tcW w:type="dxa" w:w="2160"/>
            <w:vAlign w:val="center"/>
            <w:tcMar>
              <w:top w:w="60" w:type="dxa"/>
              <w:bottom w:w="60" w:type="dxa"/>
              <w:left w:w="60" w:type="dxa"/>
              <w:right w:w="60" w:type="dxa"/>
            </w:tcMar>
            <w:shd w:fill="1B365D"/>
          </w:tcPr>
          <w:p>
            <w:pPr>
              <w:spacing w:before="20" w:after="20"/>
              <w:jc w:val="left"/>
            </w:pPr>
            <w:r>
              <w:rPr>
                <w:rFonts w:ascii="Arial" w:hAnsi="Arial"/>
                <w:b/>
                <w:color w:val="FFFFFF"/>
                <w:sz w:val="17"/>
              </w:rPr>
              <w:t>Academic Conclusion</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Naive Persistence</w:t>
            </w:r>
          </w:p>
        </w:tc>
        <w:tc>
          <w:tcPr>
            <w:tcW w:type="dxa" w:w="1440"/>
            <w:vAlign w:val="center"/>
            <w:tcMar>
              <w:top w:w="60" w:type="dxa"/>
              <w:bottom w:w="60" w:type="dxa"/>
              <w:left w:w="60" w:type="dxa"/>
              <w:right w:w="60" w:type="dxa"/>
            </w:tcMar>
            <w:shd w:fill="F7FAFC"/>
          </w:tcPr>
          <w:p>
            <w:pPr>
              <w:spacing w:before="20" w:after="20"/>
              <w:jc w:val="center"/>
            </w:pPr>
            <w:r>
              <w:rPr>
                <w:rFonts w:ascii="Arial" w:hAnsi="Arial"/>
                <w:color w:val="2D3748"/>
                <w:sz w:val="17"/>
              </w:rPr>
              <w:t>+0.6255</w:t>
            </w:r>
          </w:p>
        </w:tc>
        <w:tc>
          <w:tcPr>
            <w:tcW w:type="dxa" w:w="1296"/>
            <w:vAlign w:val="center"/>
            <w:tcMar>
              <w:top w:w="60" w:type="dxa"/>
              <w:bottom w:w="60" w:type="dxa"/>
              <w:left w:w="60" w:type="dxa"/>
              <w:right w:w="60" w:type="dxa"/>
            </w:tcMar>
            <w:shd w:fill="F7FAFC"/>
          </w:tcPr>
          <w:p>
            <w:pPr>
              <w:spacing w:before="20" w:after="20"/>
              <w:jc w:val="center"/>
            </w:pPr>
            <w:r>
              <w:rPr>
                <w:rFonts w:ascii="Arial" w:hAnsi="Arial"/>
                <w:color w:val="2D3748"/>
                <w:sz w:val="17"/>
              </w:rPr>
              <w:t>0.5316</w:t>
            </w:r>
          </w:p>
        </w:tc>
        <w:tc>
          <w:tcPr>
            <w:tcW w:type="dxa" w:w="1872"/>
            <w:vAlign w:val="center"/>
            <w:tcMar>
              <w:top w:w="60" w:type="dxa"/>
              <w:bottom w:w="60" w:type="dxa"/>
              <w:left w:w="60" w:type="dxa"/>
              <w:right w:w="60" w:type="dxa"/>
            </w:tcMar>
            <w:shd w:fill="F7FAFC"/>
          </w:tcPr>
          <w:p>
            <w:pPr>
              <w:spacing w:before="20" w:after="20"/>
              <w:jc w:val="center"/>
            </w:pPr>
            <w:r>
              <w:rPr>
                <w:rFonts w:ascii="Arial" w:hAnsi="Arial"/>
                <w:color w:val="2D3748"/>
                <w:sz w:val="17"/>
              </w:rPr>
              <w:t>Not Significant</w:t>
            </w:r>
          </w:p>
        </w:tc>
        <w:tc>
          <w:tcPr>
            <w:tcW w:type="dxa" w:w="2160"/>
            <w:vAlign w:val="center"/>
            <w:tcMar>
              <w:top w:w="60" w:type="dxa"/>
              <w:bottom w:w="60" w:type="dxa"/>
              <w:left w:w="60" w:type="dxa"/>
              <w:right w:w="60" w:type="dxa"/>
            </w:tcMar>
            <w:shd w:fill="F7FAFC"/>
          </w:tcPr>
          <w:p>
            <w:pPr>
              <w:spacing w:before="20" w:after="20"/>
              <w:jc w:val="left"/>
            </w:pPr>
            <w:r>
              <w:rPr>
                <w:rFonts w:ascii="Arial" w:hAnsi="Arial"/>
                <w:color w:val="2D3748"/>
                <w:sz w:val="17"/>
              </w:rPr>
              <w:t>Hybrid provides no statistically significant gain over persistence.</w:t>
            </w:r>
          </w:p>
        </w:tc>
      </w:tr>
      <w:tr>
        <w:tc>
          <w:tcPr>
            <w:tcW w:type="dxa" w:w="2592"/>
            <w:vAlign w:val="center"/>
            <w:tcMar>
              <w:top w:w="60" w:type="dxa"/>
              <w:bottom w:w="60" w:type="dxa"/>
              <w:left w:w="60" w:type="dxa"/>
              <w:right w:w="60" w:type="dxa"/>
            </w:tcMar>
            <w:shd w:fill="FFFFFF"/>
          </w:tcPr>
          <w:p>
            <w:pPr>
              <w:spacing w:before="20" w:after="20"/>
              <w:jc w:val="left"/>
            </w:pPr>
            <w:r>
              <w:rPr>
                <w:rFonts w:ascii="Arial" w:hAnsi="Arial"/>
                <w:color w:val="2D3748"/>
                <w:sz w:val="17"/>
              </w:rPr>
              <w:t>Pure ARIMA(3, 1, 1)</w:t>
            </w:r>
          </w:p>
        </w:tc>
        <w:tc>
          <w:tcPr>
            <w:tcW w:type="dxa" w:w="1440"/>
            <w:vAlign w:val="center"/>
            <w:tcMar>
              <w:top w:w="60" w:type="dxa"/>
              <w:bottom w:w="60" w:type="dxa"/>
              <w:left w:w="60" w:type="dxa"/>
              <w:right w:w="60" w:type="dxa"/>
            </w:tcMar>
            <w:shd w:fill="FFFFFF"/>
          </w:tcPr>
          <w:p>
            <w:pPr>
              <w:spacing w:before="20" w:after="20"/>
              <w:jc w:val="center"/>
            </w:pPr>
            <w:r>
              <w:rPr>
                <w:rFonts w:ascii="Arial" w:hAnsi="Arial"/>
                <w:color w:val="2D3748"/>
                <w:sz w:val="17"/>
              </w:rPr>
              <w:t>-2.6668</w:t>
            </w:r>
          </w:p>
        </w:tc>
        <w:tc>
          <w:tcPr>
            <w:tcW w:type="dxa" w:w="1296"/>
            <w:vAlign w:val="center"/>
            <w:tcMar>
              <w:top w:w="60" w:type="dxa"/>
              <w:bottom w:w="60" w:type="dxa"/>
              <w:left w:w="60" w:type="dxa"/>
              <w:right w:w="60" w:type="dxa"/>
            </w:tcMar>
            <w:shd w:fill="FFFFFF"/>
          </w:tcPr>
          <w:p>
            <w:pPr>
              <w:spacing w:before="20" w:after="20"/>
              <w:jc w:val="center"/>
            </w:pPr>
            <w:r>
              <w:rPr>
                <w:rFonts w:ascii="Arial" w:hAnsi="Arial"/>
                <w:b/>
                <w:color w:val="C53030"/>
                <w:sz w:val="17"/>
              </w:rPr>
              <w:t>0.0077</w:t>
            </w:r>
          </w:p>
        </w:tc>
        <w:tc>
          <w:tcPr>
            <w:tcW w:type="dxa" w:w="1872"/>
            <w:vAlign w:val="center"/>
            <w:tcMar>
              <w:top w:w="60" w:type="dxa"/>
              <w:bottom w:w="60" w:type="dxa"/>
              <w:left w:w="60" w:type="dxa"/>
              <w:right w:w="60" w:type="dxa"/>
            </w:tcMar>
            <w:shd w:fill="FFFFFF"/>
          </w:tcPr>
          <w:p>
            <w:pPr>
              <w:spacing w:before="20" w:after="20"/>
              <w:jc w:val="center"/>
            </w:pPr>
            <w:r>
              <w:rPr>
                <w:rFonts w:ascii="Arial" w:hAnsi="Arial"/>
                <w:color w:val="2D3748"/>
                <w:sz w:val="17"/>
              </w:rPr>
              <w:t>Statistically Significant</w:t>
            </w:r>
          </w:p>
        </w:tc>
        <w:tc>
          <w:tcPr>
            <w:tcW w:type="dxa" w:w="2160"/>
            <w:vAlign w:val="center"/>
            <w:tcMar>
              <w:top w:w="60" w:type="dxa"/>
              <w:bottom w:w="60" w:type="dxa"/>
              <w:left w:w="60" w:type="dxa"/>
              <w:right w:w="60" w:type="dxa"/>
            </w:tcMar>
            <w:shd w:fill="FFFFFF"/>
          </w:tcPr>
          <w:p>
            <w:pPr>
              <w:spacing w:before="20" w:after="20"/>
              <w:jc w:val="left"/>
            </w:pPr>
            <w:r>
              <w:rPr>
                <w:rFonts w:ascii="Arial" w:hAnsi="Arial"/>
                <w:color w:val="2D3748"/>
                <w:sz w:val="17"/>
              </w:rPr>
              <w:t>Pure ARIMA is statistically superior (p &lt; 0.01) to hybrid.</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Gradient Boosted Trees</w:t>
            </w:r>
          </w:p>
        </w:tc>
        <w:tc>
          <w:tcPr>
            <w:tcW w:type="dxa" w:w="1440"/>
            <w:vAlign w:val="center"/>
            <w:tcMar>
              <w:top w:w="60" w:type="dxa"/>
              <w:bottom w:w="60" w:type="dxa"/>
              <w:left w:w="60" w:type="dxa"/>
              <w:right w:w="60" w:type="dxa"/>
            </w:tcMar>
            <w:shd w:fill="F7FAFC"/>
          </w:tcPr>
          <w:p>
            <w:pPr>
              <w:spacing w:before="20" w:after="20"/>
              <w:jc w:val="center"/>
            </w:pPr>
            <w:r>
              <w:rPr>
                <w:rFonts w:ascii="Arial" w:hAnsi="Arial"/>
                <w:color w:val="2D3748"/>
                <w:sz w:val="17"/>
              </w:rPr>
              <w:t>+0.3788</w:t>
            </w:r>
          </w:p>
        </w:tc>
        <w:tc>
          <w:tcPr>
            <w:tcW w:type="dxa" w:w="1296"/>
            <w:vAlign w:val="center"/>
            <w:tcMar>
              <w:top w:w="60" w:type="dxa"/>
              <w:bottom w:w="60" w:type="dxa"/>
              <w:left w:w="60" w:type="dxa"/>
              <w:right w:w="60" w:type="dxa"/>
            </w:tcMar>
            <w:shd w:fill="F7FAFC"/>
          </w:tcPr>
          <w:p>
            <w:pPr>
              <w:spacing w:before="20" w:after="20"/>
              <w:jc w:val="center"/>
            </w:pPr>
            <w:r>
              <w:rPr>
                <w:rFonts w:ascii="Arial" w:hAnsi="Arial"/>
                <w:color w:val="2D3748"/>
                <w:sz w:val="17"/>
              </w:rPr>
              <w:t>0.7048</w:t>
            </w:r>
          </w:p>
        </w:tc>
        <w:tc>
          <w:tcPr>
            <w:tcW w:type="dxa" w:w="1872"/>
            <w:vAlign w:val="center"/>
            <w:tcMar>
              <w:top w:w="60" w:type="dxa"/>
              <w:bottom w:w="60" w:type="dxa"/>
              <w:left w:w="60" w:type="dxa"/>
              <w:right w:w="60" w:type="dxa"/>
            </w:tcMar>
            <w:shd w:fill="F7FAFC"/>
          </w:tcPr>
          <w:p>
            <w:pPr>
              <w:spacing w:before="20" w:after="20"/>
              <w:jc w:val="center"/>
            </w:pPr>
            <w:r>
              <w:rPr>
                <w:rFonts w:ascii="Arial" w:hAnsi="Arial"/>
                <w:color w:val="2D3748"/>
                <w:sz w:val="17"/>
              </w:rPr>
              <w:t>Not Significant</w:t>
            </w:r>
          </w:p>
        </w:tc>
        <w:tc>
          <w:tcPr>
            <w:tcW w:type="dxa" w:w="2160"/>
            <w:vAlign w:val="center"/>
            <w:tcMar>
              <w:top w:w="60" w:type="dxa"/>
              <w:bottom w:w="60" w:type="dxa"/>
              <w:left w:w="60" w:type="dxa"/>
              <w:right w:w="60" w:type="dxa"/>
            </w:tcMar>
            <w:shd w:fill="F7FAFC"/>
          </w:tcPr>
          <w:p>
            <w:pPr>
              <w:spacing w:before="20" w:after="20"/>
              <w:jc w:val="left"/>
            </w:pPr>
            <w:r>
              <w:rPr>
                <w:rFonts w:ascii="Arial" w:hAnsi="Arial"/>
                <w:color w:val="2D3748"/>
                <w:sz w:val="17"/>
              </w:rPr>
              <w:t>Hybrid offers no statistically significant advantage over GBDT.</w:t>
            </w:r>
          </w:p>
        </w:tc>
      </w:tr>
    </w:tbl>
    <w:p>
      <w:pPr>
        <w:spacing w:after="120"/>
      </w:pPr>
    </w:p>
    <w:p>
      <w:pPr>
        <w:keepNext/>
        <w:spacing w:before="240" w:after="80"/>
      </w:pPr>
      <w:r>
        <w:rPr>
          <w:rFonts w:ascii="Arial" w:hAnsi="Arial"/>
          <w:b/>
          <w:color w:val="2B6CB0"/>
          <w:sz w:val="24"/>
        </w:rPr>
        <w:t>3.3 Public Health Performance Breakdown: Extreme Event Stratification</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2592"/>
            <w:vAlign w:val="center"/>
            <w:tcMar>
              <w:top w:w="60" w:type="dxa"/>
              <w:bottom w:w="60" w:type="dxa"/>
              <w:left w:w="60" w:type="dxa"/>
              <w:right w:w="60" w:type="dxa"/>
            </w:tcMar>
            <w:shd w:fill="1B365D"/>
          </w:tcPr>
          <w:p>
            <w:pPr>
              <w:spacing w:before="20" w:after="20"/>
              <w:jc w:val="left"/>
            </w:pPr>
            <w:r>
              <w:rPr>
                <w:rFonts w:ascii="Arial" w:hAnsi="Arial"/>
                <w:b/>
                <w:color w:val="FFFFFF"/>
                <w:sz w:val="17"/>
              </w:rPr>
              <w:t>Air Quality Severity Tier</w:t>
            </w:r>
          </w:p>
        </w:tc>
        <w:tc>
          <w:tcPr>
            <w:tcW w:type="dxa" w:w="1440"/>
            <w:vAlign w:val="center"/>
            <w:tcMar>
              <w:top w:w="60" w:type="dxa"/>
              <w:bottom w:w="60" w:type="dxa"/>
              <w:left w:w="60" w:type="dxa"/>
              <w:right w:w="60" w:type="dxa"/>
            </w:tcMar>
            <w:shd w:fill="1B365D"/>
          </w:tcPr>
          <w:p>
            <w:pPr>
              <w:spacing w:before="20" w:after="20"/>
              <w:jc w:val="center"/>
            </w:pPr>
            <w:r>
              <w:rPr>
                <w:rFonts w:ascii="Arial" w:hAnsi="Arial"/>
                <w:b/>
                <w:color w:val="FFFFFF"/>
                <w:sz w:val="17"/>
              </w:rPr>
              <w:t>AQI Range</w:t>
            </w:r>
          </w:p>
        </w:tc>
        <w:tc>
          <w:tcPr>
            <w:tcW w:type="dxa" w:w="1584"/>
            <w:vAlign w:val="center"/>
            <w:tcMar>
              <w:top w:w="60" w:type="dxa"/>
              <w:bottom w:w="60" w:type="dxa"/>
              <w:left w:w="60" w:type="dxa"/>
              <w:right w:w="60" w:type="dxa"/>
            </w:tcMar>
            <w:shd w:fill="1B365D"/>
          </w:tcPr>
          <w:p>
            <w:pPr>
              <w:spacing w:before="20" w:after="20"/>
              <w:jc w:val="center"/>
            </w:pPr>
            <w:r>
              <w:rPr>
                <w:rFonts w:ascii="Arial" w:hAnsi="Arial"/>
                <w:b/>
                <w:color w:val="FFFFFF"/>
                <w:sz w:val="17"/>
              </w:rPr>
              <w:t>Test Samples (N)</w:t>
            </w:r>
          </w:p>
        </w:tc>
        <w:tc>
          <w:tcPr>
            <w:tcW w:type="dxa" w:w="1008"/>
            <w:vAlign w:val="center"/>
            <w:tcMar>
              <w:top w:w="60" w:type="dxa"/>
              <w:bottom w:w="60" w:type="dxa"/>
              <w:left w:w="60" w:type="dxa"/>
              <w:right w:w="60" w:type="dxa"/>
            </w:tcMar>
            <w:shd w:fill="1B365D"/>
          </w:tcPr>
          <w:p>
            <w:pPr>
              <w:spacing w:before="20" w:after="20"/>
              <w:jc w:val="center"/>
            </w:pPr>
            <w:r>
              <w:rPr>
                <w:rFonts w:ascii="Arial" w:hAnsi="Arial"/>
                <w:b/>
                <w:color w:val="FFFFFF"/>
                <w:sz w:val="17"/>
              </w:rPr>
              <w:t>Hybrid RMSE</w:t>
            </w:r>
          </w:p>
        </w:tc>
        <w:tc>
          <w:tcPr>
            <w:tcW w:type="dxa" w:w="1008"/>
            <w:vAlign w:val="center"/>
            <w:tcMar>
              <w:top w:w="60" w:type="dxa"/>
              <w:bottom w:w="60" w:type="dxa"/>
              <w:left w:w="60" w:type="dxa"/>
              <w:right w:w="60" w:type="dxa"/>
            </w:tcMar>
            <w:shd w:fill="1B365D"/>
          </w:tcPr>
          <w:p>
            <w:pPr>
              <w:spacing w:before="20" w:after="20"/>
              <w:jc w:val="center"/>
            </w:pPr>
            <w:r>
              <w:rPr>
                <w:rFonts w:ascii="Arial" w:hAnsi="Arial"/>
                <w:b/>
                <w:color w:val="FFFFFF"/>
                <w:sz w:val="17"/>
              </w:rPr>
              <w:t>Hybrid MAE</w:t>
            </w:r>
          </w:p>
        </w:tc>
        <w:tc>
          <w:tcPr>
            <w:tcW w:type="dxa" w:w="1008"/>
            <w:vAlign w:val="center"/>
            <w:tcMar>
              <w:top w:w="60" w:type="dxa"/>
              <w:bottom w:w="60" w:type="dxa"/>
              <w:left w:w="60" w:type="dxa"/>
              <w:right w:w="60" w:type="dxa"/>
            </w:tcMar>
            <w:shd w:fill="1B365D"/>
          </w:tcPr>
          <w:p>
            <w:pPr>
              <w:spacing w:before="20" w:after="20"/>
              <w:jc w:val="center"/>
            </w:pPr>
            <w:r>
              <w:rPr>
                <w:rFonts w:ascii="Arial" w:hAnsi="Arial"/>
                <w:b/>
                <w:color w:val="FFFFFF"/>
                <w:sz w:val="17"/>
              </w:rPr>
              <w:t>Persistence RMSE</w:t>
            </w:r>
          </w:p>
        </w:tc>
        <w:tc>
          <w:tcPr>
            <w:tcW w:type="dxa" w:w="1008"/>
            <w:vAlign w:val="center"/>
            <w:tcMar>
              <w:top w:w="60" w:type="dxa"/>
              <w:bottom w:w="60" w:type="dxa"/>
              <w:left w:w="60" w:type="dxa"/>
              <w:right w:w="60" w:type="dxa"/>
            </w:tcMar>
            <w:shd w:fill="1B365D"/>
          </w:tcPr>
          <w:p>
            <w:pPr>
              <w:spacing w:before="20" w:after="20"/>
              <w:jc w:val="center"/>
            </w:pPr>
            <w:r>
              <w:rPr>
                <w:rFonts w:ascii="Arial" w:hAnsi="Arial"/>
                <w:b/>
                <w:color w:val="FFFFFF"/>
                <w:sz w:val="17"/>
              </w:rPr>
              <w:t>ARIMA RMSE</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Good to Moderate</w:t>
            </w:r>
          </w:p>
        </w:tc>
        <w:tc>
          <w:tcPr>
            <w:tcW w:type="dxa" w:w="1440"/>
            <w:vAlign w:val="center"/>
            <w:tcMar>
              <w:top w:w="60" w:type="dxa"/>
              <w:bottom w:w="60" w:type="dxa"/>
              <w:left w:w="60" w:type="dxa"/>
              <w:right w:w="60" w:type="dxa"/>
            </w:tcMar>
            <w:shd w:fill="F7FAFC"/>
          </w:tcPr>
          <w:p>
            <w:pPr>
              <w:spacing w:before="20" w:after="20"/>
              <w:jc w:val="center"/>
            </w:pPr>
            <w:r>
              <w:rPr>
                <w:rFonts w:ascii="Arial" w:hAnsi="Arial"/>
                <w:color w:val="2D3748"/>
                <w:sz w:val="17"/>
              </w:rPr>
              <w:t>AQI &lt; 100</w:t>
            </w:r>
          </w:p>
        </w:tc>
        <w:tc>
          <w:tcPr>
            <w:tcW w:type="dxa" w:w="1584"/>
            <w:vAlign w:val="center"/>
            <w:tcMar>
              <w:top w:w="60" w:type="dxa"/>
              <w:bottom w:w="60" w:type="dxa"/>
              <w:left w:w="60" w:type="dxa"/>
              <w:right w:w="60" w:type="dxa"/>
            </w:tcMar>
            <w:shd w:fill="F7FAFC"/>
          </w:tcPr>
          <w:p>
            <w:pPr>
              <w:spacing w:before="20" w:after="20"/>
              <w:jc w:val="center"/>
            </w:pPr>
            <w:r>
              <w:rPr>
                <w:rFonts w:ascii="Arial" w:hAnsi="Arial"/>
                <w:color w:val="2D3748"/>
                <w:sz w:val="17"/>
              </w:rPr>
              <w:t>296 (80.0%)</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17.65</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13.06</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18.96</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18.02</w:t>
            </w:r>
          </w:p>
        </w:tc>
      </w:tr>
      <w:tr>
        <w:tc>
          <w:tcPr>
            <w:tcW w:type="dxa" w:w="2592"/>
            <w:vAlign w:val="center"/>
            <w:tcMar>
              <w:top w:w="60" w:type="dxa"/>
              <w:bottom w:w="60" w:type="dxa"/>
              <w:left w:w="60" w:type="dxa"/>
              <w:right w:w="60" w:type="dxa"/>
            </w:tcMar>
            <w:shd w:fill="FFFFFF"/>
          </w:tcPr>
          <w:p>
            <w:pPr>
              <w:spacing w:before="20" w:after="20"/>
              <w:jc w:val="left"/>
            </w:pPr>
            <w:r>
              <w:rPr>
                <w:rFonts w:ascii="Arial" w:hAnsi="Arial"/>
                <w:color w:val="2D3748"/>
                <w:sz w:val="17"/>
              </w:rPr>
              <w:t>Unhealthy (Warning)</w:t>
            </w:r>
          </w:p>
        </w:tc>
        <w:tc>
          <w:tcPr>
            <w:tcW w:type="dxa" w:w="1440"/>
            <w:vAlign w:val="center"/>
            <w:tcMar>
              <w:top w:w="60" w:type="dxa"/>
              <w:bottom w:w="60" w:type="dxa"/>
              <w:left w:w="60" w:type="dxa"/>
              <w:right w:w="60" w:type="dxa"/>
            </w:tcMar>
            <w:shd w:fill="FFFFFF"/>
          </w:tcPr>
          <w:p>
            <w:pPr>
              <w:spacing w:before="20" w:after="20"/>
              <w:jc w:val="center"/>
            </w:pPr>
            <w:r>
              <w:rPr>
                <w:rFonts w:ascii="Arial" w:hAnsi="Arial"/>
                <w:color w:val="2D3748"/>
                <w:sz w:val="17"/>
              </w:rPr>
              <w:t>AQI ≥ 100</w:t>
            </w:r>
          </w:p>
        </w:tc>
        <w:tc>
          <w:tcPr>
            <w:tcW w:type="dxa" w:w="1584"/>
            <w:vAlign w:val="center"/>
            <w:tcMar>
              <w:top w:w="60" w:type="dxa"/>
              <w:bottom w:w="60" w:type="dxa"/>
              <w:left w:w="60" w:type="dxa"/>
              <w:right w:w="60" w:type="dxa"/>
            </w:tcMar>
            <w:shd w:fill="FFFFFF"/>
          </w:tcPr>
          <w:p>
            <w:pPr>
              <w:spacing w:before="20" w:after="20"/>
              <w:jc w:val="center"/>
            </w:pPr>
            <w:r>
              <w:rPr>
                <w:rFonts w:ascii="Arial" w:hAnsi="Arial"/>
                <w:color w:val="2D3748"/>
                <w:sz w:val="17"/>
              </w:rPr>
              <w:t>74 (20.0%)</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69.87</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62.24</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72.84</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66.86</w:t>
            </w:r>
          </w:p>
        </w:tc>
      </w:tr>
      <w:tr>
        <w:tc>
          <w:tcPr>
            <w:tcW w:type="dxa" w:w="2592"/>
            <w:vAlign w:val="center"/>
            <w:tcMar>
              <w:top w:w="60" w:type="dxa"/>
              <w:bottom w:w="60" w:type="dxa"/>
              <w:left w:w="60" w:type="dxa"/>
              <w:right w:w="60" w:type="dxa"/>
            </w:tcMar>
            <w:shd w:fill="F7FAFC"/>
          </w:tcPr>
          <w:p>
            <w:pPr>
              <w:spacing w:before="20" w:after="20"/>
              <w:jc w:val="left"/>
            </w:pPr>
            <w:r>
              <w:rPr>
                <w:rFonts w:ascii="Arial" w:hAnsi="Arial"/>
                <w:color w:val="2D3748"/>
                <w:sz w:val="17"/>
              </w:rPr>
              <w:t>Severe Pollution</w:t>
            </w:r>
          </w:p>
        </w:tc>
        <w:tc>
          <w:tcPr>
            <w:tcW w:type="dxa" w:w="1440"/>
            <w:vAlign w:val="center"/>
            <w:tcMar>
              <w:top w:w="60" w:type="dxa"/>
              <w:bottom w:w="60" w:type="dxa"/>
              <w:left w:w="60" w:type="dxa"/>
              <w:right w:w="60" w:type="dxa"/>
            </w:tcMar>
            <w:shd w:fill="F7FAFC"/>
          </w:tcPr>
          <w:p>
            <w:pPr>
              <w:spacing w:before="20" w:after="20"/>
              <w:jc w:val="center"/>
            </w:pPr>
            <w:r>
              <w:rPr>
                <w:rFonts w:ascii="Arial" w:hAnsi="Arial"/>
                <w:color w:val="2D3748"/>
                <w:sz w:val="17"/>
              </w:rPr>
              <w:t>AQI ≥ 150</w:t>
            </w:r>
          </w:p>
        </w:tc>
        <w:tc>
          <w:tcPr>
            <w:tcW w:type="dxa" w:w="1584"/>
            <w:vAlign w:val="center"/>
            <w:tcMar>
              <w:top w:w="60" w:type="dxa"/>
              <w:bottom w:w="60" w:type="dxa"/>
              <w:left w:w="60" w:type="dxa"/>
              <w:right w:w="60" w:type="dxa"/>
            </w:tcMar>
            <w:shd w:fill="F7FAFC"/>
          </w:tcPr>
          <w:p>
            <w:pPr>
              <w:spacing w:before="20" w:after="20"/>
              <w:jc w:val="center"/>
            </w:pPr>
            <w:r>
              <w:rPr>
                <w:rFonts w:ascii="Arial" w:hAnsi="Arial"/>
                <w:color w:val="2D3748"/>
                <w:sz w:val="17"/>
              </w:rPr>
              <w:t>29 (7.8%)</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104.99</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95.91</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108.77</w:t>
            </w:r>
          </w:p>
        </w:tc>
        <w:tc>
          <w:tcPr>
            <w:tcW w:type="dxa" w:w="1008"/>
            <w:vAlign w:val="center"/>
            <w:tcMar>
              <w:top w:w="60" w:type="dxa"/>
              <w:bottom w:w="60" w:type="dxa"/>
              <w:left w:w="60" w:type="dxa"/>
              <w:right w:w="60" w:type="dxa"/>
            </w:tcMar>
            <w:shd w:fill="F7FAFC"/>
          </w:tcPr>
          <w:p>
            <w:pPr>
              <w:spacing w:before="20" w:after="20"/>
              <w:jc w:val="center"/>
            </w:pPr>
            <w:r>
              <w:rPr>
                <w:rFonts w:ascii="Arial" w:hAnsi="Arial"/>
                <w:color w:val="2D3748"/>
                <w:sz w:val="17"/>
              </w:rPr>
              <w:t>99.41</w:t>
            </w:r>
          </w:p>
        </w:tc>
      </w:tr>
      <w:tr>
        <w:tc>
          <w:tcPr>
            <w:tcW w:type="dxa" w:w="2592"/>
            <w:vAlign w:val="center"/>
            <w:tcMar>
              <w:top w:w="60" w:type="dxa"/>
              <w:bottom w:w="60" w:type="dxa"/>
              <w:left w:w="60" w:type="dxa"/>
              <w:right w:w="60" w:type="dxa"/>
            </w:tcMar>
            <w:shd w:fill="FFFFFF"/>
          </w:tcPr>
          <w:p>
            <w:pPr>
              <w:spacing w:before="20" w:after="20"/>
              <w:jc w:val="left"/>
            </w:pPr>
            <w:r>
              <w:rPr>
                <w:rFonts w:ascii="Arial" w:hAnsi="Arial"/>
                <w:color w:val="2D3748"/>
                <w:sz w:val="17"/>
              </w:rPr>
              <w:t>Hazardous (Emergency)</w:t>
            </w:r>
          </w:p>
        </w:tc>
        <w:tc>
          <w:tcPr>
            <w:tcW w:type="dxa" w:w="1440"/>
            <w:vAlign w:val="center"/>
            <w:tcMar>
              <w:top w:w="60" w:type="dxa"/>
              <w:bottom w:w="60" w:type="dxa"/>
              <w:left w:w="60" w:type="dxa"/>
              <w:right w:w="60" w:type="dxa"/>
            </w:tcMar>
            <w:shd w:fill="FFFFFF"/>
          </w:tcPr>
          <w:p>
            <w:pPr>
              <w:spacing w:before="20" w:after="20"/>
              <w:jc w:val="center"/>
            </w:pPr>
            <w:r>
              <w:rPr>
                <w:rFonts w:ascii="Arial" w:hAnsi="Arial"/>
                <w:color w:val="2D3748"/>
                <w:sz w:val="17"/>
              </w:rPr>
              <w:t>AQI ≥ 200</w:t>
            </w:r>
          </w:p>
        </w:tc>
        <w:tc>
          <w:tcPr>
            <w:tcW w:type="dxa" w:w="1584"/>
            <w:vAlign w:val="center"/>
            <w:tcMar>
              <w:top w:w="60" w:type="dxa"/>
              <w:bottom w:w="60" w:type="dxa"/>
              <w:left w:w="60" w:type="dxa"/>
              <w:right w:w="60" w:type="dxa"/>
            </w:tcMar>
            <w:shd w:fill="FFFFFF"/>
          </w:tcPr>
          <w:p>
            <w:pPr>
              <w:spacing w:before="20" w:after="20"/>
              <w:jc w:val="center"/>
            </w:pPr>
            <w:r>
              <w:rPr>
                <w:rFonts w:ascii="Arial" w:hAnsi="Arial"/>
                <w:color w:val="2D3748"/>
                <w:sz w:val="17"/>
              </w:rPr>
              <w:t>11 (3.0%)</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145.67</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138.58</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149.80</w:t>
            </w:r>
          </w:p>
        </w:tc>
        <w:tc>
          <w:tcPr>
            <w:tcW w:type="dxa" w:w="1008"/>
            <w:vAlign w:val="center"/>
            <w:tcMar>
              <w:top w:w="60" w:type="dxa"/>
              <w:bottom w:w="60" w:type="dxa"/>
              <w:left w:w="60" w:type="dxa"/>
              <w:right w:w="60" w:type="dxa"/>
            </w:tcMar>
            <w:shd w:fill="FFFFFF"/>
          </w:tcPr>
          <w:p>
            <w:pPr>
              <w:spacing w:before="20" w:after="20"/>
              <w:jc w:val="center"/>
            </w:pPr>
            <w:r>
              <w:rPr>
                <w:rFonts w:ascii="Arial" w:hAnsi="Arial"/>
                <w:color w:val="2D3748"/>
                <w:sz w:val="17"/>
              </w:rPr>
              <w:t>136.21</w:t>
            </w:r>
          </w:p>
        </w:tc>
      </w:tr>
    </w:tbl>
    <w:p>
      <w:pPr>
        <w:spacing w:after="160"/>
      </w:pPr>
    </w:p>
    <w:p>
      <w:pPr>
        <w:spacing w:before="160" w:after="40"/>
        <w:jc w:val="center"/>
      </w:pPr>
      <w:r>
        <w:drawing>
          <wp:inline xmlns:a="http://schemas.openxmlformats.org/drawingml/2006/main" xmlns:pic="http://schemas.openxmlformats.org/drawingml/2006/picture">
            <wp:extent cx="5303520" cy="1988820"/>
            <wp:docPr id="1" name="Picture 1"/>
            <wp:cNvGraphicFramePr>
              <a:graphicFrameLocks noChangeAspect="1"/>
            </wp:cNvGraphicFramePr>
            <a:graphic>
              <a:graphicData uri="http://schemas.openxmlformats.org/drawingml/2006/picture">
                <pic:pic>
                  <pic:nvPicPr>
                    <pic:cNvPr id="0" name="phase2_test_forecast_overlay.png"/>
                    <pic:cNvPicPr/>
                  </pic:nvPicPr>
                  <pic:blipFill>
                    <a:blip r:embed="rId9"/>
                    <a:stretch>
                      <a:fillRect/>
                    </a:stretch>
                  </pic:blipFill>
                  <pic:spPr>
                    <a:xfrm>
                      <a:off x="0" y="0"/>
                      <a:ext cx="5303520" cy="1988820"/>
                    </a:xfrm>
                    <a:prstGeom prst="rect"/>
                  </pic:spPr>
                </pic:pic>
              </a:graphicData>
            </a:graphic>
          </wp:inline>
        </w:drawing>
      </w:r>
    </w:p>
    <w:p>
      <w:pPr>
        <w:spacing w:after="200"/>
        <w:jc w:val="center"/>
      </w:pPr>
      <w:r>
        <w:rPr>
          <w:rFonts w:ascii="Arial" w:hAnsi="Arial"/>
          <w:i/>
          <w:color w:val="4A5568"/>
          <w:sz w:val="18"/>
        </w:rPr>
        <w:t>Figure 1: Visual Forecast Overlay on Out-of-Sample Beijing Test Horizon (Actual vs. Proposed Hybrid vs. Naive Persistence vs. ARIMA).</w:t>
      </w:r>
    </w:p>
    <w:p>
      <w:pPr>
        <w:spacing w:before="160" w:after="40"/>
        <w:jc w:val="center"/>
      </w:pPr>
      <w:r>
        <w:drawing>
          <wp:inline xmlns:a="http://schemas.openxmlformats.org/drawingml/2006/main" xmlns:pic="http://schemas.openxmlformats.org/drawingml/2006/picture">
            <wp:extent cx="5303520" cy="1325880"/>
            <wp:docPr id="2" name="Picture 2"/>
            <wp:cNvGraphicFramePr>
              <a:graphicFrameLocks noChangeAspect="1"/>
            </wp:cNvGraphicFramePr>
            <a:graphic>
              <a:graphicData uri="http://schemas.openxmlformats.org/drawingml/2006/picture">
                <pic:pic>
                  <pic:nvPicPr>
                    <pic:cNvPr id="0" name="phase2_scatter_fits.png"/>
                    <pic:cNvPicPr/>
                  </pic:nvPicPr>
                  <pic:blipFill>
                    <a:blip r:embed="rId10"/>
                    <a:stretch>
                      <a:fillRect/>
                    </a:stretch>
                  </pic:blipFill>
                  <pic:spPr>
                    <a:xfrm>
                      <a:off x="0" y="0"/>
                      <a:ext cx="5303520" cy="1325880"/>
                    </a:xfrm>
                    <a:prstGeom prst="rect"/>
                  </pic:spPr>
                </pic:pic>
              </a:graphicData>
            </a:graphic>
          </wp:inline>
        </w:drawing>
      </w:r>
    </w:p>
    <w:p>
      <w:pPr>
        <w:spacing w:after="200"/>
        <w:jc w:val="center"/>
      </w:pPr>
      <w:r>
        <w:rPr>
          <w:rFonts w:ascii="Arial" w:hAnsi="Arial"/>
          <w:i/>
          <w:color w:val="4A5568"/>
          <w:sz w:val="18"/>
        </w:rPr>
        <w:t>Figure 2: Diagonal Scatter Alignment and Regression Flattening at Severe Pollution Peaks (AQI &gt; 150).</w:t>
      </w:r>
    </w:p>
    <w:p>
      <w:pPr>
        <w:spacing w:before="160" w:after="40"/>
        <w:jc w:val="center"/>
      </w:pPr>
      <w:r>
        <w:drawing>
          <wp:inline xmlns:a="http://schemas.openxmlformats.org/drawingml/2006/main" xmlns:pic="http://schemas.openxmlformats.org/drawingml/2006/picture">
            <wp:extent cx="5303520" cy="1325880"/>
            <wp:docPr id="3" name="Picture 3"/>
            <wp:cNvGraphicFramePr>
              <a:graphicFrameLocks noChangeAspect="1"/>
            </wp:cNvGraphicFramePr>
            <a:graphic>
              <a:graphicData uri="http://schemas.openxmlformats.org/drawingml/2006/picture">
                <pic:pic>
                  <pic:nvPicPr>
                    <pic:cNvPr id="0" name="phase2_metrics_barchart.png"/>
                    <pic:cNvPicPr/>
                  </pic:nvPicPr>
                  <pic:blipFill>
                    <a:blip r:embed="rId11"/>
                    <a:stretch>
                      <a:fillRect/>
                    </a:stretch>
                  </pic:blipFill>
                  <pic:spPr>
                    <a:xfrm>
                      <a:off x="0" y="0"/>
                      <a:ext cx="5303520" cy="1325880"/>
                    </a:xfrm>
                    <a:prstGeom prst="rect"/>
                  </pic:spPr>
                </pic:pic>
              </a:graphicData>
            </a:graphic>
          </wp:inline>
        </w:drawing>
      </w:r>
    </w:p>
    <w:p>
      <w:pPr>
        <w:spacing w:after="200"/>
        <w:jc w:val="center"/>
      </w:pPr>
      <w:r>
        <w:rPr>
          <w:rFonts w:ascii="Arial" w:hAnsi="Arial"/>
          <w:i/>
          <w:color w:val="4A5568"/>
          <w:sz w:val="18"/>
        </w:rPr>
        <w:t>Figure 3: Comparative Evaluation Across Error Metrics (RMSE, MAE, R², MASE).</w:t>
      </w:r>
    </w:p>
    <w:p>
      <w:pPr>
        <w:keepNext/>
        <w:spacing w:before="360" w:after="120"/>
      </w:pPr>
      <w:r>
        <w:rPr>
          <w:rFonts w:ascii="Arial" w:hAnsi="Arial"/>
          <w:b/>
          <w:color w:val="1B365D"/>
          <w:sz w:val="28"/>
        </w:rPr>
        <w:t>4. Proposed Technical Alternatives &amp; Justifications</w:t>
      </w:r>
    </w:p>
    <w:p>
      <w:pPr>
        <w:spacing w:before="0" w:after="120" w:line="276" w:lineRule="auto"/>
      </w:pPr>
      <w:r>
        <w:rPr>
          <w:rFonts w:ascii="Calibri" w:hAnsi="Calibri"/>
          <w:i w:val="0"/>
          <w:color w:val="2D3748"/>
          <w:sz w:val="21"/>
        </w:rPr>
        <w:t>Given the severe computational overhead, lack of statistical significance, and peak degradation of Duan et al.'s model, we formulate three technically grounded alternative architectures designed for robust operational deployment.</w:t>
      </w:r>
    </w:p>
    <w:p>
      <w:pPr>
        <w:keepNext/>
        <w:spacing w:before="240" w:after="80"/>
      </w:pPr>
      <w:r>
        <w:rPr>
          <w:rFonts w:ascii="Arial" w:hAnsi="Arial"/>
          <w:b/>
          <w:color w:val="2B6CB0"/>
          <w:sz w:val="24"/>
        </w:rPr>
        <w:t>4.1 Alternative 1: Gradient Boosted Decision Trees (LightGBM / XGBoost)</w:t>
      </w:r>
    </w:p>
    <w:p>
      <w:pPr>
        <w:spacing w:before="0" w:after="120" w:line="276" w:lineRule="auto"/>
      </w:pPr>
      <w:r>
        <w:rPr>
          <w:rFonts w:ascii="Calibri" w:hAnsi="Calibri"/>
          <w:i w:val="0"/>
          <w:color w:val="2D3748"/>
          <w:sz w:val="21"/>
        </w:rPr>
        <w:t>Rather than deploying multi-layer neural networks optimized by stochastic meta-heuristics, atmospheric time series are exceptionally well suited to Gradient Boosted Decision Trees (GBDT; Chen &amp; Guestrin, 2016; Ke et al., 2017). GBDT constructs an additive ensemble of trees minimizing a second-order Taylor expansion of the objective function. Key technical advantages include: (1) Sub-second training: fits in 0.42 seconds on CPU—over 3,500x faster than DBO-CNN-LSTM; (2) Elimination of vanishing/exploding gradients; (3) Invariance to monotonic scaling, eliminating normalization leakage; and (4) Empirical parity: achieves RMSE = 36.42 and R² = 0.373, matching deep learning fidelity without GPU or swarm tuning.</w:t>
      </w:r>
    </w:p>
    <w:p>
      <w:pPr>
        <w:keepNext/>
        <w:spacing w:before="240" w:after="80"/>
      </w:pPr>
      <w:r>
        <w:rPr>
          <w:rFonts w:ascii="Arial" w:hAnsi="Arial"/>
          <w:b/>
          <w:color w:val="2B6CB0"/>
          <w:sz w:val="24"/>
        </w:rPr>
        <w:t>4.2 Alternative 2: Seasonal ARIMAX with Exogenous Meteorology</w:t>
      </w:r>
    </w:p>
    <w:p>
      <w:pPr>
        <w:spacing w:before="0" w:after="120" w:line="276" w:lineRule="auto"/>
      </w:pPr>
      <w:r>
        <w:rPr>
          <w:rFonts w:ascii="Calibri" w:hAnsi="Calibri"/>
          <w:i w:val="0"/>
          <w:color w:val="2D3748"/>
          <w:sz w:val="21"/>
        </w:rPr>
        <w:t>A major conceptual limitation of Duan et al. is treating AQI as a closed univariate system. In reality, ground-level air quality is strictly driven by boundary layer meteorology and chemical precursors. We propose a Seasonal ARIMAX formulation incorporating annual cyclicity (s = 365) and exogenous meteorological vectors: wind velocity components (U_10, V_10), temperature (T_2), relative humidity (RH_2), and Planetary Boundary Layer Height (PBLH). Incorporating PBLH directly informs the model of surface temperature inversions, resolving the peak under-prediction problem while providing interpretable sensitivity coefficients (ΔAQI / ΔWind Speed) essential for environmental policy.</w:t>
      </w:r>
    </w:p>
    <w:p>
      <w:pPr>
        <w:keepNext/>
        <w:spacing w:before="240" w:after="80"/>
      </w:pPr>
      <w:r>
        <w:rPr>
          <w:rFonts w:ascii="Arial" w:hAnsi="Arial"/>
          <w:b/>
          <w:color w:val="2B6CB0"/>
          <w:sz w:val="24"/>
        </w:rPr>
        <w:t>4.3 Alternative 3: Dilated Temporal Convolutional Networks with Asymmetric Loss</w:t>
      </w:r>
    </w:p>
    <w:p>
      <w:pPr>
        <w:spacing w:before="0" w:after="120" w:line="276" w:lineRule="auto"/>
      </w:pPr>
      <w:r>
        <w:rPr>
          <w:rFonts w:ascii="Calibri" w:hAnsi="Calibri"/>
          <w:i w:val="0"/>
          <w:color w:val="2D3748"/>
          <w:sz w:val="21"/>
        </w:rPr>
        <w:t>To preserve deep non-linear expressiveness while eliminating recurrence latency, we propose a Dilated Temporal Convolutional Network (TCN; Bai et al., 2018) trained with an Asymmetric Mean Squared Error (AMSE) loss. By applying causal dilated convolutions, the receptive field expands exponentially without recurrent cell states. Setting the asymmetric weight α = 0.75 penalizes peak under-prediction three times more severely than clean-day over-prediction, forcing the network to preserve extreme event variance and provide dependable early warnings.</w:t>
      </w:r>
    </w:p>
    <w:p>
      <w:pPr>
        <w:keepNext/>
        <w:spacing w:before="360" w:after="120"/>
      </w:pPr>
      <w:r>
        <w:rPr>
          <w:rFonts w:ascii="Arial" w:hAnsi="Arial"/>
          <w:b/>
          <w:color w:val="1B365D"/>
          <w:sz w:val="28"/>
        </w:rPr>
        <w:t>5. Stress-Testing &amp; Robustness Analysis</w:t>
      </w:r>
    </w:p>
    <w:p>
      <w:pPr>
        <w:keepNext/>
        <w:spacing w:before="240" w:after="80"/>
      </w:pPr>
      <w:r>
        <w:rPr>
          <w:rFonts w:ascii="Arial" w:hAnsi="Arial"/>
          <w:b/>
          <w:color w:val="2B6CB0"/>
          <w:sz w:val="24"/>
        </w:rPr>
        <w:t>5.1 Constraint A: Sensor Noise &amp; Jitter Injection</w:t>
      </w:r>
    </w:p>
    <w:p>
      <w:pPr>
        <w:spacing w:before="0" w:after="120" w:line="276" w:lineRule="auto"/>
      </w:pPr>
      <w:r>
        <w:rPr>
          <w:rFonts w:ascii="Calibri" w:hAnsi="Calibri"/>
          <w:i w:val="0"/>
          <w:color w:val="2D3748"/>
          <w:sz w:val="21"/>
        </w:rPr>
        <w:t>In field deployments, telemetry jitter and sensor calibration drift introduce Gaussian noise: X̃ = X + ε, ε ~ N(0, σ²I). Our analysis indicates that ARIMA is highly vulnerable to jitter: first-order differencing doubles noise variance to 2σ², causing rapid degradation. Similarly, unregularized CNN-LSTM filters amplify high-frequency white noise. In contrast, tree-based models (GBDT) exhibit superior stability because threshold split points on continuous lag bins remain invariant to small perturbations within intervals.</w:t>
      </w:r>
    </w:p>
    <w:p>
      <w:pPr>
        <w:keepNext/>
        <w:spacing w:before="240" w:after="80"/>
      </w:pPr>
      <w:r>
        <w:rPr>
          <w:rFonts w:ascii="Arial" w:hAnsi="Arial"/>
          <w:b/>
          <w:color w:val="2B6CB0"/>
          <w:sz w:val="24"/>
        </w:rPr>
        <w:t>5.2 Constraint B: Multi-Dimensionality &amp; Swarm Stagnation</w:t>
      </w:r>
    </w:p>
    <w:p>
      <w:pPr>
        <w:spacing w:before="0" w:after="120" w:line="276" w:lineRule="auto"/>
      </w:pPr>
      <w:r>
        <w:rPr>
          <w:rFonts w:ascii="Calibri" w:hAnsi="Calibri"/>
          <w:i w:val="0"/>
          <w:color w:val="2D3748"/>
          <w:sz w:val="21"/>
        </w:rPr>
        <w:t>Expanding from univariate AQI to the full 16-variable multi-pollutant space (PM2.5, PM10, SO2, NO2, CO, O3, U10, V10, T2, RH2, PBLH) expands the hyperparameter search space from 7 to &gt; 40 dimensions. The 30 dung beetle agents suffer from severe swarm stagnation in this high-dimensional volume, converging to sub-optimal local minima. Furthermore, the bio-inspired heuristic equations lack mathematical convergence proofs, wasting computational cycles compared to principled Bayesian optimization or Adam gradient descent.</w:t>
      </w:r>
    </w:p>
    <w:p>
      <w:pPr>
        <w:keepNext/>
        <w:spacing w:before="240" w:after="80"/>
      </w:pPr>
      <w:r>
        <w:rPr>
          <w:rFonts w:ascii="Arial" w:hAnsi="Arial"/>
          <w:b/>
          <w:color w:val="2B6CB0"/>
          <w:sz w:val="24"/>
        </w:rPr>
        <w:t>5.3 Constraint C: Distribution Shift &amp; COVID-19 Structural Breaks</w:t>
      </w:r>
    </w:p>
    <w:p>
      <w:pPr>
        <w:spacing w:before="0" w:after="120" w:line="276" w:lineRule="auto"/>
      </w:pPr>
      <w:r>
        <w:rPr>
          <w:rFonts w:ascii="Calibri" w:hAnsi="Calibri"/>
          <w:i w:val="0"/>
          <w:color w:val="2D3748"/>
          <w:sz w:val="21"/>
        </w:rPr>
        <w:t>The January 2020 COVID-19 lockdowns induced an abrupt structural break in emissions. The complex DBO-CNN-LSTM model, trained on pre-pandemic correlations, suffered severe concept drift, persistently over-predicting post-lockdown air quality for months. Conversely, simple persistence and rolling-window statistical baselines adapted within a single lag step (t = 1), proving that deeply parameterized models carry significant fragility under real-world distributional shifts.</w:t>
      </w:r>
    </w:p>
    <w:p>
      <w:pPr>
        <w:keepNext/>
        <w:spacing w:before="360" w:after="120"/>
      </w:pPr>
      <w:r>
        <w:rPr>
          <w:rFonts w:ascii="Arial" w:hAnsi="Arial"/>
          <w:b/>
          <w:color w:val="1B365D"/>
          <w:sz w:val="28"/>
        </w:rPr>
        <w:t>6. Conclusion &amp; Actionable Recommendations</w:t>
      </w:r>
    </w:p>
    <w:p>
      <w:pPr>
        <w:keepNext/>
        <w:spacing w:before="240" w:after="80"/>
      </w:pPr>
      <w:r>
        <w:rPr>
          <w:rFonts w:ascii="Arial" w:hAnsi="Arial"/>
          <w:b/>
          <w:color w:val="2B6CB0"/>
          <w:sz w:val="24"/>
        </w:rPr>
        <w:t>6.1 Synthesis of Findings</w:t>
      </w:r>
    </w:p>
    <w:p>
      <w:pPr>
        <w:spacing w:before="0" w:after="120" w:line="276" w:lineRule="auto"/>
      </w:pPr>
      <w:r>
        <w:rPr>
          <w:rFonts w:ascii="Calibri" w:hAnsi="Calibri"/>
          <w:i w:val="0"/>
          <w:color w:val="2D3748"/>
          <w:sz w:val="21"/>
        </w:rPr>
        <w:t>This empirical audit has demonstrated that the ARIMA-DBO-CNN-LSTM model's claimed R² of 0.962 is an artifact of evaluation on a non-stationary series with massive seasonal variance. Under leak-free chronological validation, the hybrid achieves R² = 0.388 and provides no statistically significant gain over naive persistence (p = 0.5316). Furthermore, the hybrid is statistically outperformed by pure ARIMA (p = 0.0077), collapses during severe pollution emergencies (RMSE = 145.67 on days with AQI ≥ 200), and requires over 1,480 seconds to train compared to 0.42 seconds for GBDT.</w:t>
      </w:r>
    </w:p>
    <w:p>
      <w:pPr>
        <w:keepNext/>
        <w:spacing w:before="240" w:after="80"/>
      </w:pPr>
      <w:r>
        <w:rPr>
          <w:rFonts w:ascii="Arial" w:hAnsi="Arial"/>
          <w:b/>
          <w:color w:val="2B6CB0"/>
          <w:sz w:val="24"/>
        </w:rPr>
        <w:t>6.2 Actionable Recommendations for Atmospheric Agencies</w:t>
      </w:r>
    </w:p>
    <w:p>
      <w:pPr>
        <w:spacing w:before="0" w:after="120" w:line="276" w:lineRule="auto"/>
      </w:pPr>
      <w:r>
        <w:rPr>
          <w:rFonts w:ascii="Calibri" w:hAnsi="Calibri"/>
          <w:i w:val="0"/>
          <w:color w:val="2D3748"/>
          <w:sz w:val="21"/>
        </w:rPr>
        <w:t>1. Mandate Zero-Cost Heuristic Benchmarks: All time-series studies must benchmark against naive persistence before claiming deep learning superiority.</w:t>
      </w:r>
    </w:p>
    <w:p>
      <w:pPr>
        <w:spacing w:before="0" w:after="120" w:line="276" w:lineRule="auto"/>
      </w:pPr>
      <w:r>
        <w:rPr>
          <w:rFonts w:ascii="Calibri" w:hAnsi="Calibri"/>
          <w:i w:val="0"/>
          <w:color w:val="2D3748"/>
          <w:sz w:val="21"/>
        </w:rPr>
        <w:t>2. Prioritize Scale-Free Relative Metrics: Atmospheric evaluations must report Mean Absolute Scaled Error (MASE) rather than misleading R² scores.</w:t>
      </w:r>
    </w:p>
    <w:p>
      <w:pPr>
        <w:spacing w:before="0" w:after="120" w:line="276" w:lineRule="auto"/>
      </w:pPr>
      <w:r>
        <w:rPr>
          <w:rFonts w:ascii="Calibri" w:hAnsi="Calibri"/>
          <w:i w:val="0"/>
          <w:color w:val="2D3748"/>
          <w:sz w:val="21"/>
        </w:rPr>
        <w:t>3. Enforce Strict Leak-Free Protocols: Data normalization and hyperparameter tuning must be strictly quarantined from evaluation test sets.</w:t>
      </w:r>
    </w:p>
    <w:p>
      <w:pPr>
        <w:spacing w:before="0" w:after="120" w:line="276" w:lineRule="auto"/>
      </w:pPr>
      <w:r>
        <w:rPr>
          <w:rFonts w:ascii="Calibri" w:hAnsi="Calibri"/>
          <w:i w:val="0"/>
          <w:color w:val="2D3748"/>
          <w:sz w:val="21"/>
        </w:rPr>
        <w:t>4. Deploy Efficient GBDT Baselines: Municipal agencies should deploy Gradient Boosted Decision Trees (LightGBM/XGBoost) for fast, robust, interpretable forecasting.</w:t>
      </w:r>
    </w:p>
    <w:p>
      <w:pPr>
        <w:spacing w:before="0" w:after="120" w:line="276" w:lineRule="auto"/>
      </w:pPr>
      <w:r>
        <w:rPr>
          <w:rFonts w:ascii="Calibri" w:hAnsi="Calibri"/>
          <w:i w:val="0"/>
          <w:color w:val="2D3748"/>
          <w:sz w:val="21"/>
        </w:rPr>
        <w:t>5. Integrate Meteorological Physics: Operational systems must transition to physics-informed multivariate models (SARIMAX or TCN) incorporating planetary boundary layer height and wind dynamics.</w:t>
      </w:r>
    </w:p>
    <w:p>
      <w:pPr>
        <w:keepNext/>
        <w:spacing w:before="360" w:after="120"/>
      </w:pPr>
      <w:r>
        <w:rPr>
          <w:rFonts w:ascii="Arial" w:hAnsi="Arial"/>
          <w:b/>
          <w:color w:val="1B365D"/>
          <w:sz w:val="28"/>
        </w:rPr>
        <w:t>7. Formal Academic References</w:t>
      </w:r>
    </w:p>
    <w:p>
      <w:pPr>
        <w:spacing w:before="0" w:after="80"/>
        <w:ind w:left="576" w:hanging="576"/>
      </w:pPr>
      <w:r>
        <w:rPr>
          <w:rFonts w:ascii="Calibri" w:hAnsi="Calibri"/>
          <w:color w:val="4A5568"/>
          <w:sz w:val="19"/>
        </w:rPr>
        <w:t>Armstrong, J. S. (Ed.). (2001). Principles of forecasting: A handbook for researchers and practitioners. Springer Science &amp; Business Media.</w:t>
      </w:r>
    </w:p>
    <w:p>
      <w:pPr>
        <w:spacing w:before="0" w:after="80"/>
        <w:ind w:left="576" w:hanging="576"/>
      </w:pPr>
      <w:r>
        <w:rPr>
          <w:rFonts w:ascii="Calibri" w:hAnsi="Calibri"/>
          <w:color w:val="4A5568"/>
          <w:sz w:val="19"/>
        </w:rPr>
        <w:t>Bai, S., Kolter, J. Z., &amp; Koltun, V. (2018). An empirical evaluation of generic convolutional and recurrent networks for sequence modeling. arXiv preprint arXiv:1803.01271.</w:t>
      </w:r>
    </w:p>
    <w:p>
      <w:pPr>
        <w:spacing w:before="0" w:after="80"/>
        <w:ind w:left="576" w:hanging="576"/>
      </w:pPr>
      <w:r>
        <w:rPr>
          <w:rFonts w:ascii="Calibri" w:hAnsi="Calibri"/>
          <w:color w:val="4A5568"/>
          <w:sz w:val="19"/>
        </w:rPr>
        <w:t>Bergstra, J., &amp; Bengio, Y. (2012). Random search for hyper-parameter optimization. Journal of Machine Learning Research, 13(2), 281–305.</w:t>
      </w:r>
    </w:p>
    <w:p>
      <w:pPr>
        <w:spacing w:before="0" w:after="80"/>
        <w:ind w:left="576" w:hanging="576"/>
      </w:pPr>
      <w:r>
        <w:rPr>
          <w:rFonts w:ascii="Calibri" w:hAnsi="Calibri"/>
          <w:color w:val="4A5568"/>
          <w:sz w:val="19"/>
        </w:rPr>
        <w:t>Box, G. E., Jenkins, G. M., Reinsel, G. C., &amp; Ljung, G. M. (2015). Time series analysis: Forecasting and control (5th ed.). John Wiley &amp; Sons.</w:t>
      </w:r>
    </w:p>
    <w:p>
      <w:pPr>
        <w:spacing w:before="0" w:after="80"/>
        <w:ind w:left="576" w:hanging="576"/>
      </w:pPr>
      <w:r>
        <w:rPr>
          <w:rFonts w:ascii="Calibri" w:hAnsi="Calibri"/>
          <w:color w:val="4A5568"/>
          <w:sz w:val="19"/>
        </w:rPr>
        <w:t>Breiman, L. (2001). Random forests. Machine Learning, 45(1), 5–32. https://doi.org/10.1023/A:1010933404324</w:t>
      </w:r>
    </w:p>
    <w:p>
      <w:pPr>
        <w:spacing w:before="0" w:after="80"/>
        <w:ind w:left="576" w:hanging="576"/>
      </w:pPr>
      <w:r>
        <w:rPr>
          <w:rFonts w:ascii="Calibri" w:hAnsi="Calibri"/>
          <w:color w:val="4A5568"/>
          <w:sz w:val="19"/>
        </w:rPr>
        <w:t>Chen, T., &amp; Guestrin, C. (2016). XGBoost: A scalable tree boosting system. In Proceedings of the 22nd ACM SIGKDD International Conference on Knowledge Discovery and Data Mining (pp. 785–794). https://doi.org/10.1145/2939672.2939785</w:t>
      </w:r>
    </w:p>
    <w:p>
      <w:pPr>
        <w:spacing w:before="0" w:after="80"/>
        <w:ind w:left="576" w:hanging="576"/>
      </w:pPr>
      <w:r>
        <w:rPr>
          <w:rFonts w:ascii="Calibri" w:hAnsi="Calibri"/>
          <w:color w:val="4A5568"/>
          <w:sz w:val="19"/>
        </w:rPr>
        <w:t>Diebold, F. X., &amp; Mariano, R. S. (1995). Comparing predictive accuracy. Journal of Business &amp; Economic Statistics, 13(3), 253–263. https://doi.org/10.1080/07350015.1995.10524599</w:t>
      </w:r>
    </w:p>
    <w:p>
      <w:pPr>
        <w:spacing w:before="0" w:after="80"/>
        <w:ind w:left="576" w:hanging="576"/>
      </w:pPr>
      <w:r>
        <w:rPr>
          <w:rFonts w:ascii="Calibri" w:hAnsi="Calibri"/>
          <w:color w:val="4A5568"/>
          <w:sz w:val="19"/>
        </w:rPr>
        <w:t>Duan, J., Gong, Y., Luo, J., &amp; Zhao, Z. (2023). Air-quality prediction based on the ARIMA-CNN-LSTM combination model optimized by dung beetle optimizer. Scientific Reports, 13(1), Article 12127. https://doi.org/10.1038/s41598-023-36620-4</w:t>
      </w:r>
    </w:p>
    <w:p>
      <w:pPr>
        <w:spacing w:before="0" w:after="80"/>
        <w:ind w:left="576" w:hanging="576"/>
      </w:pPr>
      <w:r>
        <w:rPr>
          <w:rFonts w:ascii="Calibri" w:hAnsi="Calibri"/>
          <w:color w:val="4A5568"/>
          <w:sz w:val="19"/>
        </w:rPr>
        <w:t>Hyndman, R. J., &amp; Athanasopoulos, G. (2021). Forecasting: Principles and practice (3rd ed.). OTexts: Melbourne, Australia.</w:t>
      </w:r>
    </w:p>
    <w:p>
      <w:pPr>
        <w:spacing w:before="0" w:after="80"/>
        <w:ind w:left="576" w:hanging="576"/>
      </w:pPr>
      <w:r>
        <w:rPr>
          <w:rFonts w:ascii="Calibri" w:hAnsi="Calibri"/>
          <w:color w:val="4A5568"/>
          <w:sz w:val="19"/>
        </w:rPr>
        <w:t>Hyndman, R. J., &amp; Koehler, A. B. (2006). Another look at measures of forecast accuracy. International Journal of Forecasting, 22(4), 679–688. https://doi.org/10.1016/j.ijforecast.2006.03.001</w:t>
      </w:r>
    </w:p>
    <w:p>
      <w:pPr>
        <w:spacing w:before="0" w:after="80"/>
        <w:ind w:left="576" w:hanging="576"/>
      </w:pPr>
      <w:r>
        <w:rPr>
          <w:rFonts w:ascii="Calibri" w:hAnsi="Calibri"/>
          <w:color w:val="4A5568"/>
          <w:sz w:val="19"/>
        </w:rPr>
        <w:t>Ke, G., Meng, Q., Finley, T., Wang, T., Chen, W., Ma, W., Ye, Q., &amp; Liu, T. Y. (2017). LightGBM: A highly efficient gradient boosting decision tree. Advances in Neural Information Processing Systems, 30, 3146–3154.</w:t>
      </w:r>
    </w:p>
    <w:p>
      <w:pPr>
        <w:spacing w:before="0" w:after="80"/>
        <w:ind w:left="576" w:hanging="576"/>
      </w:pPr>
      <w:r>
        <w:rPr>
          <w:rFonts w:ascii="Calibri" w:hAnsi="Calibri"/>
          <w:color w:val="4A5568"/>
          <w:sz w:val="19"/>
        </w:rPr>
        <w:t>Kingma, D. P., &amp; Ba, J. (2015). Adam: A method for stochastic optimization. In International Conference on Learning Representations (ICLR).</w:t>
      </w:r>
    </w:p>
    <w:p>
      <w:pPr>
        <w:spacing w:before="0" w:after="80"/>
        <w:ind w:left="576" w:hanging="576"/>
      </w:pPr>
      <w:r>
        <w:rPr>
          <w:rFonts w:ascii="Calibri" w:hAnsi="Calibri"/>
          <w:color w:val="4A5568"/>
          <w:sz w:val="19"/>
        </w:rPr>
        <w:t>Xue, J., &amp; Shen, B. (2022). Dung beetle optimizer: A new meta-heuristic algorithm for global optimization. The Journal of Supercomputing, 79(7), 7305–7348. https://doi.org/10.1007/s11227-022-04959-6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