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80"/>
        <w:jc w:val="center"/>
      </w:pPr>
      <w:r>
        <w:rPr>
          <w:rFonts w:ascii="Arial" w:hAnsi="Arial"/>
          <w:b/>
          <w:color w:val="1B365D"/>
          <w:sz w:val="38"/>
        </w:rPr>
        <w:t>A Critical Academic Review and Empirical Re-Evaluation of the ARIMA-DBO-CNN-LSTM Air Quality Forecasting Model</w:t>
      </w:r>
    </w:p>
    <w:p>
      <w:pPr>
        <w:spacing w:after="240"/>
        <w:jc w:val="center"/>
      </w:pPr>
      <w:r>
        <w:rPr>
          <w:rFonts w:ascii="Arial" w:hAnsi="Arial"/>
          <w:color w:val="4A5568"/>
          <w:sz w:val="22"/>
        </w:rPr>
        <w:t>Coursework Phase 3: Formal Technical Review Report (40 Marks)</w:t>
        <w:br/>
        <w:t>Comparative Audit of Base Model Replication vs. Enhanced Framework</w:t>
      </w:r>
    </w:p>
    <w:tbl>
      <w:tblPr>
        <w:tblW w:type="auto" w:w="0"/>
        <w:jc w:val="center"/>
        <w:tblLayout w:type="fixed"/>
        <w:tblLook w:firstColumn="1" w:firstRow="1" w:lastColumn="0" w:lastRow="0" w:noHBand="0" w:noVBand="1" w:val="04A0"/>
      </w:tblPr>
      <w:tblGrid>
        <w:gridCol w:w="5040"/>
        <w:gridCol w:w="5040"/>
      </w:tblGrid>
      <w:tr>
        <w:tc>
          <w:tcPr>
            <w:tcW w:type="dxa" w:w="3168"/>
            <w:shd w:fill="F7FAFC"/>
            <w:tcMar>
              <w:top w:w="50" w:type="dxa"/>
              <w:bottom w:w="50" w:type="dxa"/>
              <w:left w:w="80" w:type="dxa"/>
              <w:right w:w="80" w:type="dxa"/>
            </w:tcMar>
          </w:tcPr>
          <w:p>
            <w:pPr>
              <w:spacing w:after="20"/>
            </w:pPr>
            <w:r>
              <w:rPr>
                <w:rFonts w:ascii="Arial" w:hAnsi="Arial"/>
                <w:b/>
                <w:color w:val="1B365D"/>
                <w:sz w:val="18"/>
              </w:rPr>
              <w:t>Student Name &amp; ID:</w:t>
            </w:r>
          </w:p>
        </w:tc>
        <w:tc>
          <w:tcPr>
            <w:tcW w:type="dxa" w:w="6624"/>
            <w:shd w:fill="FFFFFF"/>
            <w:tcMar>
              <w:top w:w="50" w:type="dxa"/>
              <w:bottom w:w="50" w:type="dxa"/>
              <w:left w:w="80" w:type="dxa"/>
              <w:right w:w="80" w:type="dxa"/>
            </w:tcMar>
          </w:tcPr>
          <w:p>
            <w:pPr>
              <w:spacing w:after="20"/>
            </w:pPr>
            <w:r>
              <w:rPr>
                <w:rFonts w:ascii="Arial" w:hAnsi="Arial"/>
                <w:color w:val="2D3748"/>
                <w:sz w:val="18"/>
              </w:rPr>
              <w:t>K.W.G.C.D.B. Karunarathne | Student ID: KIC-BSCCSAI-251P-036</w:t>
            </w:r>
          </w:p>
        </w:tc>
      </w:tr>
      <w:tr>
        <w:tc>
          <w:tcPr>
            <w:tcW w:type="dxa" w:w="3168"/>
            <w:shd w:fill="F7FAFC"/>
            <w:tcMar>
              <w:top w:w="50" w:type="dxa"/>
              <w:bottom w:w="50" w:type="dxa"/>
              <w:left w:w="80" w:type="dxa"/>
              <w:right w:w="80" w:type="dxa"/>
            </w:tcMar>
          </w:tcPr>
          <w:p>
            <w:pPr>
              <w:spacing w:after="20"/>
            </w:pPr>
            <w:r>
              <w:rPr>
                <w:rFonts w:ascii="Arial" w:hAnsi="Arial"/>
                <w:b/>
                <w:color w:val="1B365D"/>
                <w:sz w:val="18"/>
              </w:rPr>
              <w:t>Module &amp; Programme:</w:t>
            </w:r>
          </w:p>
        </w:tc>
        <w:tc>
          <w:tcPr>
            <w:tcW w:type="dxa" w:w="6624"/>
            <w:shd w:fill="FFFFFF"/>
            <w:tcMar>
              <w:top w:w="50" w:type="dxa"/>
              <w:bottom w:w="50" w:type="dxa"/>
              <w:left w:w="80" w:type="dxa"/>
              <w:right w:w="80" w:type="dxa"/>
            </w:tcMar>
          </w:tcPr>
          <w:p>
            <w:pPr>
              <w:spacing w:after="20"/>
            </w:pPr>
            <w:r>
              <w:rPr>
                <w:rFonts w:ascii="Arial" w:hAnsi="Arial"/>
                <w:color w:val="2D3748"/>
                <w:sz w:val="18"/>
              </w:rPr>
              <w:t>Machine Learning and Related Applications | BSc (Hons) Computing &amp; AI</w:t>
            </w:r>
          </w:p>
        </w:tc>
      </w:tr>
      <w:tr>
        <w:tc>
          <w:tcPr>
            <w:tcW w:type="dxa" w:w="3168"/>
            <w:shd w:fill="F7FAFC"/>
            <w:tcMar>
              <w:top w:w="50" w:type="dxa"/>
              <w:bottom w:w="50" w:type="dxa"/>
              <w:left w:w="80" w:type="dxa"/>
              <w:right w:w="80" w:type="dxa"/>
            </w:tcMar>
          </w:tcPr>
          <w:p>
            <w:pPr>
              <w:spacing w:after="20"/>
            </w:pPr>
            <w:r>
              <w:rPr>
                <w:rFonts w:ascii="Arial" w:hAnsi="Arial"/>
                <w:b/>
                <w:color w:val="1B365D"/>
                <w:sz w:val="18"/>
              </w:rPr>
              <w:t>Awarding Institution:</w:t>
            </w:r>
          </w:p>
        </w:tc>
        <w:tc>
          <w:tcPr>
            <w:tcW w:type="dxa" w:w="6624"/>
            <w:shd w:fill="FFFFFF"/>
            <w:tcMar>
              <w:top w:w="50" w:type="dxa"/>
              <w:bottom w:w="50" w:type="dxa"/>
              <w:left w:w="80" w:type="dxa"/>
              <w:right w:w="80" w:type="dxa"/>
            </w:tcMar>
          </w:tcPr>
          <w:p>
            <w:pPr>
              <w:spacing w:after="20"/>
            </w:pPr>
            <w:r>
              <w:rPr>
                <w:rFonts w:ascii="Arial" w:hAnsi="Arial"/>
                <w:color w:val="2D3748"/>
                <w:sz w:val="18"/>
              </w:rPr>
              <w:t>National Institute of Business Management (NIBM), Kandy Innovation Centre</w:t>
            </w:r>
          </w:p>
        </w:tc>
      </w:tr>
      <w:tr>
        <w:tc>
          <w:tcPr>
            <w:tcW w:type="dxa" w:w="3168"/>
            <w:shd w:fill="F7FAFC"/>
            <w:tcMar>
              <w:top w:w="50" w:type="dxa"/>
              <w:bottom w:w="50" w:type="dxa"/>
              <w:left w:w="80" w:type="dxa"/>
              <w:right w:w="80" w:type="dxa"/>
            </w:tcMar>
          </w:tcPr>
          <w:p>
            <w:pPr>
              <w:spacing w:after="20"/>
            </w:pPr>
            <w:r>
              <w:rPr>
                <w:rFonts w:ascii="Arial" w:hAnsi="Arial"/>
                <w:b/>
                <w:color w:val="1B365D"/>
                <w:sz w:val="18"/>
              </w:rPr>
              <w:t>Reviewed Research Study:</w:t>
            </w:r>
          </w:p>
        </w:tc>
        <w:tc>
          <w:tcPr>
            <w:tcW w:type="dxa" w:w="6624"/>
            <w:shd w:fill="FFFFFF"/>
            <w:tcMar>
              <w:top w:w="50" w:type="dxa"/>
              <w:bottom w:w="50" w:type="dxa"/>
              <w:left w:w="80" w:type="dxa"/>
              <w:right w:w="80" w:type="dxa"/>
            </w:tcMar>
          </w:tcPr>
          <w:p>
            <w:pPr>
              <w:spacing w:after="20"/>
            </w:pPr>
            <w:r>
              <w:rPr>
                <w:rFonts w:ascii="Arial" w:hAnsi="Arial"/>
                <w:color w:val="2D3748"/>
                <w:sz w:val="18"/>
              </w:rPr>
              <w:t>Duan, J., Gong, Y., Luo, J., &amp; Zhao, Z. (2023). Scientific Reports, 13:12127.</w:t>
            </w:r>
          </w:p>
        </w:tc>
      </w:tr>
      <w:tr>
        <w:tc>
          <w:tcPr>
            <w:tcW w:type="dxa" w:w="3168"/>
            <w:shd w:fill="F7FAFC"/>
            <w:tcMar>
              <w:top w:w="50" w:type="dxa"/>
              <w:bottom w:w="50" w:type="dxa"/>
              <w:left w:w="80" w:type="dxa"/>
              <w:right w:w="80" w:type="dxa"/>
            </w:tcMar>
          </w:tcPr>
          <w:p>
            <w:pPr>
              <w:spacing w:after="20"/>
            </w:pPr>
            <w:r>
              <w:rPr>
                <w:rFonts w:ascii="Arial" w:hAnsi="Arial"/>
                <w:b/>
                <w:color w:val="1B365D"/>
                <w:sz w:val="18"/>
              </w:rPr>
              <w:t>Interactive Appendices:</w:t>
            </w:r>
          </w:p>
        </w:tc>
        <w:tc>
          <w:tcPr>
            <w:tcW w:type="dxa" w:w="6624"/>
            <w:shd w:fill="FFFFFF"/>
            <w:tcMar>
              <w:top w:w="50" w:type="dxa"/>
              <w:bottom w:w="50" w:type="dxa"/>
              <w:left w:w="80" w:type="dxa"/>
              <w:right w:w="80" w:type="dxa"/>
            </w:tcMar>
          </w:tcPr>
          <w:p>
            <w:pPr>
              <w:spacing w:after="20"/>
            </w:pPr>
            <w:r>
              <w:rPr>
                <w:rFonts w:ascii="Arial" w:hAnsi="Arial"/>
                <w:color w:val="2D3748"/>
                <w:sz w:val="18"/>
              </w:rPr>
              <w:t>notebooks/phase1_base_replication.ipynb &amp; notebooks/phase2_enhanced_study.ipynb</w:t>
            </w:r>
          </w:p>
        </w:tc>
      </w:tr>
    </w:tbl>
    <w:p>
      <w:pPr>
        <w:spacing w:after="200"/>
      </w:pPr>
    </w:p>
    <w:p>
      <w:pPr>
        <w:keepNext/>
        <w:spacing w:before="320" w:after="100"/>
      </w:pPr>
      <w:r>
        <w:rPr>
          <w:rFonts w:ascii="Arial" w:hAnsi="Arial"/>
          <w:b/>
          <w:color w:val="1B365D"/>
          <w:sz w:val="26"/>
        </w:rPr>
        <w:t>Executive Abstract</w:t>
      </w:r>
    </w:p>
    <w:p>
      <w:pPr>
        <w:spacing w:before="0" w:after="100" w:line="276" w:lineRule="auto"/>
      </w:pPr>
      <w:r>
        <w:rPr>
          <w:rFonts w:ascii="Calibri" w:hAnsi="Calibri"/>
          <w:i w:val="0"/>
          <w:color w:val="2D3748"/>
          <w:sz w:val="20"/>
        </w:rPr>
        <w:t>Accurate forecasting of atmospheric pollutants and the composite Air Quality Index (AQI) represents a fundamental challenge in computational environmental science and municipal public health management. In Scientific Reports, Duan et al. (2023) proposed a multi-stage hybrid forecasting architecture combining an Autoregressive Integrated Moving Average (ARIMA) model, a one-dimensional Convolutional Neural Network (CNN), a Long Short-Term Memory (LSTM) network, and a nature-inspired meta-heuristic—the Dung Beetle Optimizer (DBO)—for hyperparameter selection. The authors reported exceptional predictive accuracy across four Chinese megacities (Beijing, Chengdu, Guangzhou, and Wuhan), citing coefficients of determination (R²) between 0.962 and 0.989 and Root Mean Squared Errors (RMSE) as low as 14.94.</w:t>
      </w:r>
    </w:p>
    <w:p>
      <w:pPr>
        <w:spacing w:before="0" w:after="100" w:line="276" w:lineRule="auto"/>
      </w:pPr>
      <w:r>
        <w:rPr>
          <w:rFonts w:ascii="Calibri" w:hAnsi="Calibri"/>
          <w:i w:val="0"/>
          <w:color w:val="2D3748"/>
          <w:sz w:val="20"/>
        </w:rPr>
        <w:t>This technical report provides a rigorous academic critique and a comprehensive empirical audit of Duan et al.'s methodology, contrasting the Base Model Implementation (author paper replication) against our Enhanced Audited Implementation (Phase 1 conceptual deconstruction and Phase 2 empirical enhancements). Using the identical 7-year multi-station dataset (2,528 daily observations per city, 2014–2020), we reconstruct the complete pipeline, complete the missing Exploratory Data Analysis (EDA) audit from Phase 1, eliminate look-ahead data leakage through a strict 3-way chronological split, benchmark against the omitted naive persistence heuristic (ŷ_t = x_{t-1}), and test statistical significance via Diebold–Mariano tests.</w:t>
      </w:r>
    </w:p>
    <w:p>
      <w:pPr>
        <w:spacing w:before="0" w:after="100" w:line="276" w:lineRule="auto"/>
      </w:pPr>
      <w:r>
        <w:rPr>
          <w:rFonts w:ascii="Calibri" w:hAnsi="Calibri"/>
          <w:i w:val="0"/>
          <w:color w:val="2D3748"/>
          <w:sz w:val="20"/>
        </w:rPr>
        <w:t>Our audit uncovers three major methodological findings: (1) The authors' reported R² ≈ 0.962 - 0.989 is an artifact of high variance in non-stationary annual trends; under honest leak-free evaluation, the audited hybrid achieves an R² of only 0.388. (2) Naive persistence achieves R² = 0.336 (RMSE = 37.47, MASE = 0.608). A Diebold–Mariano test yields p = 0.5316, proving that the &gt;110,000-parameter deep learning hybrid provides no statistically significant improvement over predicting yesterday's value. Furthermore, a simple 5-parameter classical ARIMA model statistically outperforms the complex hybrid (p = 0.0077). (3) On hazardous pollution days (AQI ≥ 200), the hybrid model's prediction error explodes to RMSE = 145.67, failing the primary operational objective of environmental health warning systems. We formulate and validate robust machine learning alternatives—specifically Gradient Boosted Decision Trees (GBDT) and Seasonal ARIMAX—that achieve parity or superiority at a fraction of the computational and environmental cost.</w:t>
      </w:r>
    </w:p>
    <w:tbl>
      <w:tblPr>
        <w:tblW w:type="auto" w:w="0"/>
        <w:jc w:val="center"/>
        <w:tblLayout w:type="fixed"/>
        <w:tblLook w:firstColumn="1" w:firstRow="1" w:lastColumn="0" w:lastRow="0" w:noHBand="0" w:noVBand="1" w:val="04A0"/>
      </w:tblPr>
      <w:tblGrid>
        <w:gridCol w:w="10080"/>
      </w:tblGrid>
      <w:tr>
        <w:tc>
          <w:tcPr>
            <w:tcW w:type="dxa" w:w="9792"/>
            <w:shd w:fill="F0F4F8"/>
            <w:tcMar>
              <w:top w:w="120" w:type="dxa"/>
              <w:bottom w:w="120" w:type="dxa"/>
              <w:left w:w="160" w:type="dxa"/>
              <w:right w:w="160" w:type="dxa"/>
            </w:tcMar>
            <w:tcBorders>
              <w:left w:val="single" w:sz="36" w:space="0" w:color="1B365D"/>
              <w:top w:val="none"/>
              <w:bottom w:val="none"/>
              <w:right w:val="none"/>
            </w:tcBorders>
          </w:tcPr>
          <w:p>
            <w:pPr>
              <w:spacing w:before="40" w:after="40"/>
            </w:pPr>
            <w:r>
              <w:rPr>
                <w:rFonts w:ascii="Arial" w:hAnsi="Arial"/>
                <w:b/>
                <w:color w:val="1B365D"/>
                <w:sz w:val="19"/>
              </w:rPr>
              <w:t xml:space="preserve">[KEY AUDIT DISCOVERY] </w:t>
            </w:r>
            <w:r>
              <w:rPr>
                <w:rFonts w:ascii="Arial" w:hAnsi="Arial"/>
                <w:i/>
                <w:color w:val="2D3748"/>
                <w:sz w:val="19"/>
              </w:rPr>
              <w:t>The audited ARIMA-DBO-CNN-LSTM model achieves R² = 0.388 under leak-free validation (vs. authors' claimed 0.962). A Diebold-Mariano test confirms that the complex hybrid is statistically indistinguishable from naive persistence (p = 0.5316) and statistically inferior to pure ARIMA (p = 0.0077).</w:t>
            </w:r>
          </w:p>
        </w:tc>
      </w:tr>
    </w:tbl>
    <w:p>
      <w:pPr>
        <w:spacing w:after="80"/>
      </w:pPr>
    </w:p>
    <w:p>
      <w:pPr>
        <w:keepNext/>
        <w:spacing w:before="320" w:after="100"/>
      </w:pPr>
      <w:r>
        <w:rPr>
          <w:rFonts w:ascii="Arial" w:hAnsi="Arial"/>
          <w:b/>
          <w:color w:val="1B365D"/>
          <w:sz w:val="26"/>
        </w:rPr>
        <w:t>1. Architectural Deconstruction: Base Model vs. Enhanced Framework</w:t>
      </w:r>
    </w:p>
    <w:p>
      <w:pPr>
        <w:spacing w:before="0" w:after="100" w:line="276" w:lineRule="auto"/>
      </w:pPr>
      <w:r>
        <w:rPr>
          <w:rFonts w:ascii="Calibri" w:hAnsi="Calibri"/>
          <w:i w:val="0"/>
          <w:color w:val="2D3748"/>
          <w:sz w:val="20"/>
        </w:rPr>
        <w:t>To provide a rigorous foundation for this technical review, we contrast the original Base Model proposed by Duan et al. (2023) against our Enhanced Audited Framework across all architectural, data processing, and validation dimensions.</w:t>
      </w:r>
    </w:p>
    <w:p>
      <w:pPr>
        <w:spacing w:before="160" w:after="40"/>
        <w:jc w:val="center"/>
      </w:pPr>
      <w:r>
        <w:drawing>
          <wp:inline xmlns:a="http://schemas.openxmlformats.org/drawingml/2006/main" xmlns:pic="http://schemas.openxmlformats.org/drawingml/2006/picture">
            <wp:extent cx="5669280" cy="3196104"/>
            <wp:docPr id="1" name="Picture 1"/>
            <wp:cNvGraphicFramePr>
              <a:graphicFrameLocks noChangeAspect="1"/>
            </wp:cNvGraphicFramePr>
            <a:graphic>
              <a:graphicData uri="http://schemas.openxmlformats.org/drawingml/2006/picture">
                <pic:pic>
                  <pic:nvPicPr>
                    <pic:cNvPr id="0" name="architecture_comparison_workflow.png"/>
                    <pic:cNvPicPr/>
                  </pic:nvPicPr>
                  <pic:blipFill>
                    <a:blip r:embed="rId9"/>
                    <a:stretch>
                      <a:fillRect/>
                    </a:stretch>
                  </pic:blipFill>
                  <pic:spPr>
                    <a:xfrm>
                      <a:off x="0" y="0"/>
                      <a:ext cx="5669280" cy="3196104"/>
                    </a:xfrm>
                    <a:prstGeom prst="rect"/>
                  </pic:spPr>
                </pic:pic>
              </a:graphicData>
            </a:graphic>
          </wp:inline>
        </w:drawing>
      </w:r>
    </w:p>
    <w:p>
      <w:pPr>
        <w:spacing w:after="160"/>
        <w:jc w:val="center"/>
      </w:pPr>
      <w:r>
        <w:rPr>
          <w:rFonts w:ascii="Arial" w:hAnsi="Arial"/>
          <w:i/>
          <w:color w:val="4A5568"/>
          <w:sz w:val="17"/>
        </w:rPr>
        <w:t>Figure 1: Architectural Workflow Comparison: Base Model (Duan et al., 2023) vs. Enhanced Audited Framework (Phase 2 &amp; 3).</w:t>
      </w:r>
    </w:p>
    <w:tbl>
      <w:tblPr>
        <w:tblW w:type="auto" w:w="0"/>
        <w:jc w:val="center"/>
        <w:tblLayout w:type="fixed"/>
        <w:tblLook w:firstColumn="1" w:firstRow="1" w:lastColumn="0" w:lastRow="0" w:noHBand="0" w:noVBand="1" w:val="04A0"/>
      </w:tblPr>
      <w:tblGrid>
        <w:gridCol w:w="2520"/>
        <w:gridCol w:w="2520"/>
        <w:gridCol w:w="2520"/>
        <w:gridCol w:w="2520"/>
      </w:tblGrid>
      <w:tr>
        <w:tc>
          <w:tcPr>
            <w:tcW w:type="dxa" w:w="2160"/>
            <w:vAlign w:val="center"/>
            <w:tcMar>
              <w:top w:w="50" w:type="dxa"/>
              <w:bottom w:w="50" w:type="dxa"/>
              <w:left w:w="60" w:type="dxa"/>
              <w:right w:w="60" w:type="dxa"/>
            </w:tcMar>
            <w:shd w:fill="1B365D"/>
          </w:tcPr>
          <w:p>
            <w:pPr>
              <w:spacing w:before="20" w:after="20"/>
              <w:jc w:val="center"/>
            </w:pPr>
            <w:r>
              <w:rPr>
                <w:rFonts w:ascii="Arial" w:hAnsi="Arial"/>
                <w:b/>
                <w:color w:val="FFFFFF"/>
                <w:sz w:val="16"/>
              </w:rPr>
              <w:t>Architectural Dimension</w:t>
            </w:r>
          </w:p>
        </w:tc>
        <w:tc>
          <w:tcPr>
            <w:tcW w:type="dxa" w:w="2592"/>
            <w:vAlign w:val="center"/>
            <w:tcMar>
              <w:top w:w="50" w:type="dxa"/>
              <w:bottom w:w="50" w:type="dxa"/>
              <w:left w:w="60" w:type="dxa"/>
              <w:right w:w="60" w:type="dxa"/>
            </w:tcMar>
            <w:shd w:fill="1B365D"/>
          </w:tcPr>
          <w:p>
            <w:pPr>
              <w:spacing w:before="20" w:after="20"/>
              <w:jc w:val="left"/>
            </w:pPr>
            <w:r>
              <w:rPr>
                <w:rFonts w:ascii="Arial" w:hAnsi="Arial"/>
                <w:b/>
                <w:color w:val="FFFFFF"/>
                <w:sz w:val="16"/>
              </w:rPr>
              <w:t>Base Model (Duan et al. 2023)</w:t>
            </w:r>
          </w:p>
        </w:tc>
        <w:tc>
          <w:tcPr>
            <w:tcW w:type="dxa" w:w="2736"/>
            <w:vAlign w:val="center"/>
            <w:tcMar>
              <w:top w:w="50" w:type="dxa"/>
              <w:bottom w:w="50" w:type="dxa"/>
              <w:left w:w="60" w:type="dxa"/>
              <w:right w:w="60" w:type="dxa"/>
            </w:tcMar>
            <w:shd w:fill="1B365D"/>
          </w:tcPr>
          <w:p>
            <w:pPr>
              <w:spacing w:before="20" w:after="20"/>
              <w:jc w:val="left"/>
            </w:pPr>
            <w:r>
              <w:rPr>
                <w:rFonts w:ascii="Arial" w:hAnsi="Arial"/>
                <w:b/>
                <w:color w:val="FFFFFF"/>
                <w:sz w:val="16"/>
              </w:rPr>
              <w:t>Enhanced Audited Framework (Phase 2 &amp; 3)</w:t>
            </w:r>
          </w:p>
        </w:tc>
        <w:tc>
          <w:tcPr>
            <w:tcW w:type="dxa" w:w="2304"/>
            <w:vAlign w:val="center"/>
            <w:tcMar>
              <w:top w:w="50" w:type="dxa"/>
              <w:bottom w:w="50" w:type="dxa"/>
              <w:left w:w="60" w:type="dxa"/>
              <w:right w:w="60" w:type="dxa"/>
            </w:tcMar>
            <w:shd w:fill="1B365D"/>
          </w:tcPr>
          <w:p>
            <w:pPr>
              <w:spacing w:before="20" w:after="20"/>
              <w:jc w:val="left"/>
            </w:pPr>
            <w:r>
              <w:rPr>
                <w:rFonts w:ascii="Arial" w:hAnsi="Arial"/>
                <w:b/>
                <w:color w:val="FFFFFF"/>
                <w:sz w:val="16"/>
              </w:rPr>
              <w:t>Academic Rationale</w:t>
            </w:r>
          </w:p>
        </w:tc>
      </w:tr>
      <w:tr>
        <w:tc>
          <w:tcPr>
            <w:tcW w:type="dxa" w:w="2160"/>
            <w:vAlign w:val="center"/>
            <w:tcMar>
              <w:top w:w="50" w:type="dxa"/>
              <w:bottom w:w="50" w:type="dxa"/>
              <w:left w:w="60" w:type="dxa"/>
              <w:right w:w="60" w:type="dxa"/>
            </w:tcMar>
            <w:shd w:fill="F7FAFC"/>
          </w:tcPr>
          <w:p>
            <w:pPr>
              <w:spacing w:before="20" w:after="20"/>
              <w:jc w:val="left"/>
            </w:pPr>
            <w:r>
              <w:rPr>
                <w:rFonts w:ascii="Arial" w:hAnsi="Arial"/>
                <w:color w:val="2D3748"/>
                <w:sz w:val="16"/>
              </w:rPr>
              <w:t>Code Implementation</w:t>
            </w:r>
          </w:p>
        </w:tc>
        <w:tc>
          <w:tcPr>
            <w:tcW w:type="dxa" w:w="2592"/>
            <w:vAlign w:val="center"/>
            <w:tcMar>
              <w:top w:w="50" w:type="dxa"/>
              <w:bottom w:w="50" w:type="dxa"/>
              <w:left w:w="60" w:type="dxa"/>
              <w:right w:w="60" w:type="dxa"/>
            </w:tcMar>
            <w:shd w:fill="F7FAFC"/>
          </w:tcPr>
          <w:p>
            <w:pPr>
              <w:spacing w:before="20" w:after="20"/>
              <w:jc w:val="left"/>
            </w:pPr>
            <w:r>
              <w:rPr>
                <w:rFonts w:ascii="Arial" w:hAnsi="Arial"/>
                <w:color w:val="2D3748"/>
                <w:sz w:val="16"/>
              </w:rPr>
              <w:t>notebooks/phase1_base_replication.ipynb &amp; main.py</w:t>
            </w:r>
          </w:p>
        </w:tc>
        <w:tc>
          <w:tcPr>
            <w:tcW w:type="dxa" w:w="2736"/>
            <w:vAlign w:val="center"/>
            <w:tcMar>
              <w:top w:w="50" w:type="dxa"/>
              <w:bottom w:w="50" w:type="dxa"/>
              <w:left w:w="60" w:type="dxa"/>
              <w:right w:w="60" w:type="dxa"/>
            </w:tcMar>
            <w:shd w:fill="F7FAFC"/>
          </w:tcPr>
          <w:p>
            <w:pPr>
              <w:spacing w:before="20" w:after="20"/>
              <w:jc w:val="left"/>
            </w:pPr>
            <w:r>
              <w:rPr>
                <w:rFonts w:ascii="Arial" w:hAnsi="Arial"/>
                <w:color w:val="2D3748"/>
                <w:sz w:val="16"/>
              </w:rPr>
              <w:t>notebooks/phase2_enhanced_study.ipynb &amp; run_phase2_experiments.py</w:t>
            </w:r>
          </w:p>
        </w:tc>
        <w:tc>
          <w:tcPr>
            <w:tcW w:type="dxa" w:w="2304"/>
            <w:vAlign w:val="center"/>
            <w:tcMar>
              <w:top w:w="50" w:type="dxa"/>
              <w:bottom w:w="50" w:type="dxa"/>
              <w:left w:w="60" w:type="dxa"/>
              <w:right w:w="60" w:type="dxa"/>
            </w:tcMar>
            <w:shd w:fill="F7FAFC"/>
          </w:tcPr>
          <w:p>
            <w:pPr>
              <w:spacing w:before="20" w:after="20"/>
              <w:jc w:val="left"/>
            </w:pPr>
            <w:r>
              <w:rPr>
                <w:rFonts w:ascii="Arial" w:hAnsi="Arial"/>
                <w:color w:val="2D3748"/>
                <w:sz w:val="16"/>
              </w:rPr>
              <w:t>Full code separation between replication and audit.</w:t>
            </w:r>
          </w:p>
        </w:tc>
      </w:tr>
      <w:tr>
        <w:tc>
          <w:tcPr>
            <w:tcW w:type="dxa" w:w="2160"/>
            <w:vAlign w:val="center"/>
            <w:tcMar>
              <w:top w:w="50" w:type="dxa"/>
              <w:bottom w:w="50" w:type="dxa"/>
              <w:left w:w="60" w:type="dxa"/>
              <w:right w:w="60" w:type="dxa"/>
            </w:tcMar>
            <w:shd w:fill="FFFFFF"/>
          </w:tcPr>
          <w:p>
            <w:pPr>
              <w:spacing w:before="20" w:after="20"/>
              <w:jc w:val="left"/>
            </w:pPr>
            <w:r>
              <w:rPr>
                <w:rFonts w:ascii="Arial" w:hAnsi="Arial"/>
                <w:color w:val="2D3748"/>
                <w:sz w:val="16"/>
              </w:rPr>
              <w:t>Data Partitioning</w:t>
            </w:r>
          </w:p>
        </w:tc>
        <w:tc>
          <w:tcPr>
            <w:tcW w:type="dxa" w:w="2592"/>
            <w:vAlign w:val="center"/>
            <w:tcMar>
              <w:top w:w="50" w:type="dxa"/>
              <w:bottom w:w="50" w:type="dxa"/>
              <w:left w:w="60" w:type="dxa"/>
              <w:right w:w="60" w:type="dxa"/>
            </w:tcMar>
            <w:shd w:fill="FFFFFF"/>
          </w:tcPr>
          <w:p>
            <w:pPr>
              <w:spacing w:before="20" w:after="20"/>
              <w:jc w:val="left"/>
            </w:pPr>
            <w:r>
              <w:rPr>
                <w:rFonts w:ascii="Arial" w:hAnsi="Arial"/>
                <w:color w:val="2D3748"/>
                <w:sz w:val="16"/>
              </w:rPr>
              <w:t>80% Train / 20% Test single chronological split</w:t>
            </w:r>
          </w:p>
        </w:tc>
        <w:tc>
          <w:tcPr>
            <w:tcW w:type="dxa" w:w="2736"/>
            <w:vAlign w:val="center"/>
            <w:tcMar>
              <w:top w:w="50" w:type="dxa"/>
              <w:bottom w:w="50" w:type="dxa"/>
              <w:left w:w="60" w:type="dxa"/>
              <w:right w:w="60" w:type="dxa"/>
            </w:tcMar>
            <w:shd w:fill="FFFFFF"/>
          </w:tcPr>
          <w:p>
            <w:pPr>
              <w:spacing w:before="20" w:after="20"/>
              <w:jc w:val="left"/>
            </w:pPr>
            <w:r>
              <w:rPr>
                <w:rFonts w:ascii="Arial" w:hAnsi="Arial"/>
                <w:color w:val="2D3748"/>
                <w:sz w:val="16"/>
              </w:rPr>
              <w:t>3-Way Chronological Split: 70% Train / 15% Val / 15% Test</w:t>
            </w:r>
          </w:p>
        </w:tc>
        <w:tc>
          <w:tcPr>
            <w:tcW w:type="dxa" w:w="2304"/>
            <w:vAlign w:val="center"/>
            <w:tcMar>
              <w:top w:w="50" w:type="dxa"/>
              <w:bottom w:w="50" w:type="dxa"/>
              <w:left w:w="60" w:type="dxa"/>
              <w:right w:w="60" w:type="dxa"/>
            </w:tcMar>
            <w:shd w:fill="FFFFFF"/>
          </w:tcPr>
          <w:p>
            <w:pPr>
              <w:spacing w:before="20" w:after="20"/>
              <w:jc w:val="left"/>
            </w:pPr>
            <w:r>
              <w:rPr>
                <w:rFonts w:ascii="Arial" w:hAnsi="Arial"/>
                <w:color w:val="2D3748"/>
                <w:sz w:val="16"/>
              </w:rPr>
              <w:t>Provides quarantined validation partition for DBO.</w:t>
            </w:r>
          </w:p>
        </w:tc>
      </w:tr>
      <w:tr>
        <w:tc>
          <w:tcPr>
            <w:tcW w:type="dxa" w:w="2160"/>
            <w:vAlign w:val="center"/>
            <w:tcMar>
              <w:top w:w="50" w:type="dxa"/>
              <w:bottom w:w="50" w:type="dxa"/>
              <w:left w:w="60" w:type="dxa"/>
              <w:right w:w="60" w:type="dxa"/>
            </w:tcMar>
            <w:shd w:fill="F7FAFC"/>
          </w:tcPr>
          <w:p>
            <w:pPr>
              <w:spacing w:before="20" w:after="20"/>
              <w:jc w:val="left"/>
            </w:pPr>
            <w:r>
              <w:rPr>
                <w:rFonts w:ascii="Arial" w:hAnsi="Arial"/>
                <w:color w:val="2D3748"/>
                <w:sz w:val="16"/>
              </w:rPr>
              <w:t>Feature Normalization</w:t>
            </w:r>
          </w:p>
        </w:tc>
        <w:tc>
          <w:tcPr>
            <w:tcW w:type="dxa" w:w="2592"/>
            <w:vAlign w:val="center"/>
            <w:tcMar>
              <w:top w:w="50" w:type="dxa"/>
              <w:bottom w:w="50" w:type="dxa"/>
              <w:left w:w="60" w:type="dxa"/>
              <w:right w:w="60" w:type="dxa"/>
            </w:tcMar>
            <w:shd w:fill="F7FAFC"/>
          </w:tcPr>
          <w:p>
            <w:pPr>
              <w:spacing w:before="20" w:after="20"/>
              <w:jc w:val="left"/>
            </w:pPr>
            <w:r>
              <w:rPr>
                <w:rFonts w:ascii="Arial" w:hAnsi="Arial"/>
                <w:color w:val="2D3748"/>
                <w:sz w:val="16"/>
              </w:rPr>
              <w:t>Global Min-Max scaling across all 7 years (2014-2020)</w:t>
            </w:r>
          </w:p>
        </w:tc>
        <w:tc>
          <w:tcPr>
            <w:tcW w:type="dxa" w:w="2736"/>
            <w:vAlign w:val="center"/>
            <w:tcMar>
              <w:top w:w="50" w:type="dxa"/>
              <w:bottom w:w="50" w:type="dxa"/>
              <w:left w:w="60" w:type="dxa"/>
              <w:right w:w="60" w:type="dxa"/>
            </w:tcMar>
            <w:shd w:fill="F7FAFC"/>
          </w:tcPr>
          <w:p>
            <w:pPr>
              <w:spacing w:before="20" w:after="20"/>
              <w:jc w:val="left"/>
            </w:pPr>
            <w:r>
              <w:rPr>
                <w:rFonts w:ascii="Arial" w:hAnsi="Arial"/>
                <w:color w:val="2D3748"/>
                <w:sz w:val="16"/>
              </w:rPr>
              <w:t>Strict Train-Only Normalization ([1, T_train])</w:t>
            </w:r>
          </w:p>
        </w:tc>
        <w:tc>
          <w:tcPr>
            <w:tcW w:type="dxa" w:w="2304"/>
            <w:vAlign w:val="center"/>
            <w:tcMar>
              <w:top w:w="50" w:type="dxa"/>
              <w:bottom w:w="50" w:type="dxa"/>
              <w:left w:w="60" w:type="dxa"/>
              <w:right w:w="60" w:type="dxa"/>
            </w:tcMar>
            <w:shd w:fill="F7FAFC"/>
          </w:tcPr>
          <w:p>
            <w:pPr>
              <w:spacing w:before="20" w:after="20"/>
              <w:jc w:val="left"/>
            </w:pPr>
            <w:r>
              <w:rPr>
                <w:rFonts w:ascii="Arial" w:hAnsi="Arial"/>
                <w:color w:val="2D3748"/>
                <w:sz w:val="16"/>
              </w:rPr>
              <w:t>Eliminates look-ahead leakage of future test bounds.</w:t>
            </w:r>
          </w:p>
        </w:tc>
      </w:tr>
      <w:tr>
        <w:tc>
          <w:tcPr>
            <w:tcW w:type="dxa" w:w="2160"/>
            <w:vAlign w:val="center"/>
            <w:tcMar>
              <w:top w:w="50" w:type="dxa"/>
              <w:bottom w:w="50" w:type="dxa"/>
              <w:left w:w="60" w:type="dxa"/>
              <w:right w:w="60" w:type="dxa"/>
            </w:tcMar>
            <w:shd w:fill="FFFFFF"/>
          </w:tcPr>
          <w:p>
            <w:pPr>
              <w:spacing w:before="20" w:after="20"/>
              <w:jc w:val="left"/>
            </w:pPr>
            <w:r>
              <w:rPr>
                <w:rFonts w:ascii="Arial" w:hAnsi="Arial"/>
                <w:color w:val="2D3748"/>
                <w:sz w:val="16"/>
              </w:rPr>
              <w:t>ARIMA Order Selection</w:t>
            </w:r>
          </w:p>
        </w:tc>
        <w:tc>
          <w:tcPr>
            <w:tcW w:type="dxa" w:w="2592"/>
            <w:vAlign w:val="center"/>
            <w:tcMar>
              <w:top w:w="50" w:type="dxa"/>
              <w:bottom w:w="50" w:type="dxa"/>
              <w:left w:w="60" w:type="dxa"/>
              <w:right w:w="60" w:type="dxa"/>
            </w:tcMar>
            <w:shd w:fill="FFFFFF"/>
          </w:tcPr>
          <w:p>
            <w:pPr>
              <w:spacing w:before="20" w:after="20"/>
              <w:jc w:val="left"/>
            </w:pPr>
            <w:r>
              <w:rPr>
                <w:rFonts w:ascii="Arial" w:hAnsi="Arial"/>
                <w:color w:val="2D3748"/>
                <w:sz w:val="16"/>
              </w:rPr>
              <w:t>Fixed orders from Table 1: Beijing (3,1,1), etc.</w:t>
            </w:r>
          </w:p>
        </w:tc>
        <w:tc>
          <w:tcPr>
            <w:tcW w:type="dxa" w:w="2736"/>
            <w:vAlign w:val="center"/>
            <w:tcMar>
              <w:top w:w="50" w:type="dxa"/>
              <w:bottom w:w="50" w:type="dxa"/>
              <w:left w:w="60" w:type="dxa"/>
              <w:right w:w="60" w:type="dxa"/>
            </w:tcMar>
            <w:shd w:fill="FFFFFF"/>
          </w:tcPr>
          <w:p>
            <w:pPr>
              <w:spacing w:before="20" w:after="20"/>
              <w:jc w:val="left"/>
            </w:pPr>
            <w:r>
              <w:rPr>
                <w:rFonts w:ascii="Arial" w:hAnsi="Arial"/>
                <w:color w:val="2D3748"/>
                <w:sz w:val="16"/>
              </w:rPr>
              <w:t>Grid-search BIC verification + Seasonal SARIMA</w:t>
            </w:r>
          </w:p>
        </w:tc>
        <w:tc>
          <w:tcPr>
            <w:tcW w:type="dxa" w:w="2304"/>
            <w:vAlign w:val="center"/>
            <w:tcMar>
              <w:top w:w="50" w:type="dxa"/>
              <w:bottom w:w="50" w:type="dxa"/>
              <w:left w:w="60" w:type="dxa"/>
              <w:right w:w="60" w:type="dxa"/>
            </w:tcMar>
            <w:shd w:fill="FFFFFF"/>
          </w:tcPr>
          <w:p>
            <w:pPr>
              <w:spacing w:before="20" w:after="20"/>
              <w:jc w:val="left"/>
            </w:pPr>
            <w:r>
              <w:rPr>
                <w:rFonts w:ascii="Arial" w:hAnsi="Arial"/>
                <w:color w:val="2D3748"/>
                <w:sz w:val="16"/>
              </w:rPr>
              <w:t>Audits linear assumptions &amp; annual seasonality (s=365).</w:t>
            </w:r>
          </w:p>
        </w:tc>
      </w:tr>
      <w:tr>
        <w:tc>
          <w:tcPr>
            <w:tcW w:type="dxa" w:w="2160"/>
            <w:vAlign w:val="center"/>
            <w:tcMar>
              <w:top w:w="50" w:type="dxa"/>
              <w:bottom w:w="50" w:type="dxa"/>
              <w:left w:w="60" w:type="dxa"/>
              <w:right w:w="60" w:type="dxa"/>
            </w:tcMar>
            <w:shd w:fill="F7FAFC"/>
          </w:tcPr>
          <w:p>
            <w:pPr>
              <w:spacing w:before="20" w:after="20"/>
              <w:jc w:val="left"/>
            </w:pPr>
            <w:r>
              <w:rPr>
                <w:rFonts w:ascii="Arial" w:hAnsi="Arial"/>
                <w:color w:val="2D3748"/>
                <w:sz w:val="16"/>
              </w:rPr>
              <w:t>DBO Fitness Scoring</w:t>
            </w:r>
          </w:p>
        </w:tc>
        <w:tc>
          <w:tcPr>
            <w:tcW w:type="dxa" w:w="2592"/>
            <w:vAlign w:val="center"/>
            <w:tcMar>
              <w:top w:w="50" w:type="dxa"/>
              <w:bottom w:w="50" w:type="dxa"/>
              <w:left w:w="60" w:type="dxa"/>
              <w:right w:w="60" w:type="dxa"/>
            </w:tcMar>
            <w:shd w:fill="F7FAFC"/>
          </w:tcPr>
          <w:p>
            <w:pPr>
              <w:spacing w:before="20" w:after="20"/>
              <w:jc w:val="left"/>
            </w:pPr>
            <w:r>
              <w:rPr>
                <w:rFonts w:ascii="Arial" w:hAnsi="Arial"/>
                <w:color w:val="2D3748"/>
                <w:sz w:val="16"/>
              </w:rPr>
              <w:t>Swarm evaluated directly on 20% test partition</w:t>
            </w:r>
          </w:p>
        </w:tc>
        <w:tc>
          <w:tcPr>
            <w:tcW w:type="dxa" w:w="2736"/>
            <w:vAlign w:val="center"/>
            <w:tcMar>
              <w:top w:w="50" w:type="dxa"/>
              <w:bottom w:w="50" w:type="dxa"/>
              <w:left w:w="60" w:type="dxa"/>
              <w:right w:w="60" w:type="dxa"/>
            </w:tcMar>
            <w:shd w:fill="F7FAFC"/>
          </w:tcPr>
          <w:p>
            <w:pPr>
              <w:spacing w:before="20" w:after="20"/>
              <w:jc w:val="left"/>
            </w:pPr>
            <w:r>
              <w:rPr>
                <w:rFonts w:ascii="Arial" w:hAnsi="Arial"/>
                <w:color w:val="2D3748"/>
                <w:sz w:val="16"/>
              </w:rPr>
              <w:t>Swarm evaluated strictly on 15% validation partition</w:t>
            </w:r>
          </w:p>
        </w:tc>
        <w:tc>
          <w:tcPr>
            <w:tcW w:type="dxa" w:w="2304"/>
            <w:vAlign w:val="center"/>
            <w:tcMar>
              <w:top w:w="50" w:type="dxa"/>
              <w:bottom w:w="50" w:type="dxa"/>
              <w:left w:w="60" w:type="dxa"/>
              <w:right w:w="60" w:type="dxa"/>
            </w:tcMar>
            <w:shd w:fill="F7FAFC"/>
          </w:tcPr>
          <w:p>
            <w:pPr>
              <w:spacing w:before="20" w:after="20"/>
              <w:jc w:val="left"/>
            </w:pPr>
            <w:r>
              <w:rPr>
                <w:rFonts w:ascii="Arial" w:hAnsi="Arial"/>
                <w:color w:val="2D3748"/>
                <w:sz w:val="16"/>
              </w:rPr>
              <w:t>Prevents hyperparameter memorization of test anomalies.</w:t>
            </w:r>
          </w:p>
        </w:tc>
      </w:tr>
      <w:tr>
        <w:tc>
          <w:tcPr>
            <w:tcW w:type="dxa" w:w="2160"/>
            <w:vAlign w:val="center"/>
            <w:tcMar>
              <w:top w:w="50" w:type="dxa"/>
              <w:bottom w:w="50" w:type="dxa"/>
              <w:left w:w="60" w:type="dxa"/>
              <w:right w:w="60" w:type="dxa"/>
            </w:tcMar>
            <w:shd w:fill="FFFFFF"/>
          </w:tcPr>
          <w:p>
            <w:pPr>
              <w:spacing w:before="20" w:after="20"/>
              <w:jc w:val="left"/>
            </w:pPr>
            <w:r>
              <w:rPr>
                <w:rFonts w:ascii="Arial" w:hAnsi="Arial"/>
                <w:color w:val="2D3748"/>
                <w:sz w:val="16"/>
              </w:rPr>
              <w:t>Benchmark Portfolio</w:t>
            </w:r>
          </w:p>
        </w:tc>
        <w:tc>
          <w:tcPr>
            <w:tcW w:type="dxa" w:w="2592"/>
            <w:vAlign w:val="center"/>
            <w:tcMar>
              <w:top w:w="50" w:type="dxa"/>
              <w:bottom w:w="50" w:type="dxa"/>
              <w:left w:w="60" w:type="dxa"/>
              <w:right w:w="60" w:type="dxa"/>
            </w:tcMar>
            <w:shd w:fill="FFFFFF"/>
          </w:tcPr>
          <w:p>
            <w:pPr>
              <w:spacing w:before="20" w:after="20"/>
              <w:jc w:val="left"/>
            </w:pPr>
            <w:r>
              <w:rPr>
                <w:rFonts w:ascii="Arial" w:hAnsi="Arial"/>
                <w:color w:val="2D3748"/>
                <w:sz w:val="16"/>
              </w:rPr>
              <w:t>Linear SVM, Random Forest, Standalone LSTM</w:t>
            </w:r>
          </w:p>
        </w:tc>
        <w:tc>
          <w:tcPr>
            <w:tcW w:type="dxa" w:w="2736"/>
            <w:vAlign w:val="center"/>
            <w:tcMar>
              <w:top w:w="50" w:type="dxa"/>
              <w:bottom w:w="50" w:type="dxa"/>
              <w:left w:w="60" w:type="dxa"/>
              <w:right w:w="60" w:type="dxa"/>
            </w:tcMar>
            <w:shd w:fill="FFFFFF"/>
          </w:tcPr>
          <w:p>
            <w:pPr>
              <w:spacing w:before="20" w:after="20"/>
              <w:jc w:val="left"/>
            </w:pPr>
            <w:r>
              <w:rPr>
                <w:rFonts w:ascii="Arial" w:hAnsi="Arial"/>
                <w:color w:val="2D3748"/>
                <w:sz w:val="16"/>
              </w:rPr>
              <w:t>+ Naive Persistence (ŷ_t = x_{t-1})</w:t>
              <w:br/>
              <w:t>+ Gradient Boosted Trees (GBDT)</w:t>
            </w:r>
          </w:p>
        </w:tc>
        <w:tc>
          <w:tcPr>
            <w:tcW w:type="dxa" w:w="2304"/>
            <w:vAlign w:val="center"/>
            <w:tcMar>
              <w:top w:w="50" w:type="dxa"/>
              <w:bottom w:w="50" w:type="dxa"/>
              <w:left w:w="60" w:type="dxa"/>
              <w:right w:w="60" w:type="dxa"/>
            </w:tcMar>
            <w:shd w:fill="FFFFFF"/>
          </w:tcPr>
          <w:p>
            <w:pPr>
              <w:spacing w:before="20" w:after="20"/>
              <w:jc w:val="left"/>
            </w:pPr>
            <w:r>
              <w:rPr>
                <w:rFonts w:ascii="Arial" w:hAnsi="Arial"/>
                <w:color w:val="2D3748"/>
                <w:sz w:val="16"/>
              </w:rPr>
              <w:t>Verifies whether deep models beat zero-cost inertia.</w:t>
            </w:r>
          </w:p>
        </w:tc>
      </w:tr>
      <w:tr>
        <w:tc>
          <w:tcPr>
            <w:tcW w:type="dxa" w:w="2160"/>
            <w:vAlign w:val="center"/>
            <w:tcMar>
              <w:top w:w="50" w:type="dxa"/>
              <w:bottom w:w="50" w:type="dxa"/>
              <w:left w:w="60" w:type="dxa"/>
              <w:right w:w="60" w:type="dxa"/>
            </w:tcMar>
            <w:shd w:fill="F7FAFC"/>
          </w:tcPr>
          <w:p>
            <w:pPr>
              <w:spacing w:before="20" w:after="20"/>
              <w:jc w:val="left"/>
            </w:pPr>
            <w:r>
              <w:rPr>
                <w:rFonts w:ascii="Arial" w:hAnsi="Arial"/>
                <w:color w:val="2D3748"/>
                <w:sz w:val="16"/>
              </w:rPr>
              <w:t>Evaluation Metrics</w:t>
            </w:r>
          </w:p>
        </w:tc>
        <w:tc>
          <w:tcPr>
            <w:tcW w:type="dxa" w:w="2592"/>
            <w:vAlign w:val="center"/>
            <w:tcMar>
              <w:top w:w="50" w:type="dxa"/>
              <w:bottom w:w="50" w:type="dxa"/>
              <w:left w:w="60" w:type="dxa"/>
              <w:right w:w="60" w:type="dxa"/>
            </w:tcMar>
            <w:shd w:fill="F7FAFC"/>
          </w:tcPr>
          <w:p>
            <w:pPr>
              <w:spacing w:before="20" w:after="20"/>
              <w:jc w:val="left"/>
            </w:pPr>
            <w:r>
              <w:rPr>
                <w:rFonts w:ascii="Arial" w:hAnsi="Arial"/>
                <w:color w:val="2D3748"/>
                <w:sz w:val="16"/>
              </w:rPr>
              <w:t>Scale-dependent metrics: RMSE, MAE, R²</w:t>
            </w:r>
          </w:p>
        </w:tc>
        <w:tc>
          <w:tcPr>
            <w:tcW w:type="dxa" w:w="2736"/>
            <w:vAlign w:val="center"/>
            <w:tcMar>
              <w:top w:w="50" w:type="dxa"/>
              <w:bottom w:w="50" w:type="dxa"/>
              <w:left w:w="60" w:type="dxa"/>
              <w:right w:w="60" w:type="dxa"/>
            </w:tcMar>
            <w:shd w:fill="F7FAFC"/>
          </w:tcPr>
          <w:p>
            <w:pPr>
              <w:spacing w:before="20" w:after="20"/>
              <w:jc w:val="left"/>
            </w:pPr>
            <w:r>
              <w:rPr>
                <w:rFonts w:ascii="Arial" w:hAnsi="Arial"/>
                <w:color w:val="2D3748"/>
                <w:sz w:val="16"/>
              </w:rPr>
              <w:t>+ Scale-Free MASE &amp; MAPE</w:t>
              <w:br/>
              <w:t>+ Diebold–Mariano Hypothesis Tests</w:t>
            </w:r>
          </w:p>
        </w:tc>
        <w:tc>
          <w:tcPr>
            <w:tcW w:type="dxa" w:w="2304"/>
            <w:vAlign w:val="center"/>
            <w:tcMar>
              <w:top w:w="50" w:type="dxa"/>
              <w:bottom w:w="50" w:type="dxa"/>
              <w:left w:w="60" w:type="dxa"/>
              <w:right w:w="60" w:type="dxa"/>
            </w:tcMar>
            <w:shd w:fill="F7FAFC"/>
          </w:tcPr>
          <w:p>
            <w:pPr>
              <w:spacing w:before="20" w:after="20"/>
              <w:jc w:val="left"/>
            </w:pPr>
            <w:r>
              <w:rPr>
                <w:rFonts w:ascii="Arial" w:hAnsi="Arial"/>
                <w:color w:val="2D3748"/>
                <w:sz w:val="16"/>
              </w:rPr>
              <w:t>Assesses statistical significance (p &lt; 0.05).</w:t>
            </w:r>
          </w:p>
        </w:tc>
      </w:tr>
      <w:tr>
        <w:tc>
          <w:tcPr>
            <w:tcW w:type="dxa" w:w="2160"/>
            <w:vAlign w:val="center"/>
            <w:tcMar>
              <w:top w:w="50" w:type="dxa"/>
              <w:bottom w:w="50" w:type="dxa"/>
              <w:left w:w="60" w:type="dxa"/>
              <w:right w:w="60" w:type="dxa"/>
            </w:tcMar>
            <w:shd w:fill="FFFFFF"/>
          </w:tcPr>
          <w:p>
            <w:pPr>
              <w:spacing w:before="20" w:after="20"/>
              <w:jc w:val="left"/>
            </w:pPr>
            <w:r>
              <w:rPr>
                <w:rFonts w:ascii="Arial" w:hAnsi="Arial"/>
                <w:color w:val="2D3748"/>
                <w:sz w:val="16"/>
              </w:rPr>
              <w:t>Risk Stratification</w:t>
            </w:r>
          </w:p>
        </w:tc>
        <w:tc>
          <w:tcPr>
            <w:tcW w:type="dxa" w:w="2592"/>
            <w:vAlign w:val="center"/>
            <w:tcMar>
              <w:top w:w="50" w:type="dxa"/>
              <w:bottom w:w="50" w:type="dxa"/>
              <w:left w:w="60" w:type="dxa"/>
              <w:right w:w="60" w:type="dxa"/>
            </w:tcMar>
            <w:shd w:fill="FFFFFF"/>
          </w:tcPr>
          <w:p>
            <w:pPr>
              <w:spacing w:before="20" w:after="20"/>
              <w:jc w:val="left"/>
            </w:pPr>
            <w:r>
              <w:rPr>
                <w:rFonts w:ascii="Arial" w:hAnsi="Arial"/>
                <w:color w:val="2D3748"/>
                <w:sz w:val="16"/>
              </w:rPr>
              <w:t>Aggregate test set average only</w:t>
            </w:r>
          </w:p>
        </w:tc>
        <w:tc>
          <w:tcPr>
            <w:tcW w:type="dxa" w:w="2736"/>
            <w:vAlign w:val="center"/>
            <w:tcMar>
              <w:top w:w="50" w:type="dxa"/>
              <w:bottom w:w="50" w:type="dxa"/>
              <w:left w:w="60" w:type="dxa"/>
              <w:right w:w="60" w:type="dxa"/>
            </w:tcMar>
            <w:shd w:fill="FFFFFF"/>
          </w:tcPr>
          <w:p>
            <w:pPr>
              <w:spacing w:before="20" w:after="20"/>
              <w:jc w:val="left"/>
            </w:pPr>
            <w:r>
              <w:rPr>
                <w:rFonts w:ascii="Arial" w:hAnsi="Arial"/>
                <w:color w:val="2D3748"/>
                <w:sz w:val="16"/>
              </w:rPr>
              <w:t>Stratified Peak Analysis (AQI ≥ 100, 150, 200)</w:t>
            </w:r>
          </w:p>
        </w:tc>
        <w:tc>
          <w:tcPr>
            <w:tcW w:type="dxa" w:w="2304"/>
            <w:vAlign w:val="center"/>
            <w:tcMar>
              <w:top w:w="50" w:type="dxa"/>
              <w:bottom w:w="50" w:type="dxa"/>
              <w:left w:w="60" w:type="dxa"/>
              <w:right w:w="60" w:type="dxa"/>
            </w:tcMar>
            <w:shd w:fill="FFFFFF"/>
          </w:tcPr>
          <w:p>
            <w:pPr>
              <w:spacing w:before="20" w:after="20"/>
              <w:jc w:val="left"/>
            </w:pPr>
            <w:r>
              <w:rPr>
                <w:rFonts w:ascii="Arial" w:hAnsi="Arial"/>
                <w:color w:val="2D3748"/>
                <w:sz w:val="16"/>
              </w:rPr>
              <w:t>Audits public health reliability during severe pollution.</w:t>
            </w:r>
          </w:p>
        </w:tc>
      </w:tr>
      <w:tr>
        <w:tc>
          <w:tcPr>
            <w:tcW w:type="dxa" w:w="2160"/>
            <w:vAlign w:val="center"/>
            <w:tcMar>
              <w:top w:w="50" w:type="dxa"/>
              <w:bottom w:w="50" w:type="dxa"/>
              <w:left w:w="60" w:type="dxa"/>
              <w:right w:w="60" w:type="dxa"/>
            </w:tcMar>
            <w:shd w:fill="F7FAFC"/>
          </w:tcPr>
          <w:p>
            <w:pPr>
              <w:spacing w:before="20" w:after="20"/>
              <w:jc w:val="left"/>
            </w:pPr>
            <w:r>
              <w:rPr>
                <w:rFonts w:ascii="Arial" w:hAnsi="Arial"/>
                <w:color w:val="2D3748"/>
                <w:sz w:val="16"/>
              </w:rPr>
              <w:t>Stress-Testing</w:t>
            </w:r>
          </w:p>
        </w:tc>
        <w:tc>
          <w:tcPr>
            <w:tcW w:type="dxa" w:w="2592"/>
            <w:vAlign w:val="center"/>
            <w:tcMar>
              <w:top w:w="50" w:type="dxa"/>
              <w:bottom w:w="50" w:type="dxa"/>
              <w:left w:w="60" w:type="dxa"/>
              <w:right w:w="60" w:type="dxa"/>
            </w:tcMar>
            <w:shd w:fill="F7FAFC"/>
          </w:tcPr>
          <w:p>
            <w:pPr>
              <w:spacing w:before="20" w:after="20"/>
              <w:jc w:val="left"/>
            </w:pPr>
            <w:r>
              <w:rPr>
                <w:rFonts w:ascii="Arial" w:hAnsi="Arial"/>
                <w:color w:val="2D3748"/>
                <w:sz w:val="16"/>
              </w:rPr>
              <w:t>None (nominal clean data only)</w:t>
            </w:r>
          </w:p>
        </w:tc>
        <w:tc>
          <w:tcPr>
            <w:tcW w:type="dxa" w:w="2736"/>
            <w:vAlign w:val="center"/>
            <w:tcMar>
              <w:top w:w="50" w:type="dxa"/>
              <w:bottom w:w="50" w:type="dxa"/>
              <w:left w:w="60" w:type="dxa"/>
              <w:right w:w="60" w:type="dxa"/>
            </w:tcMar>
            <w:shd w:fill="F7FAFC"/>
          </w:tcPr>
          <w:p>
            <w:pPr>
              <w:spacing w:before="20" w:after="20"/>
              <w:jc w:val="left"/>
            </w:pPr>
            <w:r>
              <w:rPr>
                <w:rFonts w:ascii="Arial" w:hAnsi="Arial"/>
                <w:color w:val="2D3748"/>
                <w:sz w:val="16"/>
              </w:rPr>
              <w:t>Sensor jitter injection (σ ∈ {0.05, 0.1, 0.2}) &amp; 16 features</w:t>
            </w:r>
          </w:p>
        </w:tc>
        <w:tc>
          <w:tcPr>
            <w:tcW w:type="dxa" w:w="2304"/>
            <w:vAlign w:val="center"/>
            <w:tcMar>
              <w:top w:w="50" w:type="dxa"/>
              <w:bottom w:w="50" w:type="dxa"/>
              <w:left w:w="60" w:type="dxa"/>
              <w:right w:w="60" w:type="dxa"/>
            </w:tcMar>
            <w:shd w:fill="F7FAFC"/>
          </w:tcPr>
          <w:p>
            <w:pPr>
              <w:spacing w:before="20" w:after="20"/>
              <w:jc w:val="left"/>
            </w:pPr>
            <w:r>
              <w:rPr>
                <w:rFonts w:ascii="Arial" w:hAnsi="Arial"/>
                <w:color w:val="2D3748"/>
                <w:sz w:val="16"/>
              </w:rPr>
              <w:t>Evaluates operational degradation under sensor drift.</w:t>
            </w:r>
          </w:p>
        </w:tc>
      </w:tr>
    </w:tbl>
    <w:p>
      <w:pPr>
        <w:spacing w:after="160"/>
      </w:pPr>
    </w:p>
    <w:p>
      <w:pPr>
        <w:keepNext/>
        <w:spacing w:before="320" w:after="100"/>
      </w:pPr>
      <w:r>
        <w:rPr>
          <w:rFonts w:ascii="Arial" w:hAnsi="Arial"/>
          <w:b/>
          <w:color w:val="1B365D"/>
          <w:sz w:val="26"/>
        </w:rPr>
        <w:t>2. Dataset Synthesis &amp; Exploratory Data Analysis (EDA) Audit</w:t>
      </w:r>
    </w:p>
    <w:p>
      <w:pPr>
        <w:spacing w:before="0" w:after="100" w:line="276" w:lineRule="auto"/>
      </w:pPr>
      <w:r>
        <w:rPr>
          <w:rFonts w:ascii="Calibri" w:hAnsi="Calibri"/>
          <w:i w:val="0"/>
          <w:color w:val="2D3748"/>
          <w:sz w:val="20"/>
        </w:rPr>
        <w:t>Table 2 presents the completed descriptive and diagnostic statistical audit across all four metropolitan centers, filling in the missing empirical table from Page 10 of the student's Phase 1 report.</w:t>
      </w:r>
    </w:p>
    <w:p>
      <w:pPr>
        <w:spacing w:before="160" w:after="40"/>
        <w:jc w:val="center"/>
      </w:pPr>
      <w:r>
        <w:drawing>
          <wp:inline xmlns:a="http://schemas.openxmlformats.org/drawingml/2006/main" xmlns:pic="http://schemas.openxmlformats.org/drawingml/2006/picture">
            <wp:extent cx="5669280" cy="6479177"/>
            <wp:docPr id="2" name="Picture 2"/>
            <wp:cNvGraphicFramePr>
              <a:graphicFrameLocks noChangeAspect="1"/>
            </wp:cNvGraphicFramePr>
            <a:graphic>
              <a:graphicData uri="http://schemas.openxmlformats.org/drawingml/2006/picture">
                <pic:pic>
                  <pic:nvPicPr>
                    <pic:cNvPr id="0" name="fig5_raw_aqi.png"/>
                    <pic:cNvPicPr/>
                  </pic:nvPicPr>
                  <pic:blipFill>
                    <a:blip r:embed="rId10"/>
                    <a:stretch>
                      <a:fillRect/>
                    </a:stretch>
                  </pic:blipFill>
                  <pic:spPr>
                    <a:xfrm>
                      <a:off x="0" y="0"/>
                      <a:ext cx="5669280" cy="6479177"/>
                    </a:xfrm>
                    <a:prstGeom prst="rect"/>
                  </pic:spPr>
                </pic:pic>
              </a:graphicData>
            </a:graphic>
          </wp:inline>
        </w:drawing>
      </w:r>
    </w:p>
    <w:p>
      <w:pPr>
        <w:spacing w:after="160"/>
        <w:jc w:val="center"/>
      </w:pPr>
      <w:r>
        <w:rPr>
          <w:rFonts w:ascii="Arial" w:hAnsi="Arial"/>
          <w:i/>
          <w:color w:val="4A5568"/>
          <w:sz w:val="17"/>
        </w:rPr>
        <w:t>Figure 2: Daily Air Quality Index (AQI) Trends (2014–2020) across Beijing, Chengdu, Guangzhou, and Wuhan (Replication of Paper Figure 5).</w:t>
      </w:r>
    </w:p>
    <w:tbl>
      <w:tblPr>
        <w:tblW w:type="auto" w:w="0"/>
        <w:jc w:val="center"/>
        <w:tblLayout w:type="fixed"/>
        <w:tblLook w:firstColumn="1" w:firstRow="1" w:lastColumn="0" w:lastRow="0" w:noHBand="0" w:noVBand="1" w:val="04A0"/>
      </w:tblPr>
      <w:tblGrid>
        <w:gridCol w:w="840"/>
        <w:gridCol w:w="840"/>
        <w:gridCol w:w="840"/>
        <w:gridCol w:w="840"/>
        <w:gridCol w:w="840"/>
        <w:gridCol w:w="840"/>
        <w:gridCol w:w="840"/>
        <w:gridCol w:w="840"/>
        <w:gridCol w:w="840"/>
        <w:gridCol w:w="840"/>
        <w:gridCol w:w="840"/>
        <w:gridCol w:w="840"/>
      </w:tblGrid>
      <w:tr>
        <w:tc>
          <w:tcPr>
            <w:tcW w:type="dxa" w:w="1152"/>
            <w:vAlign w:val="center"/>
            <w:tcMar>
              <w:top w:w="50" w:type="dxa"/>
              <w:bottom w:w="50" w:type="dxa"/>
              <w:left w:w="40" w:type="dxa"/>
              <w:right w:w="40" w:type="dxa"/>
            </w:tcMar>
            <w:shd w:fill="1B365D"/>
          </w:tcPr>
          <w:p>
            <w:pPr>
              <w:spacing w:before="20" w:after="20"/>
              <w:jc w:val="left"/>
            </w:pPr>
            <w:r>
              <w:rPr>
                <w:rFonts w:ascii="Arial" w:hAnsi="Arial"/>
                <w:b/>
                <w:color w:val="FFFFFF"/>
                <w:sz w:val="15"/>
              </w:rPr>
              <w:t>City</w:t>
            </w:r>
          </w:p>
        </w:tc>
        <w:tc>
          <w:tcPr>
            <w:tcW w:type="dxa" w:w="720"/>
            <w:vAlign w:val="center"/>
            <w:tcMar>
              <w:top w:w="50" w:type="dxa"/>
              <w:bottom w:w="50" w:type="dxa"/>
              <w:left w:w="40" w:type="dxa"/>
              <w:right w:w="40" w:type="dxa"/>
            </w:tcMar>
            <w:shd w:fill="1B365D"/>
          </w:tcPr>
          <w:p>
            <w:pPr>
              <w:spacing w:before="20" w:after="20"/>
              <w:jc w:val="center"/>
            </w:pPr>
            <w:r>
              <w:rPr>
                <w:rFonts w:ascii="Arial" w:hAnsi="Arial"/>
                <w:b/>
                <w:color w:val="FFFFFF"/>
                <w:sz w:val="15"/>
              </w:rPr>
              <w:t>Count</w:t>
            </w:r>
          </w:p>
        </w:tc>
        <w:tc>
          <w:tcPr>
            <w:tcW w:type="dxa" w:w="720"/>
            <w:vAlign w:val="center"/>
            <w:tcMar>
              <w:top w:w="50" w:type="dxa"/>
              <w:bottom w:w="50" w:type="dxa"/>
              <w:left w:w="40" w:type="dxa"/>
              <w:right w:w="40" w:type="dxa"/>
            </w:tcMar>
            <w:shd w:fill="1B365D"/>
          </w:tcPr>
          <w:p>
            <w:pPr>
              <w:spacing w:before="20" w:after="20"/>
              <w:jc w:val="center"/>
            </w:pPr>
            <w:r>
              <w:rPr>
                <w:rFonts w:ascii="Arial" w:hAnsi="Arial"/>
                <w:b/>
                <w:color w:val="FFFFFF"/>
                <w:sz w:val="15"/>
              </w:rPr>
              <w:t>Mean</w:t>
            </w:r>
          </w:p>
        </w:tc>
        <w:tc>
          <w:tcPr>
            <w:tcW w:type="dxa" w:w="720"/>
            <w:vAlign w:val="center"/>
            <w:tcMar>
              <w:top w:w="50" w:type="dxa"/>
              <w:bottom w:w="50" w:type="dxa"/>
              <w:left w:w="40" w:type="dxa"/>
              <w:right w:w="40" w:type="dxa"/>
            </w:tcMar>
            <w:shd w:fill="1B365D"/>
          </w:tcPr>
          <w:p>
            <w:pPr>
              <w:spacing w:before="20" w:after="20"/>
              <w:jc w:val="center"/>
            </w:pPr>
            <w:r>
              <w:rPr>
                <w:rFonts w:ascii="Arial" w:hAnsi="Arial"/>
                <w:b/>
                <w:color w:val="FFFFFF"/>
                <w:sz w:val="15"/>
              </w:rPr>
              <w:t>Median</w:t>
            </w:r>
          </w:p>
        </w:tc>
        <w:tc>
          <w:tcPr>
            <w:tcW w:type="dxa" w:w="936"/>
            <w:vAlign w:val="center"/>
            <w:tcMar>
              <w:top w:w="50" w:type="dxa"/>
              <w:bottom w:w="50" w:type="dxa"/>
              <w:left w:w="40" w:type="dxa"/>
              <w:right w:w="40" w:type="dxa"/>
            </w:tcMar>
            <w:shd w:fill="1B365D"/>
          </w:tcPr>
          <w:p>
            <w:pPr>
              <w:spacing w:before="20" w:after="20"/>
              <w:jc w:val="center"/>
            </w:pPr>
            <w:r>
              <w:rPr>
                <w:rFonts w:ascii="Arial" w:hAnsi="Arial"/>
                <w:b/>
                <w:color w:val="FFFFFF"/>
                <w:sz w:val="15"/>
              </w:rPr>
              <w:t>Variance</w:t>
            </w:r>
          </w:p>
        </w:tc>
        <w:tc>
          <w:tcPr>
            <w:tcW w:type="dxa" w:w="720"/>
            <w:vAlign w:val="center"/>
            <w:tcMar>
              <w:top w:w="50" w:type="dxa"/>
              <w:bottom w:w="50" w:type="dxa"/>
              <w:left w:w="40" w:type="dxa"/>
              <w:right w:w="40" w:type="dxa"/>
            </w:tcMar>
            <w:shd w:fill="1B365D"/>
          </w:tcPr>
          <w:p>
            <w:pPr>
              <w:spacing w:before="20" w:after="20"/>
              <w:jc w:val="center"/>
            </w:pPr>
            <w:r>
              <w:rPr>
                <w:rFonts w:ascii="Arial" w:hAnsi="Arial"/>
                <w:b/>
                <w:color w:val="FFFFFF"/>
                <w:sz w:val="15"/>
              </w:rPr>
              <w:t>StdDev</w:t>
            </w:r>
          </w:p>
        </w:tc>
        <w:tc>
          <w:tcPr>
            <w:tcW w:type="dxa" w:w="792"/>
            <w:vAlign w:val="center"/>
            <w:tcMar>
              <w:top w:w="50" w:type="dxa"/>
              <w:bottom w:w="50" w:type="dxa"/>
              <w:left w:w="40" w:type="dxa"/>
              <w:right w:w="40" w:type="dxa"/>
            </w:tcMar>
            <w:shd w:fill="1B365D"/>
          </w:tcPr>
          <w:p>
            <w:pPr>
              <w:spacing w:before="20" w:after="20"/>
              <w:jc w:val="center"/>
            </w:pPr>
            <w:r>
              <w:rPr>
                <w:rFonts w:ascii="Arial" w:hAnsi="Arial"/>
                <w:b/>
                <w:color w:val="FFFFFF"/>
                <w:sz w:val="15"/>
              </w:rPr>
              <w:t>Skewness</w:t>
            </w:r>
          </w:p>
        </w:tc>
        <w:tc>
          <w:tcPr>
            <w:tcW w:type="dxa" w:w="792"/>
            <w:vAlign w:val="center"/>
            <w:tcMar>
              <w:top w:w="50" w:type="dxa"/>
              <w:bottom w:w="50" w:type="dxa"/>
              <w:left w:w="40" w:type="dxa"/>
              <w:right w:w="40" w:type="dxa"/>
            </w:tcMar>
            <w:shd w:fill="1B365D"/>
          </w:tcPr>
          <w:p>
            <w:pPr>
              <w:spacing w:before="20" w:after="20"/>
              <w:jc w:val="center"/>
            </w:pPr>
            <w:r>
              <w:rPr>
                <w:rFonts w:ascii="Arial" w:hAnsi="Arial"/>
                <w:b/>
                <w:color w:val="FFFFFF"/>
                <w:sz w:val="15"/>
              </w:rPr>
              <w:t>Kurtosis</w:t>
            </w:r>
          </w:p>
        </w:tc>
        <w:tc>
          <w:tcPr>
            <w:tcW w:type="dxa" w:w="936"/>
            <w:vAlign w:val="center"/>
            <w:tcMar>
              <w:top w:w="50" w:type="dxa"/>
              <w:bottom w:w="50" w:type="dxa"/>
              <w:left w:w="40" w:type="dxa"/>
              <w:right w:w="40" w:type="dxa"/>
            </w:tcMar>
            <w:shd w:fill="1B365D"/>
          </w:tcPr>
          <w:p>
            <w:pPr>
              <w:spacing w:before="20" w:after="20"/>
              <w:jc w:val="center"/>
            </w:pPr>
            <w:r>
              <w:rPr>
                <w:rFonts w:ascii="Arial" w:hAnsi="Arial"/>
                <w:b/>
                <w:color w:val="FFFFFF"/>
                <w:sz w:val="15"/>
              </w:rPr>
              <w:t>Shapiro p</w:t>
            </w:r>
          </w:p>
        </w:tc>
        <w:tc>
          <w:tcPr>
            <w:tcW w:type="dxa" w:w="792"/>
            <w:vAlign w:val="center"/>
            <w:tcMar>
              <w:top w:w="50" w:type="dxa"/>
              <w:bottom w:w="50" w:type="dxa"/>
              <w:left w:w="40" w:type="dxa"/>
              <w:right w:w="40" w:type="dxa"/>
            </w:tcMar>
            <w:shd w:fill="1B365D"/>
          </w:tcPr>
          <w:p>
            <w:pPr>
              <w:spacing w:before="20" w:after="20"/>
              <w:jc w:val="center"/>
            </w:pPr>
            <w:r>
              <w:rPr>
                <w:rFonts w:ascii="Arial" w:hAnsi="Arial"/>
                <w:b/>
                <w:color w:val="FFFFFF"/>
                <w:sz w:val="15"/>
              </w:rPr>
              <w:t>ADF Stat</w:t>
            </w:r>
          </w:p>
        </w:tc>
        <w:tc>
          <w:tcPr>
            <w:tcW w:type="dxa" w:w="864"/>
            <w:vAlign w:val="center"/>
            <w:tcMar>
              <w:top w:w="50" w:type="dxa"/>
              <w:bottom w:w="50" w:type="dxa"/>
              <w:left w:w="40" w:type="dxa"/>
              <w:right w:w="40" w:type="dxa"/>
            </w:tcMar>
            <w:shd w:fill="1B365D"/>
          </w:tcPr>
          <w:p>
            <w:pPr>
              <w:spacing w:before="20" w:after="20"/>
              <w:jc w:val="center"/>
            </w:pPr>
            <w:r>
              <w:rPr>
                <w:rFonts w:ascii="Arial" w:hAnsi="Arial"/>
                <w:b/>
                <w:color w:val="FFFFFF"/>
                <w:sz w:val="15"/>
              </w:rPr>
              <w:t>ADF p</w:t>
            </w:r>
          </w:p>
        </w:tc>
        <w:tc>
          <w:tcPr>
            <w:tcW w:type="dxa" w:w="936"/>
            <w:vAlign w:val="center"/>
            <w:tcMar>
              <w:top w:w="50" w:type="dxa"/>
              <w:bottom w:w="50" w:type="dxa"/>
              <w:left w:w="40" w:type="dxa"/>
              <w:right w:w="40" w:type="dxa"/>
            </w:tcMar>
            <w:shd w:fill="1B365D"/>
          </w:tcPr>
          <w:p>
            <w:pPr>
              <w:spacing w:before="20" w:after="20"/>
              <w:jc w:val="center"/>
            </w:pPr>
            <w:r>
              <w:rPr>
                <w:rFonts w:ascii="Arial" w:hAnsi="Arial"/>
                <w:b/>
                <w:color w:val="FFFFFF"/>
                <w:sz w:val="15"/>
              </w:rPr>
              <w:t>Missing Imputed</w:t>
            </w:r>
          </w:p>
        </w:tc>
      </w:tr>
      <w:tr>
        <w:tc>
          <w:tcPr>
            <w:tcW w:type="dxa" w:w="1152"/>
            <w:vAlign w:val="center"/>
            <w:tcMar>
              <w:top w:w="50" w:type="dxa"/>
              <w:bottom w:w="50" w:type="dxa"/>
              <w:left w:w="40" w:type="dxa"/>
              <w:right w:w="40" w:type="dxa"/>
            </w:tcMar>
            <w:shd w:fill="F7FAFC"/>
          </w:tcPr>
          <w:p>
            <w:pPr>
              <w:spacing w:before="20" w:after="20"/>
              <w:jc w:val="left"/>
            </w:pPr>
            <w:r>
              <w:rPr>
                <w:rFonts w:ascii="Arial" w:hAnsi="Arial"/>
                <w:color w:val="2D3748"/>
                <w:sz w:val="15"/>
              </w:rPr>
              <w:t>Beijing</w:t>
            </w:r>
          </w:p>
        </w:tc>
        <w:tc>
          <w:tcPr>
            <w:tcW w:type="dxa" w:w="720"/>
            <w:vAlign w:val="center"/>
            <w:tcMar>
              <w:top w:w="50" w:type="dxa"/>
              <w:bottom w:w="50" w:type="dxa"/>
              <w:left w:w="40" w:type="dxa"/>
              <w:right w:w="40" w:type="dxa"/>
            </w:tcMar>
            <w:shd w:fill="F7FAFC"/>
          </w:tcPr>
          <w:p>
            <w:pPr>
              <w:spacing w:before="20" w:after="20"/>
              <w:jc w:val="center"/>
            </w:pPr>
            <w:r>
              <w:rPr>
                <w:rFonts w:ascii="Arial" w:hAnsi="Arial"/>
                <w:color w:val="2D3748"/>
                <w:sz w:val="15"/>
              </w:rPr>
              <w:t>2,528</w:t>
            </w:r>
          </w:p>
        </w:tc>
        <w:tc>
          <w:tcPr>
            <w:tcW w:type="dxa" w:w="720"/>
            <w:vAlign w:val="center"/>
            <w:tcMar>
              <w:top w:w="50" w:type="dxa"/>
              <w:bottom w:w="50" w:type="dxa"/>
              <w:left w:w="40" w:type="dxa"/>
              <w:right w:w="40" w:type="dxa"/>
            </w:tcMar>
            <w:shd w:fill="F7FAFC"/>
          </w:tcPr>
          <w:p>
            <w:pPr>
              <w:spacing w:before="20" w:after="20"/>
              <w:jc w:val="center"/>
            </w:pPr>
            <w:r>
              <w:rPr>
                <w:rFonts w:ascii="Arial" w:hAnsi="Arial"/>
                <w:color w:val="2D3748"/>
                <w:sz w:val="15"/>
              </w:rPr>
              <w:t>82.46</w:t>
            </w:r>
          </w:p>
        </w:tc>
        <w:tc>
          <w:tcPr>
            <w:tcW w:type="dxa" w:w="720"/>
            <w:vAlign w:val="center"/>
            <w:tcMar>
              <w:top w:w="50" w:type="dxa"/>
              <w:bottom w:w="50" w:type="dxa"/>
              <w:left w:w="40" w:type="dxa"/>
              <w:right w:w="40" w:type="dxa"/>
            </w:tcMar>
            <w:shd w:fill="F7FAFC"/>
          </w:tcPr>
          <w:p>
            <w:pPr>
              <w:spacing w:before="20" w:after="20"/>
              <w:jc w:val="center"/>
            </w:pPr>
            <w:r>
              <w:rPr>
                <w:rFonts w:ascii="Arial" w:hAnsi="Arial"/>
                <w:color w:val="2D3748"/>
                <w:sz w:val="15"/>
              </w:rPr>
              <w:t>65.18</w:t>
            </w:r>
          </w:p>
        </w:tc>
        <w:tc>
          <w:tcPr>
            <w:tcW w:type="dxa" w:w="936"/>
            <w:vAlign w:val="center"/>
            <w:tcMar>
              <w:top w:w="50" w:type="dxa"/>
              <w:bottom w:w="50" w:type="dxa"/>
              <w:left w:w="40" w:type="dxa"/>
              <w:right w:w="40" w:type="dxa"/>
            </w:tcMar>
            <w:shd w:fill="F7FAFC"/>
          </w:tcPr>
          <w:p>
            <w:pPr>
              <w:spacing w:before="20" w:after="20"/>
              <w:jc w:val="center"/>
            </w:pPr>
            <w:r>
              <w:rPr>
                <w:rFonts w:ascii="Arial" w:hAnsi="Arial"/>
                <w:color w:val="2D3748"/>
                <w:sz w:val="15"/>
              </w:rPr>
              <w:t>3,488.46</w:t>
            </w:r>
          </w:p>
        </w:tc>
        <w:tc>
          <w:tcPr>
            <w:tcW w:type="dxa" w:w="720"/>
            <w:vAlign w:val="center"/>
            <w:tcMar>
              <w:top w:w="50" w:type="dxa"/>
              <w:bottom w:w="50" w:type="dxa"/>
              <w:left w:w="40" w:type="dxa"/>
              <w:right w:w="40" w:type="dxa"/>
            </w:tcMar>
            <w:shd w:fill="F7FAFC"/>
          </w:tcPr>
          <w:p>
            <w:pPr>
              <w:spacing w:before="20" w:after="20"/>
              <w:jc w:val="center"/>
            </w:pPr>
            <w:r>
              <w:rPr>
                <w:rFonts w:ascii="Arial" w:hAnsi="Arial"/>
                <w:color w:val="2D3748"/>
                <w:sz w:val="15"/>
              </w:rPr>
              <w:t>59.06</w:t>
            </w:r>
          </w:p>
        </w:tc>
        <w:tc>
          <w:tcPr>
            <w:tcW w:type="dxa" w:w="792"/>
            <w:vAlign w:val="center"/>
            <w:tcMar>
              <w:top w:w="50" w:type="dxa"/>
              <w:bottom w:w="50" w:type="dxa"/>
              <w:left w:w="40" w:type="dxa"/>
              <w:right w:w="40" w:type="dxa"/>
            </w:tcMar>
            <w:shd w:fill="F7FAFC"/>
          </w:tcPr>
          <w:p>
            <w:pPr>
              <w:spacing w:before="20" w:after="20"/>
              <w:jc w:val="center"/>
            </w:pPr>
            <w:r>
              <w:rPr>
                <w:rFonts w:ascii="Arial" w:hAnsi="Arial"/>
                <w:color w:val="2D3748"/>
                <w:sz w:val="15"/>
              </w:rPr>
              <w:t>+2.098</w:t>
            </w:r>
          </w:p>
        </w:tc>
        <w:tc>
          <w:tcPr>
            <w:tcW w:type="dxa" w:w="792"/>
            <w:vAlign w:val="center"/>
            <w:tcMar>
              <w:top w:w="50" w:type="dxa"/>
              <w:bottom w:w="50" w:type="dxa"/>
              <w:left w:w="40" w:type="dxa"/>
              <w:right w:w="40" w:type="dxa"/>
            </w:tcMar>
            <w:shd w:fill="F7FAFC"/>
          </w:tcPr>
          <w:p>
            <w:pPr>
              <w:spacing w:before="20" w:after="20"/>
              <w:jc w:val="center"/>
            </w:pPr>
            <w:r>
              <w:rPr>
                <w:rFonts w:ascii="Arial" w:hAnsi="Arial"/>
                <w:color w:val="2D3748"/>
                <w:sz w:val="15"/>
              </w:rPr>
              <w:t>5.978</w:t>
            </w:r>
          </w:p>
        </w:tc>
        <w:tc>
          <w:tcPr>
            <w:tcW w:type="dxa" w:w="936"/>
            <w:vAlign w:val="center"/>
            <w:tcMar>
              <w:top w:w="50" w:type="dxa"/>
              <w:bottom w:w="50" w:type="dxa"/>
              <w:left w:w="40" w:type="dxa"/>
              <w:right w:w="40" w:type="dxa"/>
            </w:tcMar>
            <w:shd w:fill="F7FAFC"/>
          </w:tcPr>
          <w:p>
            <w:pPr>
              <w:spacing w:before="20" w:after="20"/>
              <w:jc w:val="center"/>
            </w:pPr>
            <w:r>
              <w:rPr>
                <w:rFonts w:ascii="Arial" w:hAnsi="Arial"/>
                <w:color w:val="2D3748"/>
                <w:sz w:val="15"/>
              </w:rPr>
              <w:t>6.75e-43</w:t>
            </w:r>
          </w:p>
        </w:tc>
        <w:tc>
          <w:tcPr>
            <w:tcW w:type="dxa" w:w="792"/>
            <w:vAlign w:val="center"/>
            <w:tcMar>
              <w:top w:w="50" w:type="dxa"/>
              <w:bottom w:w="50" w:type="dxa"/>
              <w:left w:w="40" w:type="dxa"/>
              <w:right w:w="40" w:type="dxa"/>
            </w:tcMar>
            <w:shd w:fill="F7FAFC"/>
          </w:tcPr>
          <w:p>
            <w:pPr>
              <w:spacing w:before="20" w:after="20"/>
              <w:jc w:val="center"/>
            </w:pPr>
            <w:r>
              <w:rPr>
                <w:rFonts w:ascii="Arial" w:hAnsi="Arial"/>
                <w:color w:val="2D3748"/>
                <w:sz w:val="15"/>
              </w:rPr>
              <w:t>-5.383</w:t>
            </w:r>
          </w:p>
        </w:tc>
        <w:tc>
          <w:tcPr>
            <w:tcW w:type="dxa" w:w="864"/>
            <w:vAlign w:val="center"/>
            <w:tcMar>
              <w:top w:w="50" w:type="dxa"/>
              <w:bottom w:w="50" w:type="dxa"/>
              <w:left w:w="40" w:type="dxa"/>
              <w:right w:w="40" w:type="dxa"/>
            </w:tcMar>
            <w:shd w:fill="F7FAFC"/>
          </w:tcPr>
          <w:p>
            <w:pPr>
              <w:spacing w:before="20" w:after="20"/>
              <w:jc w:val="center"/>
            </w:pPr>
            <w:r>
              <w:rPr>
                <w:rFonts w:ascii="Arial" w:hAnsi="Arial"/>
                <w:color w:val="2D3748"/>
                <w:sz w:val="15"/>
              </w:rPr>
              <w:t>3.69e-06</w:t>
            </w:r>
          </w:p>
        </w:tc>
        <w:tc>
          <w:tcPr>
            <w:tcW w:type="dxa" w:w="936"/>
            <w:vAlign w:val="center"/>
            <w:tcMar>
              <w:top w:w="50" w:type="dxa"/>
              <w:bottom w:w="50" w:type="dxa"/>
              <w:left w:w="40" w:type="dxa"/>
              <w:right w:w="40" w:type="dxa"/>
            </w:tcMar>
            <w:shd w:fill="F7FAFC"/>
          </w:tcPr>
          <w:p>
            <w:pPr>
              <w:spacing w:before="20" w:after="20"/>
              <w:jc w:val="center"/>
            </w:pPr>
            <w:r>
              <w:rPr>
                <w:rFonts w:ascii="Arial" w:hAnsi="Arial"/>
                <w:color w:val="2D3748"/>
                <w:sz w:val="15"/>
              </w:rPr>
              <w:t>7 (0.28%)</w:t>
            </w:r>
          </w:p>
        </w:tc>
      </w:tr>
      <w:tr>
        <w:tc>
          <w:tcPr>
            <w:tcW w:type="dxa" w:w="1152"/>
            <w:vAlign w:val="center"/>
            <w:tcMar>
              <w:top w:w="50" w:type="dxa"/>
              <w:bottom w:w="50" w:type="dxa"/>
              <w:left w:w="40" w:type="dxa"/>
              <w:right w:w="40" w:type="dxa"/>
            </w:tcMar>
            <w:shd w:fill="FFFFFF"/>
          </w:tcPr>
          <w:p>
            <w:pPr>
              <w:spacing w:before="20" w:after="20"/>
              <w:jc w:val="left"/>
            </w:pPr>
            <w:r>
              <w:rPr>
                <w:rFonts w:ascii="Arial" w:hAnsi="Arial"/>
                <w:color w:val="2D3748"/>
                <w:sz w:val="15"/>
              </w:rPr>
              <w:t>Chengdu</w:t>
            </w:r>
          </w:p>
        </w:tc>
        <w:tc>
          <w:tcPr>
            <w:tcW w:type="dxa" w:w="720"/>
            <w:vAlign w:val="center"/>
            <w:tcMar>
              <w:top w:w="50" w:type="dxa"/>
              <w:bottom w:w="50" w:type="dxa"/>
              <w:left w:w="40" w:type="dxa"/>
              <w:right w:w="40" w:type="dxa"/>
            </w:tcMar>
            <w:shd w:fill="FFFFFF"/>
          </w:tcPr>
          <w:p>
            <w:pPr>
              <w:spacing w:before="20" w:after="20"/>
              <w:jc w:val="center"/>
            </w:pPr>
            <w:r>
              <w:rPr>
                <w:rFonts w:ascii="Arial" w:hAnsi="Arial"/>
                <w:color w:val="2D3748"/>
                <w:sz w:val="15"/>
              </w:rPr>
              <w:t>2,528</w:t>
            </w:r>
          </w:p>
        </w:tc>
        <w:tc>
          <w:tcPr>
            <w:tcW w:type="dxa" w:w="720"/>
            <w:vAlign w:val="center"/>
            <w:tcMar>
              <w:top w:w="50" w:type="dxa"/>
              <w:bottom w:w="50" w:type="dxa"/>
              <w:left w:w="40" w:type="dxa"/>
              <w:right w:w="40" w:type="dxa"/>
            </w:tcMar>
            <w:shd w:fill="FFFFFF"/>
          </w:tcPr>
          <w:p>
            <w:pPr>
              <w:spacing w:before="20" w:after="20"/>
              <w:jc w:val="center"/>
            </w:pPr>
            <w:r>
              <w:rPr>
                <w:rFonts w:ascii="Arial" w:hAnsi="Arial"/>
                <w:color w:val="2D3748"/>
                <w:sz w:val="15"/>
              </w:rPr>
              <w:t>73.16</w:t>
            </w:r>
          </w:p>
        </w:tc>
        <w:tc>
          <w:tcPr>
            <w:tcW w:type="dxa" w:w="720"/>
            <w:vAlign w:val="center"/>
            <w:tcMar>
              <w:top w:w="50" w:type="dxa"/>
              <w:bottom w:w="50" w:type="dxa"/>
              <w:left w:w="40" w:type="dxa"/>
              <w:right w:w="40" w:type="dxa"/>
            </w:tcMar>
            <w:shd w:fill="FFFFFF"/>
          </w:tcPr>
          <w:p>
            <w:pPr>
              <w:spacing w:before="20" w:after="20"/>
              <w:jc w:val="center"/>
            </w:pPr>
            <w:r>
              <w:rPr>
                <w:rFonts w:ascii="Arial" w:hAnsi="Arial"/>
                <w:color w:val="2D3748"/>
                <w:sz w:val="15"/>
              </w:rPr>
              <w:t>64.44</w:t>
            </w:r>
          </w:p>
        </w:tc>
        <w:tc>
          <w:tcPr>
            <w:tcW w:type="dxa" w:w="936"/>
            <w:vAlign w:val="center"/>
            <w:tcMar>
              <w:top w:w="50" w:type="dxa"/>
              <w:bottom w:w="50" w:type="dxa"/>
              <w:left w:w="40" w:type="dxa"/>
              <w:right w:w="40" w:type="dxa"/>
            </w:tcMar>
            <w:shd w:fill="FFFFFF"/>
          </w:tcPr>
          <w:p>
            <w:pPr>
              <w:spacing w:before="20" w:after="20"/>
              <w:jc w:val="center"/>
            </w:pPr>
            <w:r>
              <w:rPr>
                <w:rFonts w:ascii="Arial" w:hAnsi="Arial"/>
                <w:color w:val="2D3748"/>
                <w:sz w:val="15"/>
              </w:rPr>
              <w:t>1,434.74</w:t>
            </w:r>
          </w:p>
        </w:tc>
        <w:tc>
          <w:tcPr>
            <w:tcW w:type="dxa" w:w="720"/>
            <w:vAlign w:val="center"/>
            <w:tcMar>
              <w:top w:w="50" w:type="dxa"/>
              <w:bottom w:w="50" w:type="dxa"/>
              <w:left w:w="40" w:type="dxa"/>
              <w:right w:w="40" w:type="dxa"/>
            </w:tcMar>
            <w:shd w:fill="FFFFFF"/>
          </w:tcPr>
          <w:p>
            <w:pPr>
              <w:spacing w:before="20" w:after="20"/>
              <w:jc w:val="center"/>
            </w:pPr>
            <w:r>
              <w:rPr>
                <w:rFonts w:ascii="Arial" w:hAnsi="Arial"/>
                <w:color w:val="2D3748"/>
                <w:sz w:val="15"/>
              </w:rPr>
              <w:t>37.88</w:t>
            </w:r>
          </w:p>
        </w:tc>
        <w:tc>
          <w:tcPr>
            <w:tcW w:type="dxa" w:w="792"/>
            <w:vAlign w:val="center"/>
            <w:tcMar>
              <w:top w:w="50" w:type="dxa"/>
              <w:bottom w:w="50" w:type="dxa"/>
              <w:left w:w="40" w:type="dxa"/>
              <w:right w:w="40" w:type="dxa"/>
            </w:tcMar>
            <w:shd w:fill="FFFFFF"/>
          </w:tcPr>
          <w:p>
            <w:pPr>
              <w:spacing w:before="20" w:after="20"/>
              <w:jc w:val="center"/>
            </w:pPr>
            <w:r>
              <w:rPr>
                <w:rFonts w:ascii="Arial" w:hAnsi="Arial"/>
                <w:color w:val="2D3748"/>
                <w:sz w:val="15"/>
              </w:rPr>
              <w:t>+1.517</w:t>
            </w:r>
          </w:p>
        </w:tc>
        <w:tc>
          <w:tcPr>
            <w:tcW w:type="dxa" w:w="792"/>
            <w:vAlign w:val="center"/>
            <w:tcMar>
              <w:top w:w="50" w:type="dxa"/>
              <w:bottom w:w="50" w:type="dxa"/>
              <w:left w:w="40" w:type="dxa"/>
              <w:right w:w="40" w:type="dxa"/>
            </w:tcMar>
            <w:shd w:fill="FFFFFF"/>
          </w:tcPr>
          <w:p>
            <w:pPr>
              <w:spacing w:before="20" w:after="20"/>
              <w:jc w:val="center"/>
            </w:pPr>
            <w:r>
              <w:rPr>
                <w:rFonts w:ascii="Arial" w:hAnsi="Arial"/>
                <w:color w:val="2D3748"/>
                <w:sz w:val="15"/>
              </w:rPr>
              <w:t>3.196</w:t>
            </w:r>
          </w:p>
        </w:tc>
        <w:tc>
          <w:tcPr>
            <w:tcW w:type="dxa" w:w="936"/>
            <w:vAlign w:val="center"/>
            <w:tcMar>
              <w:top w:w="50" w:type="dxa"/>
              <w:bottom w:w="50" w:type="dxa"/>
              <w:left w:w="40" w:type="dxa"/>
              <w:right w:w="40" w:type="dxa"/>
            </w:tcMar>
            <w:shd w:fill="FFFFFF"/>
          </w:tcPr>
          <w:p>
            <w:pPr>
              <w:spacing w:before="20" w:after="20"/>
              <w:jc w:val="center"/>
            </w:pPr>
            <w:r>
              <w:rPr>
                <w:rFonts w:ascii="Arial" w:hAnsi="Arial"/>
                <w:color w:val="2D3748"/>
                <w:sz w:val="15"/>
              </w:rPr>
              <w:t>8.42e-36</w:t>
            </w:r>
          </w:p>
        </w:tc>
        <w:tc>
          <w:tcPr>
            <w:tcW w:type="dxa" w:w="792"/>
            <w:vAlign w:val="center"/>
            <w:tcMar>
              <w:top w:w="50" w:type="dxa"/>
              <w:bottom w:w="50" w:type="dxa"/>
              <w:left w:w="40" w:type="dxa"/>
              <w:right w:w="40" w:type="dxa"/>
            </w:tcMar>
            <w:shd w:fill="FFFFFF"/>
          </w:tcPr>
          <w:p>
            <w:pPr>
              <w:spacing w:before="20" w:after="20"/>
              <w:jc w:val="center"/>
            </w:pPr>
            <w:r>
              <w:rPr>
                <w:rFonts w:ascii="Arial" w:hAnsi="Arial"/>
                <w:color w:val="2D3748"/>
                <w:sz w:val="15"/>
              </w:rPr>
              <w:t>-4.687</w:t>
            </w:r>
          </w:p>
        </w:tc>
        <w:tc>
          <w:tcPr>
            <w:tcW w:type="dxa" w:w="864"/>
            <w:vAlign w:val="center"/>
            <w:tcMar>
              <w:top w:w="50" w:type="dxa"/>
              <w:bottom w:w="50" w:type="dxa"/>
              <w:left w:w="40" w:type="dxa"/>
              <w:right w:w="40" w:type="dxa"/>
            </w:tcMar>
            <w:shd w:fill="FFFFFF"/>
          </w:tcPr>
          <w:p>
            <w:pPr>
              <w:spacing w:before="20" w:after="20"/>
              <w:jc w:val="center"/>
            </w:pPr>
            <w:r>
              <w:rPr>
                <w:rFonts w:ascii="Arial" w:hAnsi="Arial"/>
                <w:color w:val="2D3748"/>
                <w:sz w:val="15"/>
              </w:rPr>
              <w:t>8.90e-05</w:t>
            </w:r>
          </w:p>
        </w:tc>
        <w:tc>
          <w:tcPr>
            <w:tcW w:type="dxa" w:w="936"/>
            <w:vAlign w:val="center"/>
            <w:tcMar>
              <w:top w:w="50" w:type="dxa"/>
              <w:bottom w:w="50" w:type="dxa"/>
              <w:left w:w="40" w:type="dxa"/>
              <w:right w:w="40" w:type="dxa"/>
            </w:tcMar>
            <w:shd w:fill="FFFFFF"/>
          </w:tcPr>
          <w:p>
            <w:pPr>
              <w:spacing w:before="20" w:after="20"/>
              <w:jc w:val="center"/>
            </w:pPr>
            <w:r>
              <w:rPr>
                <w:rFonts w:ascii="Arial" w:hAnsi="Arial"/>
                <w:color w:val="2D3748"/>
                <w:sz w:val="15"/>
              </w:rPr>
              <w:t>7 (0.28%)</w:t>
            </w:r>
          </w:p>
        </w:tc>
      </w:tr>
      <w:tr>
        <w:tc>
          <w:tcPr>
            <w:tcW w:type="dxa" w:w="1152"/>
            <w:vAlign w:val="center"/>
            <w:tcMar>
              <w:top w:w="50" w:type="dxa"/>
              <w:bottom w:w="50" w:type="dxa"/>
              <w:left w:w="40" w:type="dxa"/>
              <w:right w:w="40" w:type="dxa"/>
            </w:tcMar>
            <w:shd w:fill="F7FAFC"/>
          </w:tcPr>
          <w:p>
            <w:pPr>
              <w:spacing w:before="20" w:after="20"/>
              <w:jc w:val="left"/>
            </w:pPr>
            <w:r>
              <w:rPr>
                <w:rFonts w:ascii="Arial" w:hAnsi="Arial"/>
                <w:color w:val="2D3748"/>
                <w:sz w:val="15"/>
              </w:rPr>
              <w:t>Guangzhou</w:t>
            </w:r>
          </w:p>
        </w:tc>
        <w:tc>
          <w:tcPr>
            <w:tcW w:type="dxa" w:w="720"/>
            <w:vAlign w:val="center"/>
            <w:tcMar>
              <w:top w:w="50" w:type="dxa"/>
              <w:bottom w:w="50" w:type="dxa"/>
              <w:left w:w="40" w:type="dxa"/>
              <w:right w:w="40" w:type="dxa"/>
            </w:tcMar>
            <w:shd w:fill="F7FAFC"/>
          </w:tcPr>
          <w:p>
            <w:pPr>
              <w:spacing w:before="20" w:after="20"/>
              <w:jc w:val="center"/>
            </w:pPr>
            <w:r>
              <w:rPr>
                <w:rFonts w:ascii="Arial" w:hAnsi="Arial"/>
                <w:color w:val="2D3748"/>
                <w:sz w:val="15"/>
              </w:rPr>
              <w:t>2,528</w:t>
            </w:r>
          </w:p>
        </w:tc>
        <w:tc>
          <w:tcPr>
            <w:tcW w:type="dxa" w:w="720"/>
            <w:vAlign w:val="center"/>
            <w:tcMar>
              <w:top w:w="50" w:type="dxa"/>
              <w:bottom w:w="50" w:type="dxa"/>
              <w:left w:w="40" w:type="dxa"/>
              <w:right w:w="40" w:type="dxa"/>
            </w:tcMar>
            <w:shd w:fill="F7FAFC"/>
          </w:tcPr>
          <w:p>
            <w:pPr>
              <w:spacing w:before="20" w:after="20"/>
              <w:jc w:val="center"/>
            </w:pPr>
            <w:r>
              <w:rPr>
                <w:rFonts w:ascii="Arial" w:hAnsi="Arial"/>
                <w:color w:val="2D3748"/>
                <w:sz w:val="15"/>
              </w:rPr>
              <w:t>52.71</w:t>
            </w:r>
          </w:p>
        </w:tc>
        <w:tc>
          <w:tcPr>
            <w:tcW w:type="dxa" w:w="720"/>
            <w:vAlign w:val="center"/>
            <w:tcMar>
              <w:top w:w="50" w:type="dxa"/>
              <w:bottom w:w="50" w:type="dxa"/>
              <w:left w:w="40" w:type="dxa"/>
              <w:right w:w="40" w:type="dxa"/>
            </w:tcMar>
            <w:shd w:fill="F7FAFC"/>
          </w:tcPr>
          <w:p>
            <w:pPr>
              <w:spacing w:before="20" w:after="20"/>
              <w:jc w:val="center"/>
            </w:pPr>
            <w:r>
              <w:rPr>
                <w:rFonts w:ascii="Arial" w:hAnsi="Arial"/>
                <w:color w:val="2D3748"/>
                <w:sz w:val="15"/>
              </w:rPr>
              <w:t>48.44</w:t>
            </w:r>
          </w:p>
        </w:tc>
        <w:tc>
          <w:tcPr>
            <w:tcW w:type="dxa" w:w="936"/>
            <w:vAlign w:val="center"/>
            <w:tcMar>
              <w:top w:w="50" w:type="dxa"/>
              <w:bottom w:w="50" w:type="dxa"/>
              <w:left w:w="40" w:type="dxa"/>
              <w:right w:w="40" w:type="dxa"/>
            </w:tcMar>
            <w:shd w:fill="F7FAFC"/>
          </w:tcPr>
          <w:p>
            <w:pPr>
              <w:spacing w:before="20" w:after="20"/>
              <w:jc w:val="center"/>
            </w:pPr>
            <w:r>
              <w:rPr>
                <w:rFonts w:ascii="Arial" w:hAnsi="Arial"/>
                <w:color w:val="2D3748"/>
                <w:sz w:val="15"/>
              </w:rPr>
              <w:t>544.15</w:t>
            </w:r>
          </w:p>
        </w:tc>
        <w:tc>
          <w:tcPr>
            <w:tcW w:type="dxa" w:w="720"/>
            <w:vAlign w:val="center"/>
            <w:tcMar>
              <w:top w:w="50" w:type="dxa"/>
              <w:bottom w:w="50" w:type="dxa"/>
              <w:left w:w="40" w:type="dxa"/>
              <w:right w:w="40" w:type="dxa"/>
            </w:tcMar>
            <w:shd w:fill="F7FAFC"/>
          </w:tcPr>
          <w:p>
            <w:pPr>
              <w:spacing w:before="20" w:after="20"/>
              <w:jc w:val="center"/>
            </w:pPr>
            <w:r>
              <w:rPr>
                <w:rFonts w:ascii="Arial" w:hAnsi="Arial"/>
                <w:color w:val="2D3748"/>
                <w:sz w:val="15"/>
              </w:rPr>
              <w:t>23.33</w:t>
            </w:r>
          </w:p>
        </w:tc>
        <w:tc>
          <w:tcPr>
            <w:tcW w:type="dxa" w:w="792"/>
            <w:vAlign w:val="center"/>
            <w:tcMar>
              <w:top w:w="50" w:type="dxa"/>
              <w:bottom w:w="50" w:type="dxa"/>
              <w:left w:w="40" w:type="dxa"/>
              <w:right w:w="40" w:type="dxa"/>
            </w:tcMar>
            <w:shd w:fill="F7FAFC"/>
          </w:tcPr>
          <w:p>
            <w:pPr>
              <w:spacing w:before="20" w:after="20"/>
              <w:jc w:val="center"/>
            </w:pPr>
            <w:r>
              <w:rPr>
                <w:rFonts w:ascii="Arial" w:hAnsi="Arial"/>
                <w:color w:val="2D3748"/>
                <w:sz w:val="15"/>
              </w:rPr>
              <w:t>+1.481</w:t>
            </w:r>
          </w:p>
        </w:tc>
        <w:tc>
          <w:tcPr>
            <w:tcW w:type="dxa" w:w="792"/>
            <w:vAlign w:val="center"/>
            <w:tcMar>
              <w:top w:w="50" w:type="dxa"/>
              <w:bottom w:w="50" w:type="dxa"/>
              <w:left w:w="40" w:type="dxa"/>
              <w:right w:w="40" w:type="dxa"/>
            </w:tcMar>
            <w:shd w:fill="F7FAFC"/>
          </w:tcPr>
          <w:p>
            <w:pPr>
              <w:spacing w:before="20" w:after="20"/>
              <w:jc w:val="center"/>
            </w:pPr>
            <w:r>
              <w:rPr>
                <w:rFonts w:ascii="Arial" w:hAnsi="Arial"/>
                <w:color w:val="2D3748"/>
                <w:sz w:val="15"/>
              </w:rPr>
              <w:t>4.272</w:t>
            </w:r>
          </w:p>
        </w:tc>
        <w:tc>
          <w:tcPr>
            <w:tcW w:type="dxa" w:w="936"/>
            <w:vAlign w:val="center"/>
            <w:tcMar>
              <w:top w:w="50" w:type="dxa"/>
              <w:bottom w:w="50" w:type="dxa"/>
              <w:left w:w="40" w:type="dxa"/>
              <w:right w:w="40" w:type="dxa"/>
            </w:tcMar>
            <w:shd w:fill="F7FAFC"/>
          </w:tcPr>
          <w:p>
            <w:pPr>
              <w:spacing w:before="20" w:after="20"/>
              <w:jc w:val="center"/>
            </w:pPr>
            <w:r>
              <w:rPr>
                <w:rFonts w:ascii="Arial" w:hAnsi="Arial"/>
                <w:color w:val="2D3748"/>
                <w:sz w:val="15"/>
              </w:rPr>
              <w:t>9.31e-32</w:t>
            </w:r>
          </w:p>
        </w:tc>
        <w:tc>
          <w:tcPr>
            <w:tcW w:type="dxa" w:w="792"/>
            <w:vAlign w:val="center"/>
            <w:tcMar>
              <w:top w:w="50" w:type="dxa"/>
              <w:bottom w:w="50" w:type="dxa"/>
              <w:left w:w="40" w:type="dxa"/>
              <w:right w:w="40" w:type="dxa"/>
            </w:tcMar>
            <w:shd w:fill="F7FAFC"/>
          </w:tcPr>
          <w:p>
            <w:pPr>
              <w:spacing w:before="20" w:after="20"/>
              <w:jc w:val="center"/>
            </w:pPr>
            <w:r>
              <w:rPr>
                <w:rFonts w:ascii="Arial" w:hAnsi="Arial"/>
                <w:color w:val="2D3748"/>
                <w:sz w:val="15"/>
              </w:rPr>
              <w:t>-5.849</w:t>
            </w:r>
          </w:p>
        </w:tc>
        <w:tc>
          <w:tcPr>
            <w:tcW w:type="dxa" w:w="864"/>
            <w:vAlign w:val="center"/>
            <w:tcMar>
              <w:top w:w="50" w:type="dxa"/>
              <w:bottom w:w="50" w:type="dxa"/>
              <w:left w:w="40" w:type="dxa"/>
              <w:right w:w="40" w:type="dxa"/>
            </w:tcMar>
            <w:shd w:fill="F7FAFC"/>
          </w:tcPr>
          <w:p>
            <w:pPr>
              <w:spacing w:before="20" w:after="20"/>
              <w:jc w:val="center"/>
            </w:pPr>
            <w:r>
              <w:rPr>
                <w:rFonts w:ascii="Arial" w:hAnsi="Arial"/>
                <w:color w:val="2D3748"/>
                <w:sz w:val="15"/>
              </w:rPr>
              <w:t>3.63e-07</w:t>
            </w:r>
          </w:p>
        </w:tc>
        <w:tc>
          <w:tcPr>
            <w:tcW w:type="dxa" w:w="936"/>
            <w:vAlign w:val="center"/>
            <w:tcMar>
              <w:top w:w="50" w:type="dxa"/>
              <w:bottom w:w="50" w:type="dxa"/>
              <w:left w:w="40" w:type="dxa"/>
              <w:right w:w="40" w:type="dxa"/>
            </w:tcMar>
            <w:shd w:fill="F7FAFC"/>
          </w:tcPr>
          <w:p>
            <w:pPr>
              <w:spacing w:before="20" w:after="20"/>
              <w:jc w:val="center"/>
            </w:pPr>
            <w:r>
              <w:rPr>
                <w:rFonts w:ascii="Arial" w:hAnsi="Arial"/>
                <w:color w:val="2D3748"/>
                <w:sz w:val="15"/>
              </w:rPr>
              <w:t>7 (0.28%)</w:t>
            </w:r>
          </w:p>
        </w:tc>
      </w:tr>
      <w:tr>
        <w:tc>
          <w:tcPr>
            <w:tcW w:type="dxa" w:w="1152"/>
            <w:vAlign w:val="center"/>
            <w:tcMar>
              <w:top w:w="50" w:type="dxa"/>
              <w:bottom w:w="50" w:type="dxa"/>
              <w:left w:w="40" w:type="dxa"/>
              <w:right w:w="40" w:type="dxa"/>
            </w:tcMar>
            <w:shd w:fill="FFFFFF"/>
          </w:tcPr>
          <w:p>
            <w:pPr>
              <w:spacing w:before="20" w:after="20"/>
              <w:jc w:val="left"/>
            </w:pPr>
            <w:r>
              <w:rPr>
                <w:rFonts w:ascii="Arial" w:hAnsi="Arial"/>
                <w:color w:val="2D3748"/>
                <w:sz w:val="15"/>
              </w:rPr>
              <w:t>Wuhan</w:t>
            </w:r>
          </w:p>
        </w:tc>
        <w:tc>
          <w:tcPr>
            <w:tcW w:type="dxa" w:w="720"/>
            <w:vAlign w:val="center"/>
            <w:tcMar>
              <w:top w:w="50" w:type="dxa"/>
              <w:bottom w:w="50" w:type="dxa"/>
              <w:left w:w="40" w:type="dxa"/>
              <w:right w:w="40" w:type="dxa"/>
            </w:tcMar>
            <w:shd w:fill="FFFFFF"/>
          </w:tcPr>
          <w:p>
            <w:pPr>
              <w:spacing w:before="20" w:after="20"/>
              <w:jc w:val="center"/>
            </w:pPr>
            <w:r>
              <w:rPr>
                <w:rFonts w:ascii="Arial" w:hAnsi="Arial"/>
                <w:color w:val="2D3748"/>
                <w:sz w:val="15"/>
              </w:rPr>
              <w:t>2,528</w:t>
            </w:r>
          </w:p>
        </w:tc>
        <w:tc>
          <w:tcPr>
            <w:tcW w:type="dxa" w:w="720"/>
            <w:vAlign w:val="center"/>
            <w:tcMar>
              <w:top w:w="50" w:type="dxa"/>
              <w:bottom w:w="50" w:type="dxa"/>
              <w:left w:w="40" w:type="dxa"/>
              <w:right w:w="40" w:type="dxa"/>
            </w:tcMar>
            <w:shd w:fill="FFFFFF"/>
          </w:tcPr>
          <w:p>
            <w:pPr>
              <w:spacing w:before="20" w:after="20"/>
              <w:jc w:val="center"/>
            </w:pPr>
            <w:r>
              <w:rPr>
                <w:rFonts w:ascii="Arial" w:hAnsi="Arial"/>
                <w:color w:val="2D3748"/>
                <w:sz w:val="15"/>
              </w:rPr>
              <w:t>75.41</w:t>
            </w:r>
          </w:p>
        </w:tc>
        <w:tc>
          <w:tcPr>
            <w:tcW w:type="dxa" w:w="720"/>
            <w:vAlign w:val="center"/>
            <w:tcMar>
              <w:top w:w="50" w:type="dxa"/>
              <w:bottom w:w="50" w:type="dxa"/>
              <w:left w:w="40" w:type="dxa"/>
              <w:right w:w="40" w:type="dxa"/>
            </w:tcMar>
            <w:shd w:fill="FFFFFF"/>
          </w:tcPr>
          <w:p>
            <w:pPr>
              <w:spacing w:before="20" w:after="20"/>
              <w:jc w:val="center"/>
            </w:pPr>
            <w:r>
              <w:rPr>
                <w:rFonts w:ascii="Arial" w:hAnsi="Arial"/>
                <w:color w:val="2D3748"/>
                <w:sz w:val="15"/>
              </w:rPr>
              <w:t>66.75</w:t>
            </w:r>
          </w:p>
        </w:tc>
        <w:tc>
          <w:tcPr>
            <w:tcW w:type="dxa" w:w="936"/>
            <w:vAlign w:val="center"/>
            <w:tcMar>
              <w:top w:w="50" w:type="dxa"/>
              <w:bottom w:w="50" w:type="dxa"/>
              <w:left w:w="40" w:type="dxa"/>
              <w:right w:w="40" w:type="dxa"/>
            </w:tcMar>
            <w:shd w:fill="FFFFFF"/>
          </w:tcPr>
          <w:p>
            <w:pPr>
              <w:spacing w:before="20" w:after="20"/>
              <w:jc w:val="center"/>
            </w:pPr>
            <w:r>
              <w:rPr>
                <w:rFonts w:ascii="Arial" w:hAnsi="Arial"/>
                <w:color w:val="2D3748"/>
                <w:sz w:val="15"/>
              </w:rPr>
              <w:t>1,632.13</w:t>
            </w:r>
          </w:p>
        </w:tc>
        <w:tc>
          <w:tcPr>
            <w:tcW w:type="dxa" w:w="720"/>
            <w:vAlign w:val="center"/>
            <w:tcMar>
              <w:top w:w="50" w:type="dxa"/>
              <w:bottom w:w="50" w:type="dxa"/>
              <w:left w:w="40" w:type="dxa"/>
              <w:right w:w="40" w:type="dxa"/>
            </w:tcMar>
            <w:shd w:fill="FFFFFF"/>
          </w:tcPr>
          <w:p>
            <w:pPr>
              <w:spacing w:before="20" w:after="20"/>
              <w:jc w:val="center"/>
            </w:pPr>
            <w:r>
              <w:rPr>
                <w:rFonts w:ascii="Arial" w:hAnsi="Arial"/>
                <w:color w:val="2D3748"/>
                <w:sz w:val="15"/>
              </w:rPr>
              <w:t>40.40</w:t>
            </w:r>
          </w:p>
        </w:tc>
        <w:tc>
          <w:tcPr>
            <w:tcW w:type="dxa" w:w="792"/>
            <w:vAlign w:val="center"/>
            <w:tcMar>
              <w:top w:w="50" w:type="dxa"/>
              <w:bottom w:w="50" w:type="dxa"/>
              <w:left w:w="40" w:type="dxa"/>
              <w:right w:w="40" w:type="dxa"/>
            </w:tcMar>
            <w:shd w:fill="FFFFFF"/>
          </w:tcPr>
          <w:p>
            <w:pPr>
              <w:spacing w:before="20" w:after="20"/>
              <w:jc w:val="center"/>
            </w:pPr>
            <w:r>
              <w:rPr>
                <w:rFonts w:ascii="Arial" w:hAnsi="Arial"/>
                <w:color w:val="2D3748"/>
                <w:sz w:val="15"/>
              </w:rPr>
              <w:t>+1.824</w:t>
            </w:r>
          </w:p>
        </w:tc>
        <w:tc>
          <w:tcPr>
            <w:tcW w:type="dxa" w:w="792"/>
            <w:vAlign w:val="center"/>
            <w:tcMar>
              <w:top w:w="50" w:type="dxa"/>
              <w:bottom w:w="50" w:type="dxa"/>
              <w:left w:w="40" w:type="dxa"/>
              <w:right w:w="40" w:type="dxa"/>
            </w:tcMar>
            <w:shd w:fill="FFFFFF"/>
          </w:tcPr>
          <w:p>
            <w:pPr>
              <w:spacing w:before="20" w:after="20"/>
              <w:jc w:val="center"/>
            </w:pPr>
            <w:r>
              <w:rPr>
                <w:rFonts w:ascii="Arial" w:hAnsi="Arial"/>
                <w:color w:val="2D3748"/>
                <w:sz w:val="15"/>
              </w:rPr>
              <w:t>5.837</w:t>
            </w:r>
          </w:p>
        </w:tc>
        <w:tc>
          <w:tcPr>
            <w:tcW w:type="dxa" w:w="936"/>
            <w:vAlign w:val="center"/>
            <w:tcMar>
              <w:top w:w="50" w:type="dxa"/>
              <w:bottom w:w="50" w:type="dxa"/>
              <w:left w:w="40" w:type="dxa"/>
              <w:right w:w="40" w:type="dxa"/>
            </w:tcMar>
            <w:shd w:fill="FFFFFF"/>
          </w:tcPr>
          <w:p>
            <w:pPr>
              <w:spacing w:before="20" w:after="20"/>
              <w:jc w:val="center"/>
            </w:pPr>
            <w:r>
              <w:rPr>
                <w:rFonts w:ascii="Arial" w:hAnsi="Arial"/>
                <w:color w:val="2D3748"/>
                <w:sz w:val="15"/>
              </w:rPr>
              <w:t>1.78e-37</w:t>
            </w:r>
          </w:p>
        </w:tc>
        <w:tc>
          <w:tcPr>
            <w:tcW w:type="dxa" w:w="792"/>
            <w:vAlign w:val="center"/>
            <w:tcMar>
              <w:top w:w="50" w:type="dxa"/>
              <w:bottom w:w="50" w:type="dxa"/>
              <w:left w:w="40" w:type="dxa"/>
              <w:right w:w="40" w:type="dxa"/>
            </w:tcMar>
            <w:shd w:fill="FFFFFF"/>
          </w:tcPr>
          <w:p>
            <w:pPr>
              <w:spacing w:before="20" w:after="20"/>
              <w:jc w:val="center"/>
            </w:pPr>
            <w:r>
              <w:rPr>
                <w:rFonts w:ascii="Arial" w:hAnsi="Arial"/>
                <w:color w:val="2D3748"/>
                <w:sz w:val="15"/>
              </w:rPr>
              <w:t>-4.958</w:t>
            </w:r>
          </w:p>
        </w:tc>
        <w:tc>
          <w:tcPr>
            <w:tcW w:type="dxa" w:w="864"/>
            <w:vAlign w:val="center"/>
            <w:tcMar>
              <w:top w:w="50" w:type="dxa"/>
              <w:bottom w:w="50" w:type="dxa"/>
              <w:left w:w="40" w:type="dxa"/>
              <w:right w:w="40" w:type="dxa"/>
            </w:tcMar>
            <w:shd w:fill="FFFFFF"/>
          </w:tcPr>
          <w:p>
            <w:pPr>
              <w:spacing w:before="20" w:after="20"/>
              <w:jc w:val="center"/>
            </w:pPr>
            <w:r>
              <w:rPr>
                <w:rFonts w:ascii="Arial" w:hAnsi="Arial"/>
                <w:color w:val="2D3748"/>
                <w:sz w:val="15"/>
              </w:rPr>
              <w:t>2.68e-05</w:t>
            </w:r>
          </w:p>
        </w:tc>
        <w:tc>
          <w:tcPr>
            <w:tcW w:type="dxa" w:w="936"/>
            <w:vAlign w:val="center"/>
            <w:tcMar>
              <w:top w:w="50" w:type="dxa"/>
              <w:bottom w:w="50" w:type="dxa"/>
              <w:left w:w="40" w:type="dxa"/>
              <w:right w:w="40" w:type="dxa"/>
            </w:tcMar>
            <w:shd w:fill="FFFFFF"/>
          </w:tcPr>
          <w:p>
            <w:pPr>
              <w:spacing w:before="20" w:after="20"/>
              <w:jc w:val="center"/>
            </w:pPr>
            <w:r>
              <w:rPr>
                <w:rFonts w:ascii="Arial" w:hAnsi="Arial"/>
                <w:color w:val="2D3748"/>
                <w:sz w:val="15"/>
              </w:rPr>
              <w:t>7 (0.28%)</w:t>
            </w:r>
          </w:p>
        </w:tc>
      </w:tr>
    </w:tbl>
    <w:p>
      <w:pPr>
        <w:spacing w:after="160"/>
      </w:pPr>
    </w:p>
    <w:p>
      <w:pPr>
        <w:keepNext/>
        <w:spacing w:before="320" w:after="100"/>
      </w:pPr>
      <w:r>
        <w:rPr>
          <w:rFonts w:ascii="Arial" w:hAnsi="Arial"/>
          <w:b/>
          <w:color w:val="1B365D"/>
          <w:sz w:val="26"/>
        </w:rPr>
        <w:t>3. Technical Summary of the Reviewed Base Model</w:t>
      </w:r>
    </w:p>
    <w:p>
      <w:pPr>
        <w:spacing w:before="0" w:after="100" w:line="276" w:lineRule="auto"/>
      </w:pPr>
      <w:r>
        <w:rPr>
          <w:rFonts w:ascii="Calibri" w:hAnsi="Calibri"/>
          <w:i w:val="0"/>
          <w:color w:val="2D3748"/>
          <w:sz w:val="20"/>
        </w:rPr>
        <w:t>The foundational architecture proposed by Duan et al. (2023) decomposes the observed univariate atmospheric sequence x_t into linear and non-linear components: x_t = L_t + N_t. The linear component is modeled via Box-Jenkins ARIMA(p, d, q) with order determination via the Bayesian Information Criterion (BIC), yielding Beijing (3,1,1), Chengdu (3,1,1), Guangzhou (2,1,2), and Wuhan (2,1,2). The residual sequence e_t = x_t - L̂_t is extracted with a lag window w = 10 and modeled using a 1D-CNN + multi-layer LSTM network. Hyperparameters are optimized via the Dung Beetle Optimizer (DBO; Xue &amp; Shen, 2022) across 4 phenotypes: ball-rolling (N_1=6), breeding (N_2=6), foraging (N_3=7), and stealing (N_4=11). The final prediction is additive: x̂_t = L̂_t + ê_t.</w:t>
      </w:r>
    </w:p>
    <w:p>
      <w:pPr>
        <w:keepNext/>
        <w:spacing w:before="320" w:after="100"/>
      </w:pPr>
      <w:r>
        <w:rPr>
          <w:rFonts w:ascii="Arial" w:hAnsi="Arial"/>
          <w:b/>
          <w:color w:val="1B365D"/>
          <w:sz w:val="26"/>
        </w:rPr>
        <w:t>4. Methodological Critique &amp; Forensic Audit</w:t>
      </w:r>
    </w:p>
    <w:p>
      <w:pPr>
        <w:spacing w:before="0" w:after="100" w:line="276" w:lineRule="auto"/>
      </w:pPr>
      <w:r>
        <w:rPr>
          <w:rFonts w:ascii="Calibri" w:hAnsi="Calibri"/>
          <w:i w:val="0"/>
          <w:color w:val="2D3748"/>
          <w:sz w:val="20"/>
        </w:rPr>
        <w:t>4.1 The R² Inflation Illusion: Reporting R² on non-stationary, autocorrelated daily series without contextualization introduces a profound evaluation illusion (Hyndman &amp; Athanasopoulos, 2021). Because total sample variance in the denominator is massive (σ² = 3,488.46 in Beijing) due to annual winter-summer swings, any model tracking the seasonal cycle yields a small numerator relative to the denominator, guaranteeing an R² near 0.90. Under honest leak-free evaluation, the audited hybrid achieves R² = 0.388.</w:t>
      </w:r>
    </w:p>
    <w:p>
      <w:pPr>
        <w:spacing w:before="0" w:after="100" w:line="276" w:lineRule="auto"/>
      </w:pPr>
      <w:r>
        <w:rPr>
          <w:rFonts w:ascii="Calibri" w:hAnsi="Calibri"/>
          <w:i w:val="0"/>
          <w:color w:val="2D3748"/>
          <w:sz w:val="20"/>
        </w:rPr>
        <w:t>4.2 Omission of Naive Persistence: Complex machine learning models must be benchmarked against standard zero-cost heuristics: ŷ_t = x_{t-1}. Naive persistence achieves RMSE = 37.47, MAE = 23.36, R² = 0.336, and MASE = 0.608. The authors' &gt;110,000-parameter hybrid improved RMSE by only 1.49 units, an advantage proven to be statistically insignificant (p = 0.5316).</w:t>
      </w:r>
    </w:p>
    <w:p>
      <w:pPr>
        <w:spacing w:before="0" w:after="100" w:line="276" w:lineRule="auto"/>
      </w:pPr>
      <w:r>
        <w:rPr>
          <w:rFonts w:ascii="Calibri" w:hAnsi="Calibri"/>
          <w:i w:val="0"/>
          <w:color w:val="2D3748"/>
          <w:sz w:val="20"/>
        </w:rPr>
        <w:t>4.3 Data Leakage: Global normalization across all 7 years leaked test maximums into training partitions, while lack of a validation set meant DBO evaluated 1,500 model fits directly on test data.</w:t>
      </w:r>
    </w:p>
    <w:p>
      <w:pPr>
        <w:spacing w:before="0" w:after="100" w:line="276" w:lineRule="auto"/>
      </w:pPr>
      <w:r>
        <w:rPr>
          <w:rFonts w:ascii="Calibri" w:hAnsi="Calibri"/>
          <w:i w:val="0"/>
          <w:color w:val="2D3748"/>
          <w:sz w:val="20"/>
        </w:rPr>
        <w:t>4.4 Regression Imbalance: On hazardous pollution days (AQI ≥ 200), the hybrid model's prediction error explodes to RMSE = 145.67 (MAE = 138.58). Bounded neural activation functions (tanh/sigmoid) pull predictions toward the mean, failing during acute public health emergencies.</w:t>
      </w:r>
    </w:p>
    <w:p>
      <w:pPr>
        <w:keepNext/>
        <w:spacing w:before="320" w:after="100"/>
      </w:pPr>
      <w:r>
        <w:rPr>
          <w:rFonts w:ascii="Arial" w:hAnsi="Arial"/>
          <w:b/>
          <w:color w:val="1B365D"/>
          <w:sz w:val="26"/>
        </w:rPr>
        <w:t>5. Comparative Empirical Analysis (Base vs. Enhanced Models)</w:t>
      </w:r>
    </w:p>
    <w:p>
      <w:pPr>
        <w:spacing w:before="0" w:after="100" w:line="276" w:lineRule="auto"/>
      </w:pPr>
      <w:r>
        <w:rPr>
          <w:rFonts w:ascii="Calibri" w:hAnsi="Calibri"/>
          <w:i w:val="0"/>
          <w:color w:val="2D3748"/>
          <w:sz w:val="20"/>
        </w:rPr>
        <w:t>To rigorously validate the critique, empirical benchmarking was conducted on the Beijing test horizon (N = 370 days).</w:t>
      </w:r>
    </w:p>
    <w:p>
      <w:pPr>
        <w:keepNext/>
        <w:spacing w:before="220" w:after="60"/>
      </w:pPr>
      <w:r>
        <w:rPr>
          <w:rFonts w:ascii="Arial" w:hAnsi="Arial"/>
          <w:b/>
          <w:color w:val="2B6CB0"/>
          <w:sz w:val="22"/>
        </w:rPr>
        <w:t>Table 3: Master Model Benchmarking on Beijing Daily AQI Test Horizon</w:t>
      </w:r>
    </w:p>
    <w:tbl>
      <w:tblPr>
        <w:tblW w:type="auto" w:w="0"/>
        <w:jc w:val="center"/>
        <w:tblLayout w:type="fixed"/>
        <w:tblLook w:firstColumn="1" w:firstRow="1" w:lastColumn="0" w:lastRow="0" w:noHBand="0" w:noVBand="1" w:val="04A0"/>
      </w:tblPr>
      <w:tblGrid>
        <w:gridCol w:w="1120"/>
        <w:gridCol w:w="1120"/>
        <w:gridCol w:w="1120"/>
        <w:gridCol w:w="1120"/>
        <w:gridCol w:w="1120"/>
        <w:gridCol w:w="1120"/>
        <w:gridCol w:w="1120"/>
        <w:gridCol w:w="1120"/>
        <w:gridCol w:w="1120"/>
      </w:tblGrid>
      <w:tr>
        <w:tc>
          <w:tcPr>
            <w:tcW w:type="dxa" w:w="2160"/>
            <w:vAlign w:val="center"/>
            <w:tcMar>
              <w:top w:w="50" w:type="dxa"/>
              <w:bottom w:w="50" w:type="dxa"/>
              <w:left w:w="50" w:type="dxa"/>
              <w:right w:w="50" w:type="dxa"/>
            </w:tcMar>
            <w:shd w:fill="1B365D"/>
          </w:tcPr>
          <w:p>
            <w:pPr>
              <w:spacing w:before="20" w:after="20"/>
              <w:jc w:val="left"/>
            </w:pPr>
            <w:r>
              <w:rPr>
                <w:rFonts w:ascii="Arial" w:hAnsi="Arial"/>
                <w:b/>
                <w:color w:val="FFFFFF"/>
                <w:sz w:val="16"/>
              </w:rPr>
              <w:t>Model Architecture</w:t>
            </w:r>
          </w:p>
        </w:tc>
        <w:tc>
          <w:tcPr>
            <w:tcW w:type="dxa" w:w="1440"/>
            <w:vAlign w:val="center"/>
            <w:tcMar>
              <w:top w:w="50" w:type="dxa"/>
              <w:bottom w:w="50" w:type="dxa"/>
              <w:left w:w="50" w:type="dxa"/>
              <w:right w:w="50" w:type="dxa"/>
            </w:tcMar>
            <w:shd w:fill="1B365D"/>
          </w:tcPr>
          <w:p>
            <w:pPr>
              <w:spacing w:before="20" w:after="20"/>
              <w:jc w:val="left"/>
            </w:pPr>
            <w:r>
              <w:rPr>
                <w:rFonts w:ascii="Arial" w:hAnsi="Arial"/>
                <w:b/>
                <w:color w:val="FFFFFF"/>
                <w:sz w:val="16"/>
              </w:rPr>
              <w:t>Category</w:t>
            </w:r>
          </w:p>
        </w:tc>
        <w:tc>
          <w:tcPr>
            <w:tcW w:type="dxa" w:w="864"/>
            <w:vAlign w:val="center"/>
            <w:tcMar>
              <w:top w:w="50" w:type="dxa"/>
              <w:bottom w:w="50" w:type="dxa"/>
              <w:left w:w="50" w:type="dxa"/>
              <w:right w:w="50" w:type="dxa"/>
            </w:tcMar>
            <w:shd w:fill="1B365D"/>
          </w:tcPr>
          <w:p>
            <w:pPr>
              <w:spacing w:before="20" w:after="20"/>
              <w:jc w:val="center"/>
            </w:pPr>
            <w:r>
              <w:rPr>
                <w:rFonts w:ascii="Arial" w:hAnsi="Arial"/>
                <w:b/>
                <w:color w:val="FFFFFF"/>
                <w:sz w:val="16"/>
              </w:rPr>
              <w:t>Params</w:t>
            </w:r>
          </w:p>
        </w:tc>
        <w:tc>
          <w:tcPr>
            <w:tcW w:type="dxa" w:w="936"/>
            <w:vAlign w:val="center"/>
            <w:tcMar>
              <w:top w:w="50" w:type="dxa"/>
              <w:bottom w:w="50" w:type="dxa"/>
              <w:left w:w="50" w:type="dxa"/>
              <w:right w:w="50" w:type="dxa"/>
            </w:tcMar>
            <w:shd w:fill="1B365D"/>
          </w:tcPr>
          <w:p>
            <w:pPr>
              <w:spacing w:before="20" w:after="20"/>
              <w:jc w:val="center"/>
            </w:pPr>
            <w:r>
              <w:rPr>
                <w:rFonts w:ascii="Arial" w:hAnsi="Arial"/>
                <w:b/>
                <w:color w:val="FFFFFF"/>
                <w:sz w:val="16"/>
              </w:rPr>
              <w:t>Train Time</w:t>
            </w:r>
          </w:p>
        </w:tc>
        <w:tc>
          <w:tcPr>
            <w:tcW w:type="dxa" w:w="792"/>
            <w:vAlign w:val="center"/>
            <w:tcMar>
              <w:top w:w="50" w:type="dxa"/>
              <w:bottom w:w="50" w:type="dxa"/>
              <w:left w:w="50" w:type="dxa"/>
              <w:right w:w="50" w:type="dxa"/>
            </w:tcMar>
            <w:shd w:fill="1B365D"/>
          </w:tcPr>
          <w:p>
            <w:pPr>
              <w:spacing w:before="20" w:after="20"/>
              <w:jc w:val="center"/>
            </w:pPr>
            <w:r>
              <w:rPr>
                <w:rFonts w:ascii="Arial" w:hAnsi="Arial"/>
                <w:b/>
                <w:color w:val="FFFFFF"/>
                <w:sz w:val="16"/>
              </w:rPr>
              <w:t>RMSE</w:t>
            </w:r>
          </w:p>
        </w:tc>
        <w:tc>
          <w:tcPr>
            <w:tcW w:type="dxa" w:w="792"/>
            <w:vAlign w:val="center"/>
            <w:tcMar>
              <w:top w:w="50" w:type="dxa"/>
              <w:bottom w:w="50" w:type="dxa"/>
              <w:left w:w="50" w:type="dxa"/>
              <w:right w:w="50" w:type="dxa"/>
            </w:tcMar>
            <w:shd w:fill="1B365D"/>
          </w:tcPr>
          <w:p>
            <w:pPr>
              <w:spacing w:before="20" w:after="20"/>
              <w:jc w:val="center"/>
            </w:pPr>
            <w:r>
              <w:rPr>
                <w:rFonts w:ascii="Arial" w:hAnsi="Arial"/>
                <w:b/>
                <w:color w:val="FFFFFF"/>
                <w:sz w:val="16"/>
              </w:rPr>
              <w:t>MAE</w:t>
            </w:r>
          </w:p>
        </w:tc>
        <w:tc>
          <w:tcPr>
            <w:tcW w:type="dxa" w:w="648"/>
            <w:vAlign w:val="center"/>
            <w:tcMar>
              <w:top w:w="50" w:type="dxa"/>
              <w:bottom w:w="50" w:type="dxa"/>
              <w:left w:w="50" w:type="dxa"/>
              <w:right w:w="50" w:type="dxa"/>
            </w:tcMar>
            <w:shd w:fill="1B365D"/>
          </w:tcPr>
          <w:p>
            <w:pPr>
              <w:spacing w:before="20" w:after="20"/>
              <w:jc w:val="center"/>
            </w:pPr>
            <w:r>
              <w:rPr>
                <w:rFonts w:ascii="Arial" w:hAnsi="Arial"/>
                <w:b/>
                <w:color w:val="FFFFFF"/>
                <w:sz w:val="16"/>
              </w:rPr>
              <w:t>R²</w:t>
            </w:r>
          </w:p>
        </w:tc>
        <w:tc>
          <w:tcPr>
            <w:tcW w:type="dxa" w:w="864"/>
            <w:vAlign w:val="center"/>
            <w:tcMar>
              <w:top w:w="50" w:type="dxa"/>
              <w:bottom w:w="50" w:type="dxa"/>
              <w:left w:w="50" w:type="dxa"/>
              <w:right w:w="50" w:type="dxa"/>
            </w:tcMar>
            <w:shd w:fill="1B365D"/>
          </w:tcPr>
          <w:p>
            <w:pPr>
              <w:spacing w:before="20" w:after="20"/>
              <w:jc w:val="center"/>
            </w:pPr>
            <w:r>
              <w:rPr>
                <w:rFonts w:ascii="Arial" w:hAnsi="Arial"/>
                <w:b/>
                <w:color w:val="FFFFFF"/>
                <w:sz w:val="16"/>
              </w:rPr>
              <w:t>MAPE (%)</w:t>
            </w:r>
          </w:p>
        </w:tc>
        <w:tc>
          <w:tcPr>
            <w:tcW w:type="dxa" w:w="720"/>
            <w:vAlign w:val="center"/>
            <w:tcMar>
              <w:top w:w="50" w:type="dxa"/>
              <w:bottom w:w="50" w:type="dxa"/>
              <w:left w:w="50" w:type="dxa"/>
              <w:right w:w="50" w:type="dxa"/>
            </w:tcMar>
            <w:shd w:fill="1B365D"/>
          </w:tcPr>
          <w:p>
            <w:pPr>
              <w:spacing w:before="20" w:after="20"/>
              <w:jc w:val="center"/>
            </w:pPr>
            <w:r>
              <w:rPr>
                <w:rFonts w:ascii="Arial" w:hAnsi="Arial"/>
                <w:b/>
                <w:color w:val="FFFFFF"/>
                <w:sz w:val="16"/>
              </w:rPr>
              <w:t>MASE</w:t>
            </w:r>
          </w:p>
        </w:tc>
      </w:tr>
      <w:tr>
        <w:tc>
          <w:tcPr>
            <w:tcW w:type="dxa" w:w="2160"/>
            <w:vAlign w:val="center"/>
            <w:tcMar>
              <w:top w:w="50" w:type="dxa"/>
              <w:bottom w:w="50" w:type="dxa"/>
              <w:left w:w="50" w:type="dxa"/>
              <w:right w:w="50" w:type="dxa"/>
            </w:tcMar>
            <w:shd w:fill="F7FAFC"/>
          </w:tcPr>
          <w:p>
            <w:pPr>
              <w:spacing w:before="20" w:after="20"/>
              <w:jc w:val="left"/>
            </w:pPr>
            <w:r>
              <w:rPr>
                <w:rFonts w:ascii="Arial" w:hAnsi="Arial"/>
                <w:color w:val="2D3748"/>
                <w:sz w:val="16"/>
              </w:rPr>
              <w:t>Author Claimed Hybrid (Paper)</w:t>
            </w:r>
          </w:p>
        </w:tc>
        <w:tc>
          <w:tcPr>
            <w:tcW w:type="dxa" w:w="1440"/>
            <w:vAlign w:val="center"/>
            <w:tcMar>
              <w:top w:w="50" w:type="dxa"/>
              <w:bottom w:w="50" w:type="dxa"/>
              <w:left w:w="50" w:type="dxa"/>
              <w:right w:w="50" w:type="dxa"/>
            </w:tcMar>
            <w:shd w:fill="F7FAFC"/>
          </w:tcPr>
          <w:p>
            <w:pPr>
              <w:spacing w:before="20" w:after="20"/>
              <w:jc w:val="left"/>
            </w:pPr>
            <w:r>
              <w:rPr>
                <w:rFonts w:ascii="Arial" w:hAnsi="Arial"/>
                <w:color w:val="2D3748"/>
                <w:sz w:val="16"/>
              </w:rPr>
              <w:t>Base Paper Model</w:t>
            </w:r>
          </w:p>
        </w:tc>
        <w:tc>
          <w:tcPr>
            <w:tcW w:type="dxa" w:w="864"/>
            <w:vAlign w:val="center"/>
            <w:tcMar>
              <w:top w:w="50" w:type="dxa"/>
              <w:bottom w:w="50" w:type="dxa"/>
              <w:left w:w="50" w:type="dxa"/>
              <w:right w:w="50" w:type="dxa"/>
            </w:tcMar>
            <w:shd w:fill="F7FAFC"/>
          </w:tcPr>
          <w:p>
            <w:pPr>
              <w:spacing w:before="20" w:after="20"/>
              <w:jc w:val="center"/>
            </w:pPr>
            <w:r>
              <w:rPr>
                <w:rFonts w:ascii="Arial" w:hAnsi="Arial"/>
                <w:color w:val="2D3748"/>
                <w:sz w:val="16"/>
              </w:rPr>
              <w:t>&gt; 110,000</w:t>
            </w:r>
          </w:p>
        </w:tc>
        <w:tc>
          <w:tcPr>
            <w:tcW w:type="dxa" w:w="936"/>
            <w:vAlign w:val="center"/>
            <w:tcMar>
              <w:top w:w="50" w:type="dxa"/>
              <w:bottom w:w="50" w:type="dxa"/>
              <w:left w:w="50" w:type="dxa"/>
              <w:right w:w="50" w:type="dxa"/>
            </w:tcMar>
            <w:shd w:fill="F7FAFC"/>
          </w:tcPr>
          <w:p>
            <w:pPr>
              <w:spacing w:before="20" w:after="20"/>
              <w:jc w:val="center"/>
            </w:pPr>
            <w:r>
              <w:rPr>
                <w:rFonts w:ascii="Arial" w:hAnsi="Arial"/>
                <w:color w:val="2D3748"/>
                <w:sz w:val="16"/>
              </w:rPr>
              <w:t>Unreported</w:t>
            </w:r>
          </w:p>
        </w:tc>
        <w:tc>
          <w:tcPr>
            <w:tcW w:type="dxa" w:w="792"/>
            <w:vAlign w:val="center"/>
            <w:tcMar>
              <w:top w:w="50" w:type="dxa"/>
              <w:bottom w:w="50" w:type="dxa"/>
              <w:left w:w="50" w:type="dxa"/>
              <w:right w:w="50" w:type="dxa"/>
            </w:tcMar>
            <w:shd w:fill="F7FAFC"/>
          </w:tcPr>
          <w:p>
            <w:pPr>
              <w:spacing w:before="20" w:after="20"/>
              <w:jc w:val="center"/>
            </w:pPr>
            <w:r>
              <w:rPr>
                <w:rFonts w:ascii="Arial" w:hAnsi="Arial"/>
                <w:color w:val="2D3748"/>
                <w:sz w:val="16"/>
              </w:rPr>
              <w:t>14.940</w:t>
            </w:r>
          </w:p>
        </w:tc>
        <w:tc>
          <w:tcPr>
            <w:tcW w:type="dxa" w:w="792"/>
            <w:vAlign w:val="center"/>
            <w:tcMar>
              <w:top w:w="50" w:type="dxa"/>
              <w:bottom w:w="50" w:type="dxa"/>
              <w:left w:w="50" w:type="dxa"/>
              <w:right w:w="50" w:type="dxa"/>
            </w:tcMar>
            <w:shd w:fill="F7FAFC"/>
          </w:tcPr>
          <w:p>
            <w:pPr>
              <w:spacing w:before="20" w:after="20"/>
              <w:jc w:val="center"/>
            </w:pPr>
            <w:r>
              <w:rPr>
                <w:rFonts w:ascii="Arial" w:hAnsi="Arial"/>
                <w:color w:val="2D3748"/>
                <w:sz w:val="16"/>
              </w:rPr>
              <w:t>10.839</w:t>
            </w:r>
          </w:p>
        </w:tc>
        <w:tc>
          <w:tcPr>
            <w:tcW w:type="dxa" w:w="648"/>
            <w:vAlign w:val="center"/>
            <w:tcMar>
              <w:top w:w="50" w:type="dxa"/>
              <w:bottom w:w="50" w:type="dxa"/>
              <w:left w:w="50" w:type="dxa"/>
              <w:right w:w="50" w:type="dxa"/>
            </w:tcMar>
            <w:shd w:fill="F7FAFC"/>
          </w:tcPr>
          <w:p>
            <w:pPr>
              <w:spacing w:before="20" w:after="20"/>
              <w:jc w:val="center"/>
            </w:pPr>
            <w:r>
              <w:rPr>
                <w:rFonts w:ascii="Arial" w:hAnsi="Arial"/>
                <w:color w:val="2D3748"/>
                <w:sz w:val="16"/>
              </w:rPr>
              <w:t>0.962</w:t>
            </w:r>
          </w:p>
        </w:tc>
        <w:tc>
          <w:tcPr>
            <w:tcW w:type="dxa" w:w="864"/>
            <w:vAlign w:val="center"/>
            <w:tcMar>
              <w:top w:w="50" w:type="dxa"/>
              <w:bottom w:w="50" w:type="dxa"/>
              <w:left w:w="50" w:type="dxa"/>
              <w:right w:w="50" w:type="dxa"/>
            </w:tcMar>
            <w:shd w:fill="F7FAFC"/>
          </w:tcPr>
          <w:p>
            <w:pPr>
              <w:spacing w:before="20" w:after="20"/>
              <w:jc w:val="center"/>
            </w:pPr>
            <w:r>
              <w:rPr>
                <w:rFonts w:ascii="Arial" w:hAnsi="Arial"/>
                <w:color w:val="2D3748"/>
                <w:sz w:val="16"/>
              </w:rPr>
              <w:t>Unreported</w:t>
            </w:r>
          </w:p>
        </w:tc>
        <w:tc>
          <w:tcPr>
            <w:tcW w:type="dxa" w:w="720"/>
            <w:vAlign w:val="center"/>
            <w:tcMar>
              <w:top w:w="50" w:type="dxa"/>
              <w:bottom w:w="50" w:type="dxa"/>
              <w:left w:w="50" w:type="dxa"/>
              <w:right w:w="50" w:type="dxa"/>
            </w:tcMar>
            <w:shd w:fill="F7FAFC"/>
          </w:tcPr>
          <w:p>
            <w:pPr>
              <w:spacing w:before="20" w:after="20"/>
              <w:jc w:val="center"/>
            </w:pPr>
            <w:r>
              <w:rPr>
                <w:rFonts w:ascii="Arial" w:hAnsi="Arial"/>
                <w:color w:val="2D3748"/>
                <w:sz w:val="16"/>
              </w:rPr>
              <w:t>Unreported</w:t>
            </w:r>
          </w:p>
        </w:tc>
      </w:tr>
      <w:tr>
        <w:tc>
          <w:tcPr>
            <w:tcW w:type="dxa" w:w="2160"/>
            <w:vAlign w:val="center"/>
            <w:tcMar>
              <w:top w:w="50" w:type="dxa"/>
              <w:bottom w:w="50" w:type="dxa"/>
              <w:left w:w="50" w:type="dxa"/>
              <w:right w:w="50" w:type="dxa"/>
            </w:tcMar>
            <w:shd w:fill="FFFFFF"/>
          </w:tcPr>
          <w:p>
            <w:pPr>
              <w:spacing w:before="20" w:after="20"/>
              <w:jc w:val="left"/>
            </w:pPr>
            <w:r>
              <w:rPr>
                <w:rFonts w:ascii="Arial" w:hAnsi="Arial"/>
                <w:color w:val="2D3748"/>
                <w:sz w:val="16"/>
              </w:rPr>
              <w:t>Audited Hybrid (Honest Split)</w:t>
            </w:r>
          </w:p>
        </w:tc>
        <w:tc>
          <w:tcPr>
            <w:tcW w:type="dxa" w:w="1440"/>
            <w:vAlign w:val="center"/>
            <w:tcMar>
              <w:top w:w="50" w:type="dxa"/>
              <w:bottom w:w="50" w:type="dxa"/>
              <w:left w:w="50" w:type="dxa"/>
              <w:right w:w="50" w:type="dxa"/>
            </w:tcMar>
            <w:shd w:fill="FFFFFF"/>
          </w:tcPr>
          <w:p>
            <w:pPr>
              <w:spacing w:before="20" w:after="20"/>
              <w:jc w:val="left"/>
            </w:pPr>
            <w:r>
              <w:rPr>
                <w:rFonts w:ascii="Arial" w:hAnsi="Arial"/>
                <w:color w:val="2D3748"/>
                <w:sz w:val="16"/>
              </w:rPr>
              <w:t>Enhanced Audit</w:t>
            </w:r>
          </w:p>
        </w:tc>
        <w:tc>
          <w:tcPr>
            <w:tcW w:type="dxa" w:w="864"/>
            <w:vAlign w:val="center"/>
            <w:tcMar>
              <w:top w:w="50" w:type="dxa"/>
              <w:bottom w:w="50" w:type="dxa"/>
              <w:left w:w="50" w:type="dxa"/>
              <w:right w:w="50" w:type="dxa"/>
            </w:tcMar>
            <w:shd w:fill="FFFFFF"/>
          </w:tcPr>
          <w:p>
            <w:pPr>
              <w:spacing w:before="20" w:after="20"/>
              <w:jc w:val="center"/>
            </w:pPr>
            <w:r>
              <w:rPr>
                <w:rFonts w:ascii="Arial" w:hAnsi="Arial"/>
                <w:color w:val="2D3748"/>
                <w:sz w:val="16"/>
              </w:rPr>
              <w:t>112,450</w:t>
            </w:r>
          </w:p>
        </w:tc>
        <w:tc>
          <w:tcPr>
            <w:tcW w:type="dxa" w:w="936"/>
            <w:vAlign w:val="center"/>
            <w:tcMar>
              <w:top w:w="50" w:type="dxa"/>
              <w:bottom w:w="50" w:type="dxa"/>
              <w:left w:w="50" w:type="dxa"/>
              <w:right w:w="50" w:type="dxa"/>
            </w:tcMar>
            <w:shd w:fill="FFFFFF"/>
          </w:tcPr>
          <w:p>
            <w:pPr>
              <w:spacing w:before="20" w:after="20"/>
              <w:jc w:val="center"/>
            </w:pPr>
            <w:r>
              <w:rPr>
                <w:rFonts w:ascii="Arial" w:hAnsi="Arial"/>
                <w:color w:val="2D3748"/>
                <w:sz w:val="16"/>
              </w:rPr>
              <w:t>1,480.2 s</w:t>
            </w:r>
          </w:p>
        </w:tc>
        <w:tc>
          <w:tcPr>
            <w:tcW w:type="dxa" w:w="792"/>
            <w:vAlign w:val="center"/>
            <w:tcMar>
              <w:top w:w="50" w:type="dxa"/>
              <w:bottom w:w="50" w:type="dxa"/>
              <w:left w:w="50" w:type="dxa"/>
              <w:right w:w="50" w:type="dxa"/>
            </w:tcMar>
            <w:shd w:fill="FFFFFF"/>
          </w:tcPr>
          <w:p>
            <w:pPr>
              <w:spacing w:before="20" w:after="20"/>
              <w:jc w:val="center"/>
            </w:pPr>
            <w:r>
              <w:rPr>
                <w:rFonts w:ascii="Arial" w:hAnsi="Arial"/>
                <w:color w:val="2D3748"/>
                <w:sz w:val="16"/>
              </w:rPr>
              <w:t>35.980</w:t>
            </w:r>
          </w:p>
        </w:tc>
        <w:tc>
          <w:tcPr>
            <w:tcW w:type="dxa" w:w="792"/>
            <w:vAlign w:val="center"/>
            <w:tcMar>
              <w:top w:w="50" w:type="dxa"/>
              <w:bottom w:w="50" w:type="dxa"/>
              <w:left w:w="50" w:type="dxa"/>
              <w:right w:w="50" w:type="dxa"/>
            </w:tcMar>
            <w:shd w:fill="FFFFFF"/>
          </w:tcPr>
          <w:p>
            <w:pPr>
              <w:spacing w:before="20" w:after="20"/>
              <w:jc w:val="center"/>
            </w:pPr>
            <w:r>
              <w:rPr>
                <w:rFonts w:ascii="Arial" w:hAnsi="Arial"/>
                <w:color w:val="2D3748"/>
                <w:sz w:val="16"/>
              </w:rPr>
              <w:t>22.899</w:t>
            </w:r>
          </w:p>
        </w:tc>
        <w:tc>
          <w:tcPr>
            <w:tcW w:type="dxa" w:w="648"/>
            <w:vAlign w:val="center"/>
            <w:tcMar>
              <w:top w:w="50" w:type="dxa"/>
              <w:bottom w:w="50" w:type="dxa"/>
              <w:left w:w="50" w:type="dxa"/>
              <w:right w:w="50" w:type="dxa"/>
            </w:tcMar>
            <w:shd w:fill="FFFFFF"/>
          </w:tcPr>
          <w:p>
            <w:pPr>
              <w:spacing w:before="20" w:after="20"/>
              <w:jc w:val="center"/>
            </w:pPr>
            <w:r>
              <w:rPr>
                <w:rFonts w:ascii="Arial" w:hAnsi="Arial"/>
                <w:color w:val="2D3748"/>
                <w:sz w:val="16"/>
              </w:rPr>
              <w:t>0.388</w:t>
            </w:r>
          </w:p>
        </w:tc>
        <w:tc>
          <w:tcPr>
            <w:tcW w:type="dxa" w:w="864"/>
            <w:vAlign w:val="center"/>
            <w:tcMar>
              <w:top w:w="50" w:type="dxa"/>
              <w:bottom w:w="50" w:type="dxa"/>
              <w:left w:w="50" w:type="dxa"/>
              <w:right w:w="50" w:type="dxa"/>
            </w:tcMar>
            <w:shd w:fill="FFFFFF"/>
          </w:tcPr>
          <w:p>
            <w:pPr>
              <w:spacing w:before="20" w:after="20"/>
              <w:jc w:val="center"/>
            </w:pPr>
            <w:r>
              <w:rPr>
                <w:rFonts w:ascii="Arial" w:hAnsi="Arial"/>
                <w:color w:val="2D3748"/>
                <w:sz w:val="16"/>
              </w:rPr>
              <w:t>35.57%</w:t>
            </w:r>
          </w:p>
        </w:tc>
        <w:tc>
          <w:tcPr>
            <w:tcW w:type="dxa" w:w="720"/>
            <w:vAlign w:val="center"/>
            <w:tcMar>
              <w:top w:w="50" w:type="dxa"/>
              <w:bottom w:w="50" w:type="dxa"/>
              <w:left w:w="50" w:type="dxa"/>
              <w:right w:w="50" w:type="dxa"/>
            </w:tcMar>
            <w:shd w:fill="FFFFFF"/>
          </w:tcPr>
          <w:p>
            <w:pPr>
              <w:spacing w:before="20" w:after="20"/>
              <w:jc w:val="center"/>
            </w:pPr>
            <w:r>
              <w:rPr>
                <w:rFonts w:ascii="Arial" w:hAnsi="Arial"/>
                <w:color w:val="2D3748"/>
                <w:sz w:val="16"/>
              </w:rPr>
              <w:t>0.596</w:t>
            </w:r>
          </w:p>
        </w:tc>
      </w:tr>
      <w:tr>
        <w:tc>
          <w:tcPr>
            <w:tcW w:type="dxa" w:w="2160"/>
            <w:vAlign w:val="center"/>
            <w:tcMar>
              <w:top w:w="50" w:type="dxa"/>
              <w:bottom w:w="50" w:type="dxa"/>
              <w:left w:w="50" w:type="dxa"/>
              <w:right w:w="50" w:type="dxa"/>
            </w:tcMar>
            <w:shd w:fill="F7FAFC"/>
          </w:tcPr>
          <w:p>
            <w:pPr>
              <w:spacing w:before="20" w:after="20"/>
              <w:jc w:val="left"/>
            </w:pPr>
            <w:r>
              <w:rPr>
                <w:rFonts w:ascii="Arial" w:hAnsi="Arial"/>
                <w:color w:val="2D3748"/>
                <w:sz w:val="16"/>
              </w:rPr>
              <w:t>Pure ARIMA(3, 1, 1)</w:t>
            </w:r>
          </w:p>
        </w:tc>
        <w:tc>
          <w:tcPr>
            <w:tcW w:type="dxa" w:w="1440"/>
            <w:vAlign w:val="center"/>
            <w:tcMar>
              <w:top w:w="50" w:type="dxa"/>
              <w:bottom w:w="50" w:type="dxa"/>
              <w:left w:w="50" w:type="dxa"/>
              <w:right w:w="50" w:type="dxa"/>
            </w:tcMar>
            <w:shd w:fill="F7FAFC"/>
          </w:tcPr>
          <w:p>
            <w:pPr>
              <w:spacing w:before="20" w:after="20"/>
              <w:jc w:val="left"/>
            </w:pPr>
            <w:r>
              <w:rPr>
                <w:rFonts w:ascii="Arial" w:hAnsi="Arial"/>
                <w:color w:val="2D3748"/>
                <w:sz w:val="16"/>
              </w:rPr>
              <w:t>Statistical Baseline</w:t>
            </w:r>
          </w:p>
        </w:tc>
        <w:tc>
          <w:tcPr>
            <w:tcW w:type="dxa" w:w="864"/>
            <w:vAlign w:val="center"/>
            <w:tcMar>
              <w:top w:w="50" w:type="dxa"/>
              <w:bottom w:w="50" w:type="dxa"/>
              <w:left w:w="50" w:type="dxa"/>
              <w:right w:w="50" w:type="dxa"/>
            </w:tcMar>
            <w:shd w:fill="F7FAFC"/>
          </w:tcPr>
          <w:p>
            <w:pPr>
              <w:spacing w:before="20" w:after="20"/>
              <w:jc w:val="center"/>
            </w:pPr>
            <w:r>
              <w:rPr>
                <w:rFonts w:ascii="Arial" w:hAnsi="Arial"/>
                <w:color w:val="2D3748"/>
                <w:sz w:val="16"/>
              </w:rPr>
              <w:t>5</w:t>
            </w:r>
          </w:p>
        </w:tc>
        <w:tc>
          <w:tcPr>
            <w:tcW w:type="dxa" w:w="936"/>
            <w:vAlign w:val="center"/>
            <w:tcMar>
              <w:top w:w="50" w:type="dxa"/>
              <w:bottom w:w="50" w:type="dxa"/>
              <w:left w:w="50" w:type="dxa"/>
              <w:right w:w="50" w:type="dxa"/>
            </w:tcMar>
            <w:shd w:fill="F7FAFC"/>
          </w:tcPr>
          <w:p>
            <w:pPr>
              <w:spacing w:before="20" w:after="20"/>
              <w:jc w:val="center"/>
            </w:pPr>
            <w:r>
              <w:rPr>
                <w:rFonts w:ascii="Arial" w:hAnsi="Arial"/>
                <w:color w:val="2D3748"/>
                <w:sz w:val="16"/>
              </w:rPr>
              <w:t>0.24 s</w:t>
            </w:r>
          </w:p>
        </w:tc>
        <w:tc>
          <w:tcPr>
            <w:tcW w:type="dxa" w:w="792"/>
            <w:vAlign w:val="center"/>
            <w:tcMar>
              <w:top w:w="50" w:type="dxa"/>
              <w:bottom w:w="50" w:type="dxa"/>
              <w:left w:w="50" w:type="dxa"/>
              <w:right w:w="50" w:type="dxa"/>
            </w:tcMar>
            <w:shd w:fill="F7FAFC"/>
          </w:tcPr>
          <w:p>
            <w:pPr>
              <w:spacing w:before="20" w:after="20"/>
              <w:jc w:val="center"/>
            </w:pPr>
            <w:r>
              <w:rPr>
                <w:rFonts w:ascii="Arial" w:hAnsi="Arial"/>
                <w:color w:val="2D3748"/>
                <w:sz w:val="16"/>
              </w:rPr>
              <w:t>34.633</w:t>
            </w:r>
          </w:p>
        </w:tc>
        <w:tc>
          <w:tcPr>
            <w:tcW w:type="dxa" w:w="792"/>
            <w:vAlign w:val="center"/>
            <w:tcMar>
              <w:top w:w="50" w:type="dxa"/>
              <w:bottom w:w="50" w:type="dxa"/>
              <w:left w:w="50" w:type="dxa"/>
              <w:right w:w="50" w:type="dxa"/>
            </w:tcMar>
            <w:shd w:fill="F7FAFC"/>
          </w:tcPr>
          <w:p>
            <w:pPr>
              <w:spacing w:before="20" w:after="20"/>
              <w:jc w:val="center"/>
            </w:pPr>
            <w:r>
              <w:rPr>
                <w:rFonts w:ascii="Arial" w:hAnsi="Arial"/>
                <w:color w:val="2D3748"/>
                <w:sz w:val="16"/>
              </w:rPr>
              <w:t>22.935</w:t>
            </w:r>
          </w:p>
        </w:tc>
        <w:tc>
          <w:tcPr>
            <w:tcW w:type="dxa" w:w="648"/>
            <w:vAlign w:val="center"/>
            <w:tcMar>
              <w:top w:w="50" w:type="dxa"/>
              <w:bottom w:w="50" w:type="dxa"/>
              <w:left w:w="50" w:type="dxa"/>
              <w:right w:w="50" w:type="dxa"/>
            </w:tcMar>
            <w:shd w:fill="F7FAFC"/>
          </w:tcPr>
          <w:p>
            <w:pPr>
              <w:spacing w:before="20" w:after="20"/>
              <w:jc w:val="center"/>
            </w:pPr>
            <w:r>
              <w:rPr>
                <w:rFonts w:ascii="Arial" w:hAnsi="Arial"/>
                <w:color w:val="2D3748"/>
                <w:sz w:val="16"/>
              </w:rPr>
              <w:t>0.433</w:t>
            </w:r>
          </w:p>
        </w:tc>
        <w:tc>
          <w:tcPr>
            <w:tcW w:type="dxa" w:w="864"/>
            <w:vAlign w:val="center"/>
            <w:tcMar>
              <w:top w:w="50" w:type="dxa"/>
              <w:bottom w:w="50" w:type="dxa"/>
              <w:left w:w="50" w:type="dxa"/>
              <w:right w:w="50" w:type="dxa"/>
            </w:tcMar>
            <w:shd w:fill="F7FAFC"/>
          </w:tcPr>
          <w:p>
            <w:pPr>
              <w:spacing w:before="20" w:after="20"/>
              <w:jc w:val="center"/>
            </w:pPr>
            <w:r>
              <w:rPr>
                <w:rFonts w:ascii="Arial" w:hAnsi="Arial"/>
                <w:color w:val="2D3748"/>
                <w:sz w:val="16"/>
              </w:rPr>
              <w:t>41.80%</w:t>
            </w:r>
          </w:p>
        </w:tc>
        <w:tc>
          <w:tcPr>
            <w:tcW w:type="dxa" w:w="720"/>
            <w:vAlign w:val="center"/>
            <w:tcMar>
              <w:top w:w="50" w:type="dxa"/>
              <w:bottom w:w="50" w:type="dxa"/>
              <w:left w:w="50" w:type="dxa"/>
              <w:right w:w="50" w:type="dxa"/>
            </w:tcMar>
            <w:shd w:fill="F7FAFC"/>
          </w:tcPr>
          <w:p>
            <w:pPr>
              <w:spacing w:before="20" w:after="20"/>
              <w:jc w:val="center"/>
            </w:pPr>
            <w:r>
              <w:rPr>
                <w:rFonts w:ascii="Arial" w:hAnsi="Arial"/>
                <w:color w:val="2D3748"/>
                <w:sz w:val="16"/>
              </w:rPr>
              <w:t>0.597</w:t>
            </w:r>
          </w:p>
        </w:tc>
      </w:tr>
      <w:tr>
        <w:tc>
          <w:tcPr>
            <w:tcW w:type="dxa" w:w="2160"/>
            <w:vAlign w:val="center"/>
            <w:tcMar>
              <w:top w:w="50" w:type="dxa"/>
              <w:bottom w:w="50" w:type="dxa"/>
              <w:left w:w="50" w:type="dxa"/>
              <w:right w:w="50" w:type="dxa"/>
            </w:tcMar>
            <w:shd w:fill="FFFFFF"/>
          </w:tcPr>
          <w:p>
            <w:pPr>
              <w:spacing w:before="20" w:after="20"/>
              <w:jc w:val="left"/>
            </w:pPr>
            <w:r>
              <w:rPr>
                <w:rFonts w:ascii="Arial" w:hAnsi="Arial"/>
                <w:color w:val="2D3748"/>
                <w:sz w:val="16"/>
              </w:rPr>
              <w:t>Naive Persistence (ŷ_t = x_{t-1})</w:t>
            </w:r>
          </w:p>
        </w:tc>
        <w:tc>
          <w:tcPr>
            <w:tcW w:type="dxa" w:w="1440"/>
            <w:vAlign w:val="center"/>
            <w:tcMar>
              <w:top w:w="50" w:type="dxa"/>
              <w:bottom w:w="50" w:type="dxa"/>
              <w:left w:w="50" w:type="dxa"/>
              <w:right w:w="50" w:type="dxa"/>
            </w:tcMar>
            <w:shd w:fill="FFFFFF"/>
          </w:tcPr>
          <w:p>
            <w:pPr>
              <w:spacing w:before="20" w:after="20"/>
              <w:jc w:val="left"/>
            </w:pPr>
            <w:r>
              <w:rPr>
                <w:rFonts w:ascii="Arial" w:hAnsi="Arial"/>
                <w:color w:val="2D3748"/>
                <w:sz w:val="16"/>
              </w:rPr>
              <w:t>Zero-Cost Benchmark</w:t>
            </w:r>
          </w:p>
        </w:tc>
        <w:tc>
          <w:tcPr>
            <w:tcW w:type="dxa" w:w="864"/>
            <w:vAlign w:val="center"/>
            <w:tcMar>
              <w:top w:w="50" w:type="dxa"/>
              <w:bottom w:w="50" w:type="dxa"/>
              <w:left w:w="50" w:type="dxa"/>
              <w:right w:w="50" w:type="dxa"/>
            </w:tcMar>
            <w:shd w:fill="FFFFFF"/>
          </w:tcPr>
          <w:p>
            <w:pPr>
              <w:spacing w:before="20" w:after="20"/>
              <w:jc w:val="center"/>
            </w:pPr>
            <w:r>
              <w:rPr>
                <w:rFonts w:ascii="Arial" w:hAnsi="Arial"/>
                <w:color w:val="2D3748"/>
                <w:sz w:val="16"/>
              </w:rPr>
              <w:t>0</w:t>
            </w:r>
          </w:p>
        </w:tc>
        <w:tc>
          <w:tcPr>
            <w:tcW w:type="dxa" w:w="936"/>
            <w:vAlign w:val="center"/>
            <w:tcMar>
              <w:top w:w="50" w:type="dxa"/>
              <w:bottom w:w="50" w:type="dxa"/>
              <w:left w:w="50" w:type="dxa"/>
              <w:right w:w="50" w:type="dxa"/>
            </w:tcMar>
            <w:shd w:fill="FFFFFF"/>
          </w:tcPr>
          <w:p>
            <w:pPr>
              <w:spacing w:before="20" w:after="20"/>
              <w:jc w:val="center"/>
            </w:pPr>
            <w:r>
              <w:rPr>
                <w:rFonts w:ascii="Arial" w:hAnsi="Arial"/>
                <w:color w:val="2D3748"/>
                <w:sz w:val="16"/>
              </w:rPr>
              <w:t>0.00 s</w:t>
            </w:r>
          </w:p>
        </w:tc>
        <w:tc>
          <w:tcPr>
            <w:tcW w:type="dxa" w:w="792"/>
            <w:vAlign w:val="center"/>
            <w:tcMar>
              <w:top w:w="50" w:type="dxa"/>
              <w:bottom w:w="50" w:type="dxa"/>
              <w:left w:w="50" w:type="dxa"/>
              <w:right w:w="50" w:type="dxa"/>
            </w:tcMar>
            <w:shd w:fill="FFFFFF"/>
          </w:tcPr>
          <w:p>
            <w:pPr>
              <w:spacing w:before="20" w:after="20"/>
              <w:jc w:val="center"/>
            </w:pPr>
            <w:r>
              <w:rPr>
                <w:rFonts w:ascii="Arial" w:hAnsi="Arial"/>
                <w:color w:val="2D3748"/>
                <w:sz w:val="16"/>
              </w:rPr>
              <w:t>37.473</w:t>
            </w:r>
          </w:p>
        </w:tc>
        <w:tc>
          <w:tcPr>
            <w:tcW w:type="dxa" w:w="792"/>
            <w:vAlign w:val="center"/>
            <w:tcMar>
              <w:top w:w="50" w:type="dxa"/>
              <w:bottom w:w="50" w:type="dxa"/>
              <w:left w:w="50" w:type="dxa"/>
              <w:right w:w="50" w:type="dxa"/>
            </w:tcMar>
            <w:shd w:fill="FFFFFF"/>
          </w:tcPr>
          <w:p>
            <w:pPr>
              <w:spacing w:before="20" w:after="20"/>
              <w:jc w:val="center"/>
            </w:pPr>
            <w:r>
              <w:rPr>
                <w:rFonts w:ascii="Arial" w:hAnsi="Arial"/>
                <w:color w:val="2D3748"/>
                <w:sz w:val="16"/>
              </w:rPr>
              <w:t>23.361</w:t>
            </w:r>
          </w:p>
        </w:tc>
        <w:tc>
          <w:tcPr>
            <w:tcW w:type="dxa" w:w="648"/>
            <w:vAlign w:val="center"/>
            <w:tcMar>
              <w:top w:w="50" w:type="dxa"/>
              <w:bottom w:w="50" w:type="dxa"/>
              <w:left w:w="50" w:type="dxa"/>
              <w:right w:w="50" w:type="dxa"/>
            </w:tcMar>
            <w:shd w:fill="FFFFFF"/>
          </w:tcPr>
          <w:p>
            <w:pPr>
              <w:spacing w:before="20" w:after="20"/>
              <w:jc w:val="center"/>
            </w:pPr>
            <w:r>
              <w:rPr>
                <w:rFonts w:ascii="Arial" w:hAnsi="Arial"/>
                <w:color w:val="2D3748"/>
                <w:sz w:val="16"/>
              </w:rPr>
              <w:t>0.336</w:t>
            </w:r>
          </w:p>
        </w:tc>
        <w:tc>
          <w:tcPr>
            <w:tcW w:type="dxa" w:w="864"/>
            <w:vAlign w:val="center"/>
            <w:tcMar>
              <w:top w:w="50" w:type="dxa"/>
              <w:bottom w:w="50" w:type="dxa"/>
              <w:left w:w="50" w:type="dxa"/>
              <w:right w:w="50" w:type="dxa"/>
            </w:tcMar>
            <w:shd w:fill="FFFFFF"/>
          </w:tcPr>
          <w:p>
            <w:pPr>
              <w:spacing w:before="20" w:after="20"/>
              <w:jc w:val="center"/>
            </w:pPr>
            <w:r>
              <w:rPr>
                <w:rFonts w:ascii="Arial" w:hAnsi="Arial"/>
                <w:color w:val="2D3748"/>
                <w:sz w:val="16"/>
              </w:rPr>
              <w:t>41.83%</w:t>
            </w:r>
          </w:p>
        </w:tc>
        <w:tc>
          <w:tcPr>
            <w:tcW w:type="dxa" w:w="720"/>
            <w:vAlign w:val="center"/>
            <w:tcMar>
              <w:top w:w="50" w:type="dxa"/>
              <w:bottom w:w="50" w:type="dxa"/>
              <w:left w:w="50" w:type="dxa"/>
              <w:right w:w="50" w:type="dxa"/>
            </w:tcMar>
            <w:shd w:fill="FFFFFF"/>
          </w:tcPr>
          <w:p>
            <w:pPr>
              <w:spacing w:before="20" w:after="20"/>
              <w:jc w:val="center"/>
            </w:pPr>
            <w:r>
              <w:rPr>
                <w:rFonts w:ascii="Arial" w:hAnsi="Arial"/>
                <w:color w:val="2D3748"/>
                <w:sz w:val="16"/>
              </w:rPr>
              <w:t>0.608</w:t>
            </w:r>
          </w:p>
        </w:tc>
      </w:tr>
      <w:tr>
        <w:tc>
          <w:tcPr>
            <w:tcW w:type="dxa" w:w="2160"/>
            <w:vAlign w:val="center"/>
            <w:tcMar>
              <w:top w:w="50" w:type="dxa"/>
              <w:bottom w:w="50" w:type="dxa"/>
              <w:left w:w="50" w:type="dxa"/>
              <w:right w:w="50" w:type="dxa"/>
            </w:tcMar>
            <w:shd w:fill="F7FAFC"/>
          </w:tcPr>
          <w:p>
            <w:pPr>
              <w:spacing w:before="20" w:after="20"/>
              <w:jc w:val="left"/>
            </w:pPr>
            <w:r>
              <w:rPr>
                <w:rFonts w:ascii="Arial" w:hAnsi="Arial"/>
                <w:color w:val="2D3748"/>
                <w:sz w:val="16"/>
              </w:rPr>
              <w:t>Gradient Boosted Trees (Alt. 1)</w:t>
            </w:r>
          </w:p>
        </w:tc>
        <w:tc>
          <w:tcPr>
            <w:tcW w:type="dxa" w:w="1440"/>
            <w:vAlign w:val="center"/>
            <w:tcMar>
              <w:top w:w="50" w:type="dxa"/>
              <w:bottom w:w="50" w:type="dxa"/>
              <w:left w:w="50" w:type="dxa"/>
              <w:right w:w="50" w:type="dxa"/>
            </w:tcMar>
            <w:shd w:fill="F7FAFC"/>
          </w:tcPr>
          <w:p>
            <w:pPr>
              <w:spacing w:before="20" w:after="20"/>
              <w:jc w:val="left"/>
            </w:pPr>
            <w:r>
              <w:rPr>
                <w:rFonts w:ascii="Arial" w:hAnsi="Arial"/>
                <w:color w:val="2D3748"/>
                <w:sz w:val="16"/>
              </w:rPr>
              <w:t>Proposed Alternative</w:t>
            </w:r>
          </w:p>
        </w:tc>
        <w:tc>
          <w:tcPr>
            <w:tcW w:type="dxa" w:w="864"/>
            <w:vAlign w:val="center"/>
            <w:tcMar>
              <w:top w:w="50" w:type="dxa"/>
              <w:bottom w:w="50" w:type="dxa"/>
              <w:left w:w="50" w:type="dxa"/>
              <w:right w:w="50" w:type="dxa"/>
            </w:tcMar>
            <w:shd w:fill="F7FAFC"/>
          </w:tcPr>
          <w:p>
            <w:pPr>
              <w:spacing w:before="20" w:after="20"/>
              <w:jc w:val="center"/>
            </w:pPr>
            <w:r>
              <w:rPr>
                <w:rFonts w:ascii="Arial" w:hAnsi="Arial"/>
                <w:color w:val="2D3748"/>
                <w:sz w:val="16"/>
              </w:rPr>
              <w:t>100 trees</w:t>
            </w:r>
          </w:p>
        </w:tc>
        <w:tc>
          <w:tcPr>
            <w:tcW w:type="dxa" w:w="936"/>
            <w:vAlign w:val="center"/>
            <w:tcMar>
              <w:top w:w="50" w:type="dxa"/>
              <w:bottom w:w="50" w:type="dxa"/>
              <w:left w:w="50" w:type="dxa"/>
              <w:right w:w="50" w:type="dxa"/>
            </w:tcMar>
            <w:shd w:fill="F7FAFC"/>
          </w:tcPr>
          <w:p>
            <w:pPr>
              <w:spacing w:before="20" w:after="20"/>
              <w:jc w:val="center"/>
            </w:pPr>
            <w:r>
              <w:rPr>
                <w:rFonts w:ascii="Arial" w:hAnsi="Arial"/>
                <w:color w:val="2D3748"/>
                <w:sz w:val="16"/>
              </w:rPr>
              <w:t>0.42 s</w:t>
            </w:r>
          </w:p>
        </w:tc>
        <w:tc>
          <w:tcPr>
            <w:tcW w:type="dxa" w:w="792"/>
            <w:vAlign w:val="center"/>
            <w:tcMar>
              <w:top w:w="50" w:type="dxa"/>
              <w:bottom w:w="50" w:type="dxa"/>
              <w:left w:w="50" w:type="dxa"/>
              <w:right w:w="50" w:type="dxa"/>
            </w:tcMar>
            <w:shd w:fill="F7FAFC"/>
          </w:tcPr>
          <w:p>
            <w:pPr>
              <w:spacing w:before="20" w:after="20"/>
              <w:jc w:val="center"/>
            </w:pPr>
            <w:r>
              <w:rPr>
                <w:rFonts w:ascii="Arial" w:hAnsi="Arial"/>
                <w:color w:val="2D3748"/>
                <w:sz w:val="16"/>
              </w:rPr>
              <w:t>36.420</w:t>
            </w:r>
          </w:p>
        </w:tc>
        <w:tc>
          <w:tcPr>
            <w:tcW w:type="dxa" w:w="792"/>
            <w:vAlign w:val="center"/>
            <w:tcMar>
              <w:top w:w="50" w:type="dxa"/>
              <w:bottom w:w="50" w:type="dxa"/>
              <w:left w:w="50" w:type="dxa"/>
              <w:right w:w="50" w:type="dxa"/>
            </w:tcMar>
            <w:shd w:fill="F7FAFC"/>
          </w:tcPr>
          <w:p>
            <w:pPr>
              <w:spacing w:before="20" w:after="20"/>
              <w:jc w:val="center"/>
            </w:pPr>
            <w:r>
              <w:rPr>
                <w:rFonts w:ascii="Arial" w:hAnsi="Arial"/>
                <w:color w:val="2D3748"/>
                <w:sz w:val="16"/>
              </w:rPr>
              <w:t>25.490</w:t>
            </w:r>
          </w:p>
        </w:tc>
        <w:tc>
          <w:tcPr>
            <w:tcW w:type="dxa" w:w="648"/>
            <w:vAlign w:val="center"/>
            <w:tcMar>
              <w:top w:w="50" w:type="dxa"/>
              <w:bottom w:w="50" w:type="dxa"/>
              <w:left w:w="50" w:type="dxa"/>
              <w:right w:w="50" w:type="dxa"/>
            </w:tcMar>
            <w:shd w:fill="F7FAFC"/>
          </w:tcPr>
          <w:p>
            <w:pPr>
              <w:spacing w:before="20" w:after="20"/>
              <w:jc w:val="center"/>
            </w:pPr>
            <w:r>
              <w:rPr>
                <w:rFonts w:ascii="Arial" w:hAnsi="Arial"/>
                <w:color w:val="2D3748"/>
                <w:sz w:val="16"/>
              </w:rPr>
              <w:t>0.373</w:t>
            </w:r>
          </w:p>
        </w:tc>
        <w:tc>
          <w:tcPr>
            <w:tcW w:type="dxa" w:w="864"/>
            <w:vAlign w:val="center"/>
            <w:tcMar>
              <w:top w:w="50" w:type="dxa"/>
              <w:bottom w:w="50" w:type="dxa"/>
              <w:left w:w="50" w:type="dxa"/>
              <w:right w:w="50" w:type="dxa"/>
            </w:tcMar>
            <w:shd w:fill="F7FAFC"/>
          </w:tcPr>
          <w:p>
            <w:pPr>
              <w:spacing w:before="20" w:after="20"/>
              <w:jc w:val="center"/>
            </w:pPr>
            <w:r>
              <w:rPr>
                <w:rFonts w:ascii="Arial" w:hAnsi="Arial"/>
                <w:color w:val="2D3748"/>
                <w:sz w:val="16"/>
              </w:rPr>
              <w:t>54.63%</w:t>
            </w:r>
          </w:p>
        </w:tc>
        <w:tc>
          <w:tcPr>
            <w:tcW w:type="dxa" w:w="720"/>
            <w:vAlign w:val="center"/>
            <w:tcMar>
              <w:top w:w="50" w:type="dxa"/>
              <w:bottom w:w="50" w:type="dxa"/>
              <w:left w:w="50" w:type="dxa"/>
              <w:right w:w="50" w:type="dxa"/>
            </w:tcMar>
            <w:shd w:fill="F7FAFC"/>
          </w:tcPr>
          <w:p>
            <w:pPr>
              <w:spacing w:before="20" w:after="20"/>
              <w:jc w:val="center"/>
            </w:pPr>
            <w:r>
              <w:rPr>
                <w:rFonts w:ascii="Arial" w:hAnsi="Arial"/>
                <w:color w:val="2D3748"/>
                <w:sz w:val="16"/>
              </w:rPr>
              <w:t>0.664</w:t>
            </w:r>
          </w:p>
        </w:tc>
      </w:tr>
      <w:tr>
        <w:tc>
          <w:tcPr>
            <w:tcW w:type="dxa" w:w="2160"/>
            <w:vAlign w:val="center"/>
            <w:tcMar>
              <w:top w:w="50" w:type="dxa"/>
              <w:bottom w:w="50" w:type="dxa"/>
              <w:left w:w="50" w:type="dxa"/>
              <w:right w:w="50" w:type="dxa"/>
            </w:tcMar>
            <w:shd w:fill="FFFFFF"/>
          </w:tcPr>
          <w:p>
            <w:pPr>
              <w:spacing w:before="20" w:after="20"/>
              <w:jc w:val="left"/>
            </w:pPr>
            <w:r>
              <w:rPr>
                <w:rFonts w:ascii="Arial" w:hAnsi="Arial"/>
                <w:color w:val="2D3748"/>
                <w:sz w:val="16"/>
              </w:rPr>
              <w:t>Random Forest Regressor</w:t>
            </w:r>
          </w:p>
        </w:tc>
        <w:tc>
          <w:tcPr>
            <w:tcW w:type="dxa" w:w="1440"/>
            <w:vAlign w:val="center"/>
            <w:tcMar>
              <w:top w:w="50" w:type="dxa"/>
              <w:bottom w:w="50" w:type="dxa"/>
              <w:left w:w="50" w:type="dxa"/>
              <w:right w:w="50" w:type="dxa"/>
            </w:tcMar>
            <w:shd w:fill="FFFFFF"/>
          </w:tcPr>
          <w:p>
            <w:pPr>
              <w:spacing w:before="20" w:after="20"/>
              <w:jc w:val="left"/>
            </w:pPr>
            <w:r>
              <w:rPr>
                <w:rFonts w:ascii="Arial" w:hAnsi="Arial"/>
                <w:color w:val="2D3748"/>
                <w:sz w:val="16"/>
              </w:rPr>
              <w:t>Tree-based Baseline</w:t>
            </w:r>
          </w:p>
        </w:tc>
        <w:tc>
          <w:tcPr>
            <w:tcW w:type="dxa" w:w="864"/>
            <w:vAlign w:val="center"/>
            <w:tcMar>
              <w:top w:w="50" w:type="dxa"/>
              <w:bottom w:w="50" w:type="dxa"/>
              <w:left w:w="50" w:type="dxa"/>
              <w:right w:w="50" w:type="dxa"/>
            </w:tcMar>
            <w:shd w:fill="FFFFFF"/>
          </w:tcPr>
          <w:p>
            <w:pPr>
              <w:spacing w:before="20" w:after="20"/>
              <w:jc w:val="center"/>
            </w:pPr>
            <w:r>
              <w:rPr>
                <w:rFonts w:ascii="Arial" w:hAnsi="Arial"/>
                <w:color w:val="2D3748"/>
                <w:sz w:val="16"/>
              </w:rPr>
              <w:t>100 trees</w:t>
            </w:r>
          </w:p>
        </w:tc>
        <w:tc>
          <w:tcPr>
            <w:tcW w:type="dxa" w:w="936"/>
            <w:vAlign w:val="center"/>
            <w:tcMar>
              <w:top w:w="50" w:type="dxa"/>
              <w:bottom w:w="50" w:type="dxa"/>
              <w:left w:w="50" w:type="dxa"/>
              <w:right w:w="50" w:type="dxa"/>
            </w:tcMar>
            <w:shd w:fill="FFFFFF"/>
          </w:tcPr>
          <w:p>
            <w:pPr>
              <w:spacing w:before="20" w:after="20"/>
              <w:jc w:val="center"/>
            </w:pPr>
            <w:r>
              <w:rPr>
                <w:rFonts w:ascii="Arial" w:hAnsi="Arial"/>
                <w:color w:val="2D3748"/>
                <w:sz w:val="16"/>
              </w:rPr>
              <w:t>1.18 s</w:t>
            </w:r>
          </w:p>
        </w:tc>
        <w:tc>
          <w:tcPr>
            <w:tcW w:type="dxa" w:w="792"/>
            <w:vAlign w:val="center"/>
            <w:tcMar>
              <w:top w:w="50" w:type="dxa"/>
              <w:bottom w:w="50" w:type="dxa"/>
              <w:left w:w="50" w:type="dxa"/>
              <w:right w:w="50" w:type="dxa"/>
            </w:tcMar>
            <w:shd w:fill="FFFFFF"/>
          </w:tcPr>
          <w:p>
            <w:pPr>
              <w:spacing w:before="20" w:after="20"/>
              <w:jc w:val="center"/>
            </w:pPr>
            <w:r>
              <w:rPr>
                <w:rFonts w:ascii="Arial" w:hAnsi="Arial"/>
                <w:color w:val="2D3748"/>
                <w:sz w:val="16"/>
              </w:rPr>
              <w:t>37.265</w:t>
            </w:r>
          </w:p>
        </w:tc>
        <w:tc>
          <w:tcPr>
            <w:tcW w:type="dxa" w:w="792"/>
            <w:vAlign w:val="center"/>
            <w:tcMar>
              <w:top w:w="50" w:type="dxa"/>
              <w:bottom w:w="50" w:type="dxa"/>
              <w:left w:w="50" w:type="dxa"/>
              <w:right w:w="50" w:type="dxa"/>
            </w:tcMar>
            <w:shd w:fill="FFFFFF"/>
          </w:tcPr>
          <w:p>
            <w:pPr>
              <w:spacing w:before="20" w:after="20"/>
              <w:jc w:val="center"/>
            </w:pPr>
            <w:r>
              <w:rPr>
                <w:rFonts w:ascii="Arial" w:hAnsi="Arial"/>
                <w:color w:val="2D3748"/>
                <w:sz w:val="16"/>
              </w:rPr>
              <w:t>25.447</w:t>
            </w:r>
          </w:p>
        </w:tc>
        <w:tc>
          <w:tcPr>
            <w:tcW w:type="dxa" w:w="648"/>
            <w:vAlign w:val="center"/>
            <w:tcMar>
              <w:top w:w="50" w:type="dxa"/>
              <w:bottom w:w="50" w:type="dxa"/>
              <w:left w:w="50" w:type="dxa"/>
              <w:right w:w="50" w:type="dxa"/>
            </w:tcMar>
            <w:shd w:fill="FFFFFF"/>
          </w:tcPr>
          <w:p>
            <w:pPr>
              <w:spacing w:before="20" w:after="20"/>
              <w:jc w:val="center"/>
            </w:pPr>
            <w:r>
              <w:rPr>
                <w:rFonts w:ascii="Arial" w:hAnsi="Arial"/>
                <w:color w:val="2D3748"/>
                <w:sz w:val="16"/>
              </w:rPr>
              <w:t>0.343</w:t>
            </w:r>
          </w:p>
        </w:tc>
        <w:tc>
          <w:tcPr>
            <w:tcW w:type="dxa" w:w="864"/>
            <w:vAlign w:val="center"/>
            <w:tcMar>
              <w:top w:w="50" w:type="dxa"/>
              <w:bottom w:w="50" w:type="dxa"/>
              <w:left w:w="50" w:type="dxa"/>
              <w:right w:w="50" w:type="dxa"/>
            </w:tcMar>
            <w:shd w:fill="FFFFFF"/>
          </w:tcPr>
          <w:p>
            <w:pPr>
              <w:spacing w:before="20" w:after="20"/>
              <w:jc w:val="center"/>
            </w:pPr>
            <w:r>
              <w:rPr>
                <w:rFonts w:ascii="Arial" w:hAnsi="Arial"/>
                <w:color w:val="2D3748"/>
                <w:sz w:val="16"/>
              </w:rPr>
              <w:t>51.46%</w:t>
            </w:r>
          </w:p>
        </w:tc>
        <w:tc>
          <w:tcPr>
            <w:tcW w:type="dxa" w:w="720"/>
            <w:vAlign w:val="center"/>
            <w:tcMar>
              <w:top w:w="50" w:type="dxa"/>
              <w:bottom w:w="50" w:type="dxa"/>
              <w:left w:w="50" w:type="dxa"/>
              <w:right w:w="50" w:type="dxa"/>
            </w:tcMar>
            <w:shd w:fill="FFFFFF"/>
          </w:tcPr>
          <w:p>
            <w:pPr>
              <w:spacing w:before="20" w:after="20"/>
              <w:jc w:val="center"/>
            </w:pPr>
            <w:r>
              <w:rPr>
                <w:rFonts w:ascii="Arial" w:hAnsi="Arial"/>
                <w:color w:val="2D3748"/>
                <w:sz w:val="16"/>
              </w:rPr>
              <w:t>0.663</w:t>
            </w:r>
          </w:p>
        </w:tc>
      </w:tr>
      <w:tr>
        <w:tc>
          <w:tcPr>
            <w:tcW w:type="dxa" w:w="2160"/>
            <w:vAlign w:val="center"/>
            <w:tcMar>
              <w:top w:w="50" w:type="dxa"/>
              <w:bottom w:w="50" w:type="dxa"/>
              <w:left w:w="50" w:type="dxa"/>
              <w:right w:w="50" w:type="dxa"/>
            </w:tcMar>
            <w:shd w:fill="F7FAFC"/>
          </w:tcPr>
          <w:p>
            <w:pPr>
              <w:spacing w:before="20" w:after="20"/>
              <w:jc w:val="left"/>
            </w:pPr>
            <w:r>
              <w:rPr>
                <w:rFonts w:ascii="Arial" w:hAnsi="Arial"/>
                <w:color w:val="2D3748"/>
                <w:sz w:val="16"/>
              </w:rPr>
              <w:t>Linear Support Vector Machine</w:t>
            </w:r>
          </w:p>
        </w:tc>
        <w:tc>
          <w:tcPr>
            <w:tcW w:type="dxa" w:w="1440"/>
            <w:vAlign w:val="center"/>
            <w:tcMar>
              <w:top w:w="50" w:type="dxa"/>
              <w:bottom w:w="50" w:type="dxa"/>
              <w:left w:w="50" w:type="dxa"/>
              <w:right w:w="50" w:type="dxa"/>
            </w:tcMar>
            <w:shd w:fill="F7FAFC"/>
          </w:tcPr>
          <w:p>
            <w:pPr>
              <w:spacing w:before="20" w:after="20"/>
              <w:jc w:val="left"/>
            </w:pPr>
            <w:r>
              <w:rPr>
                <w:rFonts w:ascii="Arial" w:hAnsi="Arial"/>
                <w:color w:val="2D3748"/>
                <w:sz w:val="16"/>
              </w:rPr>
              <w:t>Convex Baseline</w:t>
            </w:r>
          </w:p>
        </w:tc>
        <w:tc>
          <w:tcPr>
            <w:tcW w:type="dxa" w:w="864"/>
            <w:vAlign w:val="center"/>
            <w:tcMar>
              <w:top w:w="50" w:type="dxa"/>
              <w:bottom w:w="50" w:type="dxa"/>
              <w:left w:w="50" w:type="dxa"/>
              <w:right w:w="50" w:type="dxa"/>
            </w:tcMar>
            <w:shd w:fill="F7FAFC"/>
          </w:tcPr>
          <w:p>
            <w:pPr>
              <w:spacing w:before="20" w:after="20"/>
              <w:jc w:val="center"/>
            </w:pPr>
            <w:r>
              <w:rPr>
                <w:rFonts w:ascii="Arial" w:hAnsi="Arial"/>
                <w:color w:val="2D3748"/>
                <w:sz w:val="16"/>
              </w:rPr>
              <w:t>11</w:t>
            </w:r>
          </w:p>
        </w:tc>
        <w:tc>
          <w:tcPr>
            <w:tcW w:type="dxa" w:w="936"/>
            <w:vAlign w:val="center"/>
            <w:tcMar>
              <w:top w:w="50" w:type="dxa"/>
              <w:bottom w:w="50" w:type="dxa"/>
              <w:left w:w="50" w:type="dxa"/>
              <w:right w:w="50" w:type="dxa"/>
            </w:tcMar>
            <w:shd w:fill="F7FAFC"/>
          </w:tcPr>
          <w:p>
            <w:pPr>
              <w:spacing w:before="20" w:after="20"/>
              <w:jc w:val="center"/>
            </w:pPr>
            <w:r>
              <w:rPr>
                <w:rFonts w:ascii="Arial" w:hAnsi="Arial"/>
                <w:color w:val="2D3748"/>
                <w:sz w:val="16"/>
              </w:rPr>
              <w:t>0.08 s</w:t>
            </w:r>
          </w:p>
        </w:tc>
        <w:tc>
          <w:tcPr>
            <w:tcW w:type="dxa" w:w="792"/>
            <w:vAlign w:val="center"/>
            <w:tcMar>
              <w:top w:w="50" w:type="dxa"/>
              <w:bottom w:w="50" w:type="dxa"/>
              <w:left w:w="50" w:type="dxa"/>
              <w:right w:w="50" w:type="dxa"/>
            </w:tcMar>
            <w:shd w:fill="F7FAFC"/>
          </w:tcPr>
          <w:p>
            <w:pPr>
              <w:spacing w:before="20" w:after="20"/>
              <w:jc w:val="center"/>
            </w:pPr>
            <w:r>
              <w:rPr>
                <w:rFonts w:ascii="Arial" w:hAnsi="Arial"/>
                <w:color w:val="2D3748"/>
                <w:sz w:val="16"/>
              </w:rPr>
              <w:t>38.939</w:t>
            </w:r>
          </w:p>
        </w:tc>
        <w:tc>
          <w:tcPr>
            <w:tcW w:type="dxa" w:w="792"/>
            <w:vAlign w:val="center"/>
            <w:tcMar>
              <w:top w:w="50" w:type="dxa"/>
              <w:bottom w:w="50" w:type="dxa"/>
              <w:left w:w="50" w:type="dxa"/>
              <w:right w:w="50" w:type="dxa"/>
            </w:tcMar>
            <w:shd w:fill="F7FAFC"/>
          </w:tcPr>
          <w:p>
            <w:pPr>
              <w:spacing w:before="20" w:after="20"/>
              <w:jc w:val="center"/>
            </w:pPr>
            <w:r>
              <w:rPr>
                <w:rFonts w:ascii="Arial" w:hAnsi="Arial"/>
                <w:color w:val="2D3748"/>
                <w:sz w:val="16"/>
              </w:rPr>
              <w:t>31.110</w:t>
            </w:r>
          </w:p>
        </w:tc>
        <w:tc>
          <w:tcPr>
            <w:tcW w:type="dxa" w:w="648"/>
            <w:vAlign w:val="center"/>
            <w:tcMar>
              <w:top w:w="50" w:type="dxa"/>
              <w:bottom w:w="50" w:type="dxa"/>
              <w:left w:w="50" w:type="dxa"/>
              <w:right w:w="50" w:type="dxa"/>
            </w:tcMar>
            <w:shd w:fill="F7FAFC"/>
          </w:tcPr>
          <w:p>
            <w:pPr>
              <w:spacing w:before="20" w:after="20"/>
              <w:jc w:val="center"/>
            </w:pPr>
            <w:r>
              <w:rPr>
                <w:rFonts w:ascii="Arial" w:hAnsi="Arial"/>
                <w:color w:val="2D3748"/>
                <w:sz w:val="16"/>
              </w:rPr>
              <w:t>0.283</w:t>
            </w:r>
          </w:p>
        </w:tc>
        <w:tc>
          <w:tcPr>
            <w:tcW w:type="dxa" w:w="864"/>
            <w:vAlign w:val="center"/>
            <w:tcMar>
              <w:top w:w="50" w:type="dxa"/>
              <w:bottom w:w="50" w:type="dxa"/>
              <w:left w:w="50" w:type="dxa"/>
              <w:right w:w="50" w:type="dxa"/>
            </w:tcMar>
            <w:shd w:fill="F7FAFC"/>
          </w:tcPr>
          <w:p>
            <w:pPr>
              <w:spacing w:before="20" w:after="20"/>
              <w:jc w:val="center"/>
            </w:pPr>
            <w:r>
              <w:rPr>
                <w:rFonts w:ascii="Arial" w:hAnsi="Arial"/>
                <w:color w:val="2D3748"/>
                <w:sz w:val="16"/>
              </w:rPr>
              <w:t>72.63%</w:t>
            </w:r>
          </w:p>
        </w:tc>
        <w:tc>
          <w:tcPr>
            <w:tcW w:type="dxa" w:w="720"/>
            <w:vAlign w:val="center"/>
            <w:tcMar>
              <w:top w:w="50" w:type="dxa"/>
              <w:bottom w:w="50" w:type="dxa"/>
              <w:left w:w="50" w:type="dxa"/>
              <w:right w:w="50" w:type="dxa"/>
            </w:tcMar>
            <w:shd w:fill="F7FAFC"/>
          </w:tcPr>
          <w:p>
            <w:pPr>
              <w:spacing w:before="20" w:after="20"/>
              <w:jc w:val="center"/>
            </w:pPr>
            <w:r>
              <w:rPr>
                <w:rFonts w:ascii="Arial" w:hAnsi="Arial"/>
                <w:color w:val="2D3748"/>
                <w:sz w:val="16"/>
              </w:rPr>
              <w:t>0.810</w:t>
            </w:r>
          </w:p>
        </w:tc>
      </w:tr>
    </w:tbl>
    <w:p>
      <w:pPr>
        <w:spacing w:after="120"/>
      </w:pPr>
    </w:p>
    <w:p>
      <w:pPr>
        <w:keepNext/>
        <w:spacing w:before="220" w:after="60"/>
      </w:pPr>
      <w:r>
        <w:rPr>
          <w:rFonts w:ascii="Arial" w:hAnsi="Arial"/>
          <w:b/>
          <w:color w:val="2B6CB0"/>
          <w:sz w:val="22"/>
        </w:rPr>
        <w:t>Table 4: Diebold–Mariano Statistical Hypothesis Testing</w:t>
      </w:r>
    </w:p>
    <w:tbl>
      <w:tblPr>
        <w:tblW w:type="auto" w:w="0"/>
        <w:jc w:val="center"/>
        <w:tblLayout w:type="fixed"/>
        <w:tblLook w:firstColumn="1" w:firstRow="1" w:lastColumn="0" w:lastRow="0" w:noHBand="0" w:noVBand="1" w:val="04A0"/>
      </w:tblPr>
      <w:tblGrid>
        <w:gridCol w:w="1680"/>
        <w:gridCol w:w="1680"/>
        <w:gridCol w:w="1680"/>
        <w:gridCol w:w="1680"/>
        <w:gridCol w:w="1680"/>
        <w:gridCol w:w="1680"/>
      </w:tblGrid>
      <w:tr>
        <w:tc>
          <w:tcPr>
            <w:tcW w:type="dxa" w:w="2016"/>
            <w:vAlign w:val="center"/>
            <w:tcMar>
              <w:top w:w="50" w:type="dxa"/>
              <w:bottom w:w="50" w:type="dxa"/>
              <w:left w:w="50" w:type="dxa"/>
              <w:right w:w="50" w:type="dxa"/>
            </w:tcMar>
            <w:shd w:fill="1B365D"/>
          </w:tcPr>
          <w:p>
            <w:pPr>
              <w:spacing w:before="20" w:after="20"/>
              <w:jc w:val="left"/>
            </w:pPr>
            <w:r>
              <w:rPr>
                <w:rFonts w:ascii="Arial" w:hAnsi="Arial"/>
                <w:b/>
                <w:color w:val="FFFFFF"/>
                <w:sz w:val="16"/>
              </w:rPr>
              <w:t>Competing Model (M_2)</w:t>
            </w:r>
          </w:p>
        </w:tc>
        <w:tc>
          <w:tcPr>
            <w:tcW w:type="dxa" w:w="1872"/>
            <w:vAlign w:val="center"/>
            <w:tcMar>
              <w:top w:w="50" w:type="dxa"/>
              <w:bottom w:w="50" w:type="dxa"/>
              <w:left w:w="50" w:type="dxa"/>
              <w:right w:w="50" w:type="dxa"/>
            </w:tcMar>
            <w:shd w:fill="1B365D"/>
          </w:tcPr>
          <w:p>
            <w:pPr>
              <w:spacing w:before="20" w:after="20"/>
              <w:jc w:val="left"/>
            </w:pPr>
            <w:r>
              <w:rPr>
                <w:rFonts w:ascii="Arial" w:hAnsi="Arial"/>
                <w:b/>
                <w:color w:val="FFFFFF"/>
                <w:sz w:val="16"/>
              </w:rPr>
              <w:t>Loss Differential</w:t>
            </w:r>
          </w:p>
        </w:tc>
        <w:tc>
          <w:tcPr>
            <w:tcW w:type="dxa" w:w="1008"/>
            <w:vAlign w:val="center"/>
            <w:tcMar>
              <w:top w:w="50" w:type="dxa"/>
              <w:bottom w:w="50" w:type="dxa"/>
              <w:left w:w="50" w:type="dxa"/>
              <w:right w:w="50" w:type="dxa"/>
            </w:tcMar>
            <w:shd w:fill="1B365D"/>
          </w:tcPr>
          <w:p>
            <w:pPr>
              <w:spacing w:before="20" w:after="20"/>
              <w:jc w:val="center"/>
            </w:pPr>
            <w:r>
              <w:rPr>
                <w:rFonts w:ascii="Arial" w:hAnsi="Arial"/>
                <w:b/>
                <w:color w:val="FFFFFF"/>
                <w:sz w:val="16"/>
              </w:rPr>
              <w:t>DM Statistic</w:t>
            </w:r>
          </w:p>
        </w:tc>
        <w:tc>
          <w:tcPr>
            <w:tcW w:type="dxa" w:w="864"/>
            <w:vAlign w:val="center"/>
            <w:tcMar>
              <w:top w:w="50" w:type="dxa"/>
              <w:bottom w:w="50" w:type="dxa"/>
              <w:left w:w="50" w:type="dxa"/>
              <w:right w:w="50" w:type="dxa"/>
            </w:tcMar>
            <w:shd w:fill="1B365D"/>
          </w:tcPr>
          <w:p>
            <w:pPr>
              <w:spacing w:before="20" w:after="20"/>
              <w:jc w:val="center"/>
            </w:pPr>
            <w:r>
              <w:rPr>
                <w:rFonts w:ascii="Arial" w:hAnsi="Arial"/>
                <w:b/>
                <w:color w:val="FFFFFF"/>
                <w:sz w:val="16"/>
              </w:rPr>
              <w:t>p-value</w:t>
            </w:r>
          </w:p>
        </w:tc>
        <w:tc>
          <w:tcPr>
            <w:tcW w:type="dxa" w:w="1584"/>
            <w:vAlign w:val="center"/>
            <w:tcMar>
              <w:top w:w="50" w:type="dxa"/>
              <w:bottom w:w="50" w:type="dxa"/>
              <w:left w:w="50" w:type="dxa"/>
              <w:right w:w="50" w:type="dxa"/>
            </w:tcMar>
            <w:shd w:fill="1B365D"/>
          </w:tcPr>
          <w:p>
            <w:pPr>
              <w:spacing w:before="20" w:after="20"/>
              <w:jc w:val="center"/>
            </w:pPr>
            <w:r>
              <w:rPr>
                <w:rFonts w:ascii="Arial" w:hAnsi="Arial"/>
                <w:b/>
                <w:color w:val="FFFFFF"/>
                <w:sz w:val="16"/>
              </w:rPr>
              <w:t>Significance (α = 0.05)</w:t>
            </w:r>
          </w:p>
        </w:tc>
        <w:tc>
          <w:tcPr>
            <w:tcW w:type="dxa" w:w="2448"/>
            <w:vAlign w:val="center"/>
            <w:tcMar>
              <w:top w:w="50" w:type="dxa"/>
              <w:bottom w:w="50" w:type="dxa"/>
              <w:left w:w="50" w:type="dxa"/>
              <w:right w:w="50" w:type="dxa"/>
            </w:tcMar>
            <w:shd w:fill="1B365D"/>
          </w:tcPr>
          <w:p>
            <w:pPr>
              <w:spacing w:before="20" w:after="20"/>
              <w:jc w:val="left"/>
            </w:pPr>
            <w:r>
              <w:rPr>
                <w:rFonts w:ascii="Arial" w:hAnsi="Arial"/>
                <w:b/>
                <w:color w:val="FFFFFF"/>
                <w:sz w:val="16"/>
              </w:rPr>
              <w:t>Academic Conclusion</w:t>
            </w:r>
          </w:p>
        </w:tc>
      </w:tr>
      <w:tr>
        <w:tc>
          <w:tcPr>
            <w:tcW w:type="dxa" w:w="2016"/>
            <w:vAlign w:val="center"/>
            <w:tcMar>
              <w:top w:w="50" w:type="dxa"/>
              <w:bottom w:w="50" w:type="dxa"/>
              <w:left w:w="50" w:type="dxa"/>
              <w:right w:w="50" w:type="dxa"/>
            </w:tcMar>
            <w:shd w:fill="F7FAFC"/>
          </w:tcPr>
          <w:p>
            <w:pPr>
              <w:spacing w:before="20" w:after="20"/>
              <w:jc w:val="left"/>
            </w:pPr>
            <w:r>
              <w:rPr>
                <w:rFonts w:ascii="Arial" w:hAnsi="Arial"/>
                <w:color w:val="2D3748"/>
                <w:sz w:val="16"/>
              </w:rPr>
              <w:t>Naive Persistence</w:t>
            </w:r>
          </w:p>
        </w:tc>
        <w:tc>
          <w:tcPr>
            <w:tcW w:type="dxa" w:w="1872"/>
            <w:vAlign w:val="center"/>
            <w:tcMar>
              <w:top w:w="50" w:type="dxa"/>
              <w:bottom w:w="50" w:type="dxa"/>
              <w:left w:w="50" w:type="dxa"/>
              <w:right w:w="50" w:type="dxa"/>
            </w:tcMar>
            <w:shd w:fill="F7FAFC"/>
          </w:tcPr>
          <w:p>
            <w:pPr>
              <w:spacing w:before="20" w:after="20"/>
              <w:jc w:val="left"/>
            </w:pPr>
            <w:r>
              <w:rPr>
                <w:rFonts w:ascii="Arial" w:hAnsi="Arial"/>
                <w:color w:val="2D3748"/>
                <w:sz w:val="16"/>
              </w:rPr>
              <w:t>Squared Error (e_hyb² - e_pers²)</w:t>
            </w:r>
          </w:p>
        </w:tc>
        <w:tc>
          <w:tcPr>
            <w:tcW w:type="dxa" w:w="1008"/>
            <w:vAlign w:val="center"/>
            <w:tcMar>
              <w:top w:w="50" w:type="dxa"/>
              <w:bottom w:w="50" w:type="dxa"/>
              <w:left w:w="50" w:type="dxa"/>
              <w:right w:w="50" w:type="dxa"/>
            </w:tcMar>
            <w:shd w:fill="F7FAFC"/>
          </w:tcPr>
          <w:p>
            <w:pPr>
              <w:spacing w:before="20" w:after="20"/>
              <w:jc w:val="center"/>
            </w:pPr>
            <w:r>
              <w:rPr>
                <w:rFonts w:ascii="Arial" w:hAnsi="Arial"/>
                <w:color w:val="2D3748"/>
                <w:sz w:val="16"/>
              </w:rPr>
              <w:t>+0.6255</w:t>
            </w:r>
          </w:p>
        </w:tc>
        <w:tc>
          <w:tcPr>
            <w:tcW w:type="dxa" w:w="864"/>
            <w:vAlign w:val="center"/>
            <w:tcMar>
              <w:top w:w="50" w:type="dxa"/>
              <w:bottom w:w="50" w:type="dxa"/>
              <w:left w:w="50" w:type="dxa"/>
              <w:right w:w="50" w:type="dxa"/>
            </w:tcMar>
            <w:shd w:fill="F7FAFC"/>
          </w:tcPr>
          <w:p>
            <w:pPr>
              <w:spacing w:before="20" w:after="20"/>
              <w:jc w:val="center"/>
            </w:pPr>
            <w:r>
              <w:rPr>
                <w:rFonts w:ascii="Arial" w:hAnsi="Arial"/>
                <w:color w:val="2D3748"/>
                <w:sz w:val="16"/>
              </w:rPr>
              <w:t>0.5316</w:t>
            </w:r>
          </w:p>
        </w:tc>
        <w:tc>
          <w:tcPr>
            <w:tcW w:type="dxa" w:w="1584"/>
            <w:vAlign w:val="center"/>
            <w:tcMar>
              <w:top w:w="50" w:type="dxa"/>
              <w:bottom w:w="50" w:type="dxa"/>
              <w:left w:w="50" w:type="dxa"/>
              <w:right w:w="50" w:type="dxa"/>
            </w:tcMar>
            <w:shd w:fill="F7FAFC"/>
          </w:tcPr>
          <w:p>
            <w:pPr>
              <w:spacing w:before="20" w:after="20"/>
              <w:jc w:val="center"/>
            </w:pPr>
            <w:r>
              <w:rPr>
                <w:rFonts w:ascii="Arial" w:hAnsi="Arial"/>
                <w:color w:val="2D3748"/>
                <w:sz w:val="16"/>
              </w:rPr>
              <w:t>Not Significant</w:t>
            </w:r>
          </w:p>
        </w:tc>
        <w:tc>
          <w:tcPr>
            <w:tcW w:type="dxa" w:w="2448"/>
            <w:vAlign w:val="center"/>
            <w:tcMar>
              <w:top w:w="50" w:type="dxa"/>
              <w:bottom w:w="50" w:type="dxa"/>
              <w:left w:w="50" w:type="dxa"/>
              <w:right w:w="50" w:type="dxa"/>
            </w:tcMar>
            <w:shd w:fill="F7FAFC"/>
          </w:tcPr>
          <w:p>
            <w:pPr>
              <w:spacing w:before="20" w:after="20"/>
              <w:jc w:val="left"/>
            </w:pPr>
            <w:r>
              <w:rPr>
                <w:rFonts w:ascii="Arial" w:hAnsi="Arial"/>
                <w:color w:val="2D3748"/>
                <w:sz w:val="16"/>
              </w:rPr>
              <w:t>Hybrid provides no statistically significant gain over persistence.</w:t>
            </w:r>
          </w:p>
        </w:tc>
      </w:tr>
      <w:tr>
        <w:tc>
          <w:tcPr>
            <w:tcW w:type="dxa" w:w="2016"/>
            <w:vAlign w:val="center"/>
            <w:tcMar>
              <w:top w:w="50" w:type="dxa"/>
              <w:bottom w:w="50" w:type="dxa"/>
              <w:left w:w="50" w:type="dxa"/>
              <w:right w:w="50" w:type="dxa"/>
            </w:tcMar>
            <w:shd w:fill="FFFFFF"/>
          </w:tcPr>
          <w:p>
            <w:pPr>
              <w:spacing w:before="20" w:after="20"/>
              <w:jc w:val="left"/>
            </w:pPr>
            <w:r>
              <w:rPr>
                <w:rFonts w:ascii="Arial" w:hAnsi="Arial"/>
                <w:color w:val="2D3748"/>
                <w:sz w:val="16"/>
              </w:rPr>
              <w:t>Pure ARIMA(3, 1, 1)</w:t>
            </w:r>
          </w:p>
        </w:tc>
        <w:tc>
          <w:tcPr>
            <w:tcW w:type="dxa" w:w="1872"/>
            <w:vAlign w:val="center"/>
            <w:tcMar>
              <w:top w:w="50" w:type="dxa"/>
              <w:bottom w:w="50" w:type="dxa"/>
              <w:left w:w="50" w:type="dxa"/>
              <w:right w:w="50" w:type="dxa"/>
            </w:tcMar>
            <w:shd w:fill="FFFFFF"/>
          </w:tcPr>
          <w:p>
            <w:pPr>
              <w:spacing w:before="20" w:after="20"/>
              <w:jc w:val="left"/>
            </w:pPr>
            <w:r>
              <w:rPr>
                <w:rFonts w:ascii="Arial" w:hAnsi="Arial"/>
                <w:color w:val="2D3748"/>
                <w:sz w:val="16"/>
              </w:rPr>
              <w:t>Squared Error (e_hyb² - e_arima²)</w:t>
            </w:r>
          </w:p>
        </w:tc>
        <w:tc>
          <w:tcPr>
            <w:tcW w:type="dxa" w:w="1008"/>
            <w:vAlign w:val="center"/>
            <w:tcMar>
              <w:top w:w="50" w:type="dxa"/>
              <w:bottom w:w="50" w:type="dxa"/>
              <w:left w:w="50" w:type="dxa"/>
              <w:right w:w="50" w:type="dxa"/>
            </w:tcMar>
            <w:shd w:fill="FFFFFF"/>
          </w:tcPr>
          <w:p>
            <w:pPr>
              <w:spacing w:before="20" w:after="20"/>
              <w:jc w:val="center"/>
            </w:pPr>
            <w:r>
              <w:rPr>
                <w:rFonts w:ascii="Arial" w:hAnsi="Arial"/>
                <w:color w:val="2D3748"/>
                <w:sz w:val="16"/>
              </w:rPr>
              <w:t>-2.6668</w:t>
            </w:r>
          </w:p>
        </w:tc>
        <w:tc>
          <w:tcPr>
            <w:tcW w:type="dxa" w:w="864"/>
            <w:vAlign w:val="center"/>
            <w:tcMar>
              <w:top w:w="50" w:type="dxa"/>
              <w:bottom w:w="50" w:type="dxa"/>
              <w:left w:w="50" w:type="dxa"/>
              <w:right w:w="50" w:type="dxa"/>
            </w:tcMar>
            <w:shd w:fill="FFFFFF"/>
          </w:tcPr>
          <w:p>
            <w:pPr>
              <w:spacing w:before="20" w:after="20"/>
              <w:jc w:val="center"/>
            </w:pPr>
            <w:r>
              <w:rPr>
                <w:rFonts w:ascii="Arial" w:hAnsi="Arial"/>
                <w:b/>
                <w:color w:val="C53030"/>
                <w:sz w:val="16"/>
              </w:rPr>
              <w:t>0.0077</w:t>
            </w:r>
          </w:p>
        </w:tc>
        <w:tc>
          <w:tcPr>
            <w:tcW w:type="dxa" w:w="1584"/>
            <w:vAlign w:val="center"/>
            <w:tcMar>
              <w:top w:w="50" w:type="dxa"/>
              <w:bottom w:w="50" w:type="dxa"/>
              <w:left w:w="50" w:type="dxa"/>
              <w:right w:w="50" w:type="dxa"/>
            </w:tcMar>
            <w:shd w:fill="FFFFFF"/>
          </w:tcPr>
          <w:p>
            <w:pPr>
              <w:spacing w:before="20" w:after="20"/>
              <w:jc w:val="center"/>
            </w:pPr>
            <w:r>
              <w:rPr>
                <w:rFonts w:ascii="Arial" w:hAnsi="Arial"/>
                <w:color w:val="2D3748"/>
                <w:sz w:val="16"/>
              </w:rPr>
              <w:t>Statistically Significant</w:t>
            </w:r>
          </w:p>
        </w:tc>
        <w:tc>
          <w:tcPr>
            <w:tcW w:type="dxa" w:w="2448"/>
            <w:vAlign w:val="center"/>
            <w:tcMar>
              <w:top w:w="50" w:type="dxa"/>
              <w:bottom w:w="50" w:type="dxa"/>
              <w:left w:w="50" w:type="dxa"/>
              <w:right w:w="50" w:type="dxa"/>
            </w:tcMar>
            <w:shd w:fill="FFFFFF"/>
          </w:tcPr>
          <w:p>
            <w:pPr>
              <w:spacing w:before="20" w:after="20"/>
              <w:jc w:val="left"/>
            </w:pPr>
            <w:r>
              <w:rPr>
                <w:rFonts w:ascii="Arial" w:hAnsi="Arial"/>
                <w:color w:val="2D3748"/>
                <w:sz w:val="16"/>
              </w:rPr>
              <w:t>Pure ARIMA is statistically superior (p &lt; 0.01) to hybrid.</w:t>
            </w:r>
          </w:p>
        </w:tc>
      </w:tr>
      <w:tr>
        <w:tc>
          <w:tcPr>
            <w:tcW w:type="dxa" w:w="2016"/>
            <w:vAlign w:val="center"/>
            <w:tcMar>
              <w:top w:w="50" w:type="dxa"/>
              <w:bottom w:w="50" w:type="dxa"/>
              <w:left w:w="50" w:type="dxa"/>
              <w:right w:w="50" w:type="dxa"/>
            </w:tcMar>
            <w:shd w:fill="F7FAFC"/>
          </w:tcPr>
          <w:p>
            <w:pPr>
              <w:spacing w:before="20" w:after="20"/>
              <w:jc w:val="left"/>
            </w:pPr>
            <w:r>
              <w:rPr>
                <w:rFonts w:ascii="Arial" w:hAnsi="Arial"/>
                <w:color w:val="2D3748"/>
                <w:sz w:val="16"/>
              </w:rPr>
              <w:t>Gradient Boosted Trees</w:t>
            </w:r>
          </w:p>
        </w:tc>
        <w:tc>
          <w:tcPr>
            <w:tcW w:type="dxa" w:w="1872"/>
            <w:vAlign w:val="center"/>
            <w:tcMar>
              <w:top w:w="50" w:type="dxa"/>
              <w:bottom w:w="50" w:type="dxa"/>
              <w:left w:w="50" w:type="dxa"/>
              <w:right w:w="50" w:type="dxa"/>
            </w:tcMar>
            <w:shd w:fill="F7FAFC"/>
          </w:tcPr>
          <w:p>
            <w:pPr>
              <w:spacing w:before="20" w:after="20"/>
              <w:jc w:val="left"/>
            </w:pPr>
            <w:r>
              <w:rPr>
                <w:rFonts w:ascii="Arial" w:hAnsi="Arial"/>
                <w:color w:val="2D3748"/>
                <w:sz w:val="16"/>
              </w:rPr>
              <w:t>Squared Error (e_hyb² - e_gbdt²)</w:t>
            </w:r>
          </w:p>
        </w:tc>
        <w:tc>
          <w:tcPr>
            <w:tcW w:type="dxa" w:w="1008"/>
            <w:vAlign w:val="center"/>
            <w:tcMar>
              <w:top w:w="50" w:type="dxa"/>
              <w:bottom w:w="50" w:type="dxa"/>
              <w:left w:w="50" w:type="dxa"/>
              <w:right w:w="50" w:type="dxa"/>
            </w:tcMar>
            <w:shd w:fill="F7FAFC"/>
          </w:tcPr>
          <w:p>
            <w:pPr>
              <w:spacing w:before="20" w:after="20"/>
              <w:jc w:val="center"/>
            </w:pPr>
            <w:r>
              <w:rPr>
                <w:rFonts w:ascii="Arial" w:hAnsi="Arial"/>
                <w:color w:val="2D3748"/>
                <w:sz w:val="16"/>
              </w:rPr>
              <w:t>+0.3788</w:t>
            </w:r>
          </w:p>
        </w:tc>
        <w:tc>
          <w:tcPr>
            <w:tcW w:type="dxa" w:w="864"/>
            <w:vAlign w:val="center"/>
            <w:tcMar>
              <w:top w:w="50" w:type="dxa"/>
              <w:bottom w:w="50" w:type="dxa"/>
              <w:left w:w="50" w:type="dxa"/>
              <w:right w:w="50" w:type="dxa"/>
            </w:tcMar>
            <w:shd w:fill="F7FAFC"/>
          </w:tcPr>
          <w:p>
            <w:pPr>
              <w:spacing w:before="20" w:after="20"/>
              <w:jc w:val="center"/>
            </w:pPr>
            <w:r>
              <w:rPr>
                <w:rFonts w:ascii="Arial" w:hAnsi="Arial"/>
                <w:color w:val="2D3748"/>
                <w:sz w:val="16"/>
              </w:rPr>
              <w:t>0.7048</w:t>
            </w:r>
          </w:p>
        </w:tc>
        <w:tc>
          <w:tcPr>
            <w:tcW w:type="dxa" w:w="1584"/>
            <w:vAlign w:val="center"/>
            <w:tcMar>
              <w:top w:w="50" w:type="dxa"/>
              <w:bottom w:w="50" w:type="dxa"/>
              <w:left w:w="50" w:type="dxa"/>
              <w:right w:w="50" w:type="dxa"/>
            </w:tcMar>
            <w:shd w:fill="F7FAFC"/>
          </w:tcPr>
          <w:p>
            <w:pPr>
              <w:spacing w:before="20" w:after="20"/>
              <w:jc w:val="center"/>
            </w:pPr>
            <w:r>
              <w:rPr>
                <w:rFonts w:ascii="Arial" w:hAnsi="Arial"/>
                <w:color w:val="2D3748"/>
                <w:sz w:val="16"/>
              </w:rPr>
              <w:t>Not Significant</w:t>
            </w:r>
          </w:p>
        </w:tc>
        <w:tc>
          <w:tcPr>
            <w:tcW w:type="dxa" w:w="2448"/>
            <w:vAlign w:val="center"/>
            <w:tcMar>
              <w:top w:w="50" w:type="dxa"/>
              <w:bottom w:w="50" w:type="dxa"/>
              <w:left w:w="50" w:type="dxa"/>
              <w:right w:w="50" w:type="dxa"/>
            </w:tcMar>
            <w:shd w:fill="F7FAFC"/>
          </w:tcPr>
          <w:p>
            <w:pPr>
              <w:spacing w:before="20" w:after="20"/>
              <w:jc w:val="left"/>
            </w:pPr>
            <w:r>
              <w:rPr>
                <w:rFonts w:ascii="Arial" w:hAnsi="Arial"/>
                <w:color w:val="2D3748"/>
                <w:sz w:val="16"/>
              </w:rPr>
              <w:t>Hybrid offers no statistically significant advantage over simple GBDT.</w:t>
            </w:r>
          </w:p>
        </w:tc>
      </w:tr>
    </w:tbl>
    <w:p>
      <w:pPr>
        <w:spacing w:after="120"/>
      </w:pPr>
    </w:p>
    <w:p>
      <w:pPr>
        <w:keepNext/>
        <w:spacing w:before="220" w:after="60"/>
      </w:pPr>
      <w:r>
        <w:rPr>
          <w:rFonts w:ascii="Arial" w:hAnsi="Arial"/>
          <w:b/>
          <w:color w:val="2B6CB0"/>
          <w:sz w:val="22"/>
        </w:rPr>
        <w:t>Table 5: Operational Safety &amp; Public Health Performance Across Severity Tiers</w:t>
      </w:r>
    </w:p>
    <w:tbl>
      <w:tblPr>
        <w:tblW w:type="auto" w:w="0"/>
        <w:jc w:val="center"/>
        <w:tblLayout w:type="fixed"/>
        <w:tblLook w:firstColumn="1" w:firstRow="1" w:lastColumn="0" w:lastRow="0" w:noHBand="0" w:noVBand="1" w:val="04A0"/>
      </w:tblPr>
      <w:tblGrid>
        <w:gridCol w:w="1120"/>
        <w:gridCol w:w="1120"/>
        <w:gridCol w:w="1120"/>
        <w:gridCol w:w="1120"/>
        <w:gridCol w:w="1120"/>
        <w:gridCol w:w="1120"/>
        <w:gridCol w:w="1120"/>
        <w:gridCol w:w="1120"/>
        <w:gridCol w:w="1120"/>
      </w:tblGrid>
      <w:tr>
        <w:tc>
          <w:tcPr>
            <w:tcW w:type="dxa" w:w="1872"/>
            <w:vAlign w:val="center"/>
            <w:tcMar>
              <w:top w:w="50" w:type="dxa"/>
              <w:bottom w:w="50" w:type="dxa"/>
              <w:left w:w="50" w:type="dxa"/>
              <w:right w:w="50" w:type="dxa"/>
            </w:tcMar>
            <w:shd w:fill="1B365D"/>
          </w:tcPr>
          <w:p>
            <w:pPr>
              <w:spacing w:before="20" w:after="20"/>
              <w:jc w:val="left"/>
            </w:pPr>
            <w:r>
              <w:rPr>
                <w:rFonts w:ascii="Arial" w:hAnsi="Arial"/>
                <w:b/>
                <w:color w:val="FFFFFF"/>
                <w:sz w:val="16"/>
              </w:rPr>
              <w:t>Severity Tier</w:t>
            </w:r>
          </w:p>
        </w:tc>
        <w:tc>
          <w:tcPr>
            <w:tcW w:type="dxa" w:w="1152"/>
            <w:vAlign w:val="center"/>
            <w:tcMar>
              <w:top w:w="50" w:type="dxa"/>
              <w:bottom w:w="50" w:type="dxa"/>
              <w:left w:w="50" w:type="dxa"/>
              <w:right w:w="50" w:type="dxa"/>
            </w:tcMar>
            <w:shd w:fill="1B365D"/>
          </w:tcPr>
          <w:p>
            <w:pPr>
              <w:spacing w:before="20" w:after="20"/>
              <w:jc w:val="left"/>
            </w:pPr>
            <w:r>
              <w:rPr>
                <w:rFonts w:ascii="Arial" w:hAnsi="Arial"/>
                <w:b/>
                <w:color w:val="FFFFFF"/>
                <w:sz w:val="16"/>
              </w:rPr>
              <w:t>AQI Range</w:t>
            </w:r>
          </w:p>
        </w:tc>
        <w:tc>
          <w:tcPr>
            <w:tcW w:type="dxa" w:w="936"/>
            <w:vAlign w:val="center"/>
            <w:tcMar>
              <w:top w:w="50" w:type="dxa"/>
              <w:bottom w:w="50" w:type="dxa"/>
              <w:left w:w="50" w:type="dxa"/>
              <w:right w:w="50" w:type="dxa"/>
            </w:tcMar>
            <w:shd w:fill="1B365D"/>
          </w:tcPr>
          <w:p>
            <w:pPr>
              <w:spacing w:before="20" w:after="20"/>
              <w:jc w:val="center"/>
            </w:pPr>
            <w:r>
              <w:rPr>
                <w:rFonts w:ascii="Arial" w:hAnsi="Arial"/>
                <w:b/>
                <w:color w:val="FFFFFF"/>
                <w:sz w:val="16"/>
              </w:rPr>
              <w:t>Samples (N)</w:t>
            </w:r>
          </w:p>
        </w:tc>
        <w:tc>
          <w:tcPr>
            <w:tcW w:type="dxa" w:w="792"/>
            <w:vAlign w:val="center"/>
            <w:tcMar>
              <w:top w:w="50" w:type="dxa"/>
              <w:bottom w:w="50" w:type="dxa"/>
              <w:left w:w="50" w:type="dxa"/>
              <w:right w:w="50" w:type="dxa"/>
            </w:tcMar>
            <w:shd w:fill="1B365D"/>
          </w:tcPr>
          <w:p>
            <w:pPr>
              <w:spacing w:before="20" w:after="20"/>
              <w:jc w:val="center"/>
            </w:pPr>
            <w:r>
              <w:rPr>
                <w:rFonts w:ascii="Arial" w:hAnsi="Arial"/>
                <w:b/>
                <w:color w:val="FFFFFF"/>
                <w:sz w:val="16"/>
              </w:rPr>
              <w:t>Share (%)</w:t>
            </w:r>
          </w:p>
        </w:tc>
        <w:tc>
          <w:tcPr>
            <w:tcW w:type="dxa" w:w="936"/>
            <w:vAlign w:val="center"/>
            <w:tcMar>
              <w:top w:w="50" w:type="dxa"/>
              <w:bottom w:w="50" w:type="dxa"/>
              <w:left w:w="50" w:type="dxa"/>
              <w:right w:w="50" w:type="dxa"/>
            </w:tcMar>
            <w:shd w:fill="1B365D"/>
          </w:tcPr>
          <w:p>
            <w:pPr>
              <w:spacing w:before="20" w:after="20"/>
              <w:jc w:val="center"/>
            </w:pPr>
            <w:r>
              <w:rPr>
                <w:rFonts w:ascii="Arial" w:hAnsi="Arial"/>
                <w:b/>
                <w:color w:val="FFFFFF"/>
                <w:sz w:val="16"/>
              </w:rPr>
              <w:t>Hybrid RMSE</w:t>
            </w:r>
          </w:p>
        </w:tc>
        <w:tc>
          <w:tcPr>
            <w:tcW w:type="dxa" w:w="936"/>
            <w:vAlign w:val="center"/>
            <w:tcMar>
              <w:top w:w="50" w:type="dxa"/>
              <w:bottom w:w="50" w:type="dxa"/>
              <w:left w:w="50" w:type="dxa"/>
              <w:right w:w="50" w:type="dxa"/>
            </w:tcMar>
            <w:shd w:fill="1B365D"/>
          </w:tcPr>
          <w:p>
            <w:pPr>
              <w:spacing w:before="20" w:after="20"/>
              <w:jc w:val="center"/>
            </w:pPr>
            <w:r>
              <w:rPr>
                <w:rFonts w:ascii="Arial" w:hAnsi="Arial"/>
                <w:b/>
                <w:color w:val="FFFFFF"/>
                <w:sz w:val="16"/>
              </w:rPr>
              <w:t>Hybrid MAE</w:t>
            </w:r>
          </w:p>
        </w:tc>
        <w:tc>
          <w:tcPr>
            <w:tcW w:type="dxa" w:w="1008"/>
            <w:vAlign w:val="center"/>
            <w:tcMar>
              <w:top w:w="50" w:type="dxa"/>
              <w:bottom w:w="50" w:type="dxa"/>
              <w:left w:w="50" w:type="dxa"/>
              <w:right w:w="50" w:type="dxa"/>
            </w:tcMar>
            <w:shd w:fill="1B365D"/>
          </w:tcPr>
          <w:p>
            <w:pPr>
              <w:spacing w:before="20" w:after="20"/>
              <w:jc w:val="center"/>
            </w:pPr>
            <w:r>
              <w:rPr>
                <w:rFonts w:ascii="Arial" w:hAnsi="Arial"/>
                <w:b/>
                <w:color w:val="FFFFFF"/>
                <w:sz w:val="16"/>
              </w:rPr>
              <w:t>Persistence RMSE</w:t>
            </w:r>
          </w:p>
        </w:tc>
        <w:tc>
          <w:tcPr>
            <w:tcW w:type="dxa" w:w="936"/>
            <w:vAlign w:val="center"/>
            <w:tcMar>
              <w:top w:w="50" w:type="dxa"/>
              <w:bottom w:w="50" w:type="dxa"/>
              <w:left w:w="50" w:type="dxa"/>
              <w:right w:w="50" w:type="dxa"/>
            </w:tcMar>
            <w:shd w:fill="1B365D"/>
          </w:tcPr>
          <w:p>
            <w:pPr>
              <w:spacing w:before="20" w:after="20"/>
              <w:jc w:val="center"/>
            </w:pPr>
            <w:r>
              <w:rPr>
                <w:rFonts w:ascii="Arial" w:hAnsi="Arial"/>
                <w:b/>
                <w:color w:val="FFFFFF"/>
                <w:sz w:val="16"/>
              </w:rPr>
              <w:t>ARIMA RMSE</w:t>
            </w:r>
          </w:p>
        </w:tc>
        <w:tc>
          <w:tcPr>
            <w:tcW w:type="dxa" w:w="936"/>
            <w:vAlign w:val="center"/>
            <w:tcMar>
              <w:top w:w="50" w:type="dxa"/>
              <w:bottom w:w="50" w:type="dxa"/>
              <w:left w:w="50" w:type="dxa"/>
              <w:right w:w="50" w:type="dxa"/>
            </w:tcMar>
            <w:shd w:fill="1B365D"/>
          </w:tcPr>
          <w:p>
            <w:pPr>
              <w:spacing w:before="20" w:after="20"/>
              <w:jc w:val="center"/>
            </w:pPr>
            <w:r>
              <w:rPr>
                <w:rFonts w:ascii="Arial" w:hAnsi="Arial"/>
                <w:b/>
                <w:color w:val="FFFFFF"/>
                <w:sz w:val="16"/>
              </w:rPr>
              <w:t>GBDT RMSE</w:t>
            </w:r>
          </w:p>
        </w:tc>
      </w:tr>
      <w:tr>
        <w:tc>
          <w:tcPr>
            <w:tcW w:type="dxa" w:w="1872"/>
            <w:vAlign w:val="center"/>
            <w:tcMar>
              <w:top w:w="50" w:type="dxa"/>
              <w:bottom w:w="50" w:type="dxa"/>
              <w:left w:w="50" w:type="dxa"/>
              <w:right w:w="50" w:type="dxa"/>
            </w:tcMar>
            <w:shd w:fill="F7FAFC"/>
          </w:tcPr>
          <w:p>
            <w:pPr>
              <w:spacing w:before="20" w:after="20"/>
              <w:jc w:val="left"/>
            </w:pPr>
            <w:r>
              <w:rPr>
                <w:rFonts w:ascii="Arial" w:hAnsi="Arial"/>
                <w:color w:val="2D3748"/>
                <w:sz w:val="16"/>
              </w:rPr>
              <w:t>Good to Moderate</w:t>
            </w:r>
          </w:p>
        </w:tc>
        <w:tc>
          <w:tcPr>
            <w:tcW w:type="dxa" w:w="1152"/>
            <w:vAlign w:val="center"/>
            <w:tcMar>
              <w:top w:w="50" w:type="dxa"/>
              <w:bottom w:w="50" w:type="dxa"/>
              <w:left w:w="50" w:type="dxa"/>
              <w:right w:w="50" w:type="dxa"/>
            </w:tcMar>
            <w:shd w:fill="F7FAFC"/>
          </w:tcPr>
          <w:p>
            <w:pPr>
              <w:spacing w:before="20" w:after="20"/>
              <w:jc w:val="left"/>
            </w:pPr>
            <w:r>
              <w:rPr>
                <w:rFonts w:ascii="Arial" w:hAnsi="Arial"/>
                <w:color w:val="2D3748"/>
                <w:sz w:val="16"/>
              </w:rPr>
              <w:t>AQI &lt; 100</w:t>
            </w:r>
          </w:p>
        </w:tc>
        <w:tc>
          <w:tcPr>
            <w:tcW w:type="dxa" w:w="936"/>
            <w:vAlign w:val="center"/>
            <w:tcMar>
              <w:top w:w="50" w:type="dxa"/>
              <w:bottom w:w="50" w:type="dxa"/>
              <w:left w:w="50" w:type="dxa"/>
              <w:right w:w="50" w:type="dxa"/>
            </w:tcMar>
            <w:shd w:fill="F7FAFC"/>
          </w:tcPr>
          <w:p>
            <w:pPr>
              <w:spacing w:before="20" w:after="20"/>
              <w:jc w:val="center"/>
            </w:pPr>
            <w:r>
              <w:rPr>
                <w:rFonts w:ascii="Arial" w:hAnsi="Arial"/>
                <w:color w:val="2D3748"/>
                <w:sz w:val="16"/>
              </w:rPr>
              <w:t>296</w:t>
            </w:r>
          </w:p>
        </w:tc>
        <w:tc>
          <w:tcPr>
            <w:tcW w:type="dxa" w:w="792"/>
            <w:vAlign w:val="center"/>
            <w:tcMar>
              <w:top w:w="50" w:type="dxa"/>
              <w:bottom w:w="50" w:type="dxa"/>
              <w:left w:w="50" w:type="dxa"/>
              <w:right w:w="50" w:type="dxa"/>
            </w:tcMar>
            <w:shd w:fill="F7FAFC"/>
          </w:tcPr>
          <w:p>
            <w:pPr>
              <w:spacing w:before="20" w:after="20"/>
              <w:jc w:val="center"/>
            </w:pPr>
            <w:r>
              <w:rPr>
                <w:rFonts w:ascii="Arial" w:hAnsi="Arial"/>
                <w:color w:val="2D3748"/>
                <w:sz w:val="16"/>
              </w:rPr>
              <w:t>80.0%</w:t>
            </w:r>
          </w:p>
        </w:tc>
        <w:tc>
          <w:tcPr>
            <w:tcW w:type="dxa" w:w="936"/>
            <w:vAlign w:val="center"/>
            <w:tcMar>
              <w:top w:w="50" w:type="dxa"/>
              <w:bottom w:w="50" w:type="dxa"/>
              <w:left w:w="50" w:type="dxa"/>
              <w:right w:w="50" w:type="dxa"/>
            </w:tcMar>
            <w:shd w:fill="F7FAFC"/>
          </w:tcPr>
          <w:p>
            <w:pPr>
              <w:spacing w:before="20" w:after="20"/>
              <w:jc w:val="center"/>
            </w:pPr>
            <w:r>
              <w:rPr>
                <w:rFonts w:ascii="Arial" w:hAnsi="Arial"/>
                <w:color w:val="2D3748"/>
                <w:sz w:val="16"/>
              </w:rPr>
              <w:t>17.65</w:t>
            </w:r>
          </w:p>
        </w:tc>
        <w:tc>
          <w:tcPr>
            <w:tcW w:type="dxa" w:w="936"/>
            <w:vAlign w:val="center"/>
            <w:tcMar>
              <w:top w:w="50" w:type="dxa"/>
              <w:bottom w:w="50" w:type="dxa"/>
              <w:left w:w="50" w:type="dxa"/>
              <w:right w:w="50" w:type="dxa"/>
            </w:tcMar>
            <w:shd w:fill="F7FAFC"/>
          </w:tcPr>
          <w:p>
            <w:pPr>
              <w:spacing w:before="20" w:after="20"/>
              <w:jc w:val="center"/>
            </w:pPr>
            <w:r>
              <w:rPr>
                <w:rFonts w:ascii="Arial" w:hAnsi="Arial"/>
                <w:color w:val="2D3748"/>
                <w:sz w:val="16"/>
              </w:rPr>
              <w:t>13.06</w:t>
            </w:r>
          </w:p>
        </w:tc>
        <w:tc>
          <w:tcPr>
            <w:tcW w:type="dxa" w:w="1008"/>
            <w:vAlign w:val="center"/>
            <w:tcMar>
              <w:top w:w="50" w:type="dxa"/>
              <w:bottom w:w="50" w:type="dxa"/>
              <w:left w:w="50" w:type="dxa"/>
              <w:right w:w="50" w:type="dxa"/>
            </w:tcMar>
            <w:shd w:fill="F7FAFC"/>
          </w:tcPr>
          <w:p>
            <w:pPr>
              <w:spacing w:before="20" w:after="20"/>
              <w:jc w:val="center"/>
            </w:pPr>
            <w:r>
              <w:rPr>
                <w:rFonts w:ascii="Arial" w:hAnsi="Arial"/>
                <w:color w:val="2D3748"/>
                <w:sz w:val="16"/>
              </w:rPr>
              <w:t>18.96</w:t>
            </w:r>
          </w:p>
        </w:tc>
        <w:tc>
          <w:tcPr>
            <w:tcW w:type="dxa" w:w="936"/>
            <w:vAlign w:val="center"/>
            <w:tcMar>
              <w:top w:w="50" w:type="dxa"/>
              <w:bottom w:w="50" w:type="dxa"/>
              <w:left w:w="50" w:type="dxa"/>
              <w:right w:w="50" w:type="dxa"/>
            </w:tcMar>
            <w:shd w:fill="F7FAFC"/>
          </w:tcPr>
          <w:p>
            <w:pPr>
              <w:spacing w:before="20" w:after="20"/>
              <w:jc w:val="center"/>
            </w:pPr>
            <w:r>
              <w:rPr>
                <w:rFonts w:ascii="Arial" w:hAnsi="Arial"/>
                <w:color w:val="2D3748"/>
                <w:sz w:val="16"/>
              </w:rPr>
              <w:t>18.02</w:t>
            </w:r>
          </w:p>
        </w:tc>
        <w:tc>
          <w:tcPr>
            <w:tcW w:type="dxa" w:w="936"/>
            <w:vAlign w:val="center"/>
            <w:tcMar>
              <w:top w:w="50" w:type="dxa"/>
              <w:bottom w:w="50" w:type="dxa"/>
              <w:left w:w="50" w:type="dxa"/>
              <w:right w:w="50" w:type="dxa"/>
            </w:tcMar>
            <w:shd w:fill="F7FAFC"/>
          </w:tcPr>
          <w:p>
            <w:pPr>
              <w:spacing w:before="20" w:after="20"/>
              <w:jc w:val="center"/>
            </w:pPr>
            <w:r>
              <w:rPr>
                <w:rFonts w:ascii="Arial" w:hAnsi="Arial"/>
                <w:color w:val="2D3748"/>
                <w:sz w:val="16"/>
              </w:rPr>
              <w:t>19.12</w:t>
            </w:r>
          </w:p>
        </w:tc>
      </w:tr>
      <w:tr>
        <w:tc>
          <w:tcPr>
            <w:tcW w:type="dxa" w:w="1872"/>
            <w:vAlign w:val="center"/>
            <w:tcMar>
              <w:top w:w="50" w:type="dxa"/>
              <w:bottom w:w="50" w:type="dxa"/>
              <w:left w:w="50" w:type="dxa"/>
              <w:right w:w="50" w:type="dxa"/>
            </w:tcMar>
            <w:shd w:fill="FFFFFF"/>
          </w:tcPr>
          <w:p>
            <w:pPr>
              <w:spacing w:before="20" w:after="20"/>
              <w:jc w:val="left"/>
            </w:pPr>
            <w:r>
              <w:rPr>
                <w:rFonts w:ascii="Arial" w:hAnsi="Arial"/>
                <w:color w:val="2D3748"/>
                <w:sz w:val="16"/>
              </w:rPr>
              <w:t>Unhealthy (Warning)</w:t>
            </w:r>
          </w:p>
        </w:tc>
        <w:tc>
          <w:tcPr>
            <w:tcW w:type="dxa" w:w="1152"/>
            <w:vAlign w:val="center"/>
            <w:tcMar>
              <w:top w:w="50" w:type="dxa"/>
              <w:bottom w:w="50" w:type="dxa"/>
              <w:left w:w="50" w:type="dxa"/>
              <w:right w:w="50" w:type="dxa"/>
            </w:tcMar>
            <w:shd w:fill="FFFFFF"/>
          </w:tcPr>
          <w:p>
            <w:pPr>
              <w:spacing w:before="20" w:after="20"/>
              <w:jc w:val="left"/>
            </w:pPr>
            <w:r>
              <w:rPr>
                <w:rFonts w:ascii="Arial" w:hAnsi="Arial"/>
                <w:color w:val="2D3748"/>
                <w:sz w:val="16"/>
              </w:rPr>
              <w:t>AQI ≥ 100</w:t>
            </w:r>
          </w:p>
        </w:tc>
        <w:tc>
          <w:tcPr>
            <w:tcW w:type="dxa" w:w="936"/>
            <w:vAlign w:val="center"/>
            <w:tcMar>
              <w:top w:w="50" w:type="dxa"/>
              <w:bottom w:w="50" w:type="dxa"/>
              <w:left w:w="50" w:type="dxa"/>
              <w:right w:w="50" w:type="dxa"/>
            </w:tcMar>
            <w:shd w:fill="FFFFFF"/>
          </w:tcPr>
          <w:p>
            <w:pPr>
              <w:spacing w:before="20" w:after="20"/>
              <w:jc w:val="center"/>
            </w:pPr>
            <w:r>
              <w:rPr>
                <w:rFonts w:ascii="Arial" w:hAnsi="Arial"/>
                <w:color w:val="2D3748"/>
                <w:sz w:val="16"/>
              </w:rPr>
              <w:t>74</w:t>
            </w:r>
          </w:p>
        </w:tc>
        <w:tc>
          <w:tcPr>
            <w:tcW w:type="dxa" w:w="792"/>
            <w:vAlign w:val="center"/>
            <w:tcMar>
              <w:top w:w="50" w:type="dxa"/>
              <w:bottom w:w="50" w:type="dxa"/>
              <w:left w:w="50" w:type="dxa"/>
              <w:right w:w="50" w:type="dxa"/>
            </w:tcMar>
            <w:shd w:fill="FFFFFF"/>
          </w:tcPr>
          <w:p>
            <w:pPr>
              <w:spacing w:before="20" w:after="20"/>
              <w:jc w:val="center"/>
            </w:pPr>
            <w:r>
              <w:rPr>
                <w:rFonts w:ascii="Arial" w:hAnsi="Arial"/>
                <w:color w:val="2D3748"/>
                <w:sz w:val="16"/>
              </w:rPr>
              <w:t>20.0%</w:t>
            </w:r>
          </w:p>
        </w:tc>
        <w:tc>
          <w:tcPr>
            <w:tcW w:type="dxa" w:w="936"/>
            <w:vAlign w:val="center"/>
            <w:tcMar>
              <w:top w:w="50" w:type="dxa"/>
              <w:bottom w:w="50" w:type="dxa"/>
              <w:left w:w="50" w:type="dxa"/>
              <w:right w:w="50" w:type="dxa"/>
            </w:tcMar>
            <w:shd w:fill="FFFFFF"/>
          </w:tcPr>
          <w:p>
            <w:pPr>
              <w:spacing w:before="20" w:after="20"/>
              <w:jc w:val="center"/>
            </w:pPr>
            <w:r>
              <w:rPr>
                <w:rFonts w:ascii="Arial" w:hAnsi="Arial"/>
                <w:color w:val="2D3748"/>
                <w:sz w:val="16"/>
              </w:rPr>
              <w:t>69.87</w:t>
            </w:r>
          </w:p>
        </w:tc>
        <w:tc>
          <w:tcPr>
            <w:tcW w:type="dxa" w:w="936"/>
            <w:vAlign w:val="center"/>
            <w:tcMar>
              <w:top w:w="50" w:type="dxa"/>
              <w:bottom w:w="50" w:type="dxa"/>
              <w:left w:w="50" w:type="dxa"/>
              <w:right w:w="50" w:type="dxa"/>
            </w:tcMar>
            <w:shd w:fill="FFFFFF"/>
          </w:tcPr>
          <w:p>
            <w:pPr>
              <w:spacing w:before="20" w:after="20"/>
              <w:jc w:val="center"/>
            </w:pPr>
            <w:r>
              <w:rPr>
                <w:rFonts w:ascii="Arial" w:hAnsi="Arial"/>
                <w:color w:val="2D3748"/>
                <w:sz w:val="16"/>
              </w:rPr>
              <w:t>62.24</w:t>
            </w:r>
          </w:p>
        </w:tc>
        <w:tc>
          <w:tcPr>
            <w:tcW w:type="dxa" w:w="1008"/>
            <w:vAlign w:val="center"/>
            <w:tcMar>
              <w:top w:w="50" w:type="dxa"/>
              <w:bottom w:w="50" w:type="dxa"/>
              <w:left w:w="50" w:type="dxa"/>
              <w:right w:w="50" w:type="dxa"/>
            </w:tcMar>
            <w:shd w:fill="FFFFFF"/>
          </w:tcPr>
          <w:p>
            <w:pPr>
              <w:spacing w:before="20" w:after="20"/>
              <w:jc w:val="center"/>
            </w:pPr>
            <w:r>
              <w:rPr>
                <w:rFonts w:ascii="Arial" w:hAnsi="Arial"/>
                <w:color w:val="2D3748"/>
                <w:sz w:val="16"/>
              </w:rPr>
              <w:t>72.84</w:t>
            </w:r>
          </w:p>
        </w:tc>
        <w:tc>
          <w:tcPr>
            <w:tcW w:type="dxa" w:w="936"/>
            <w:vAlign w:val="center"/>
            <w:tcMar>
              <w:top w:w="50" w:type="dxa"/>
              <w:bottom w:w="50" w:type="dxa"/>
              <w:left w:w="50" w:type="dxa"/>
              <w:right w:w="50" w:type="dxa"/>
            </w:tcMar>
            <w:shd w:fill="FFFFFF"/>
          </w:tcPr>
          <w:p>
            <w:pPr>
              <w:spacing w:before="20" w:after="20"/>
              <w:jc w:val="center"/>
            </w:pPr>
            <w:r>
              <w:rPr>
                <w:rFonts w:ascii="Arial" w:hAnsi="Arial"/>
                <w:color w:val="2D3748"/>
                <w:sz w:val="16"/>
              </w:rPr>
              <w:t>66.86</w:t>
            </w:r>
          </w:p>
        </w:tc>
        <w:tc>
          <w:tcPr>
            <w:tcW w:type="dxa" w:w="936"/>
            <w:vAlign w:val="center"/>
            <w:tcMar>
              <w:top w:w="50" w:type="dxa"/>
              <w:bottom w:w="50" w:type="dxa"/>
              <w:left w:w="50" w:type="dxa"/>
              <w:right w:w="50" w:type="dxa"/>
            </w:tcMar>
            <w:shd w:fill="FFFFFF"/>
          </w:tcPr>
          <w:p>
            <w:pPr>
              <w:spacing w:before="20" w:after="20"/>
              <w:jc w:val="center"/>
            </w:pPr>
            <w:r>
              <w:rPr>
                <w:rFonts w:ascii="Arial" w:hAnsi="Arial"/>
                <w:color w:val="2D3748"/>
                <w:sz w:val="16"/>
              </w:rPr>
              <w:t>68.45</w:t>
            </w:r>
          </w:p>
        </w:tc>
      </w:tr>
      <w:tr>
        <w:tc>
          <w:tcPr>
            <w:tcW w:type="dxa" w:w="1872"/>
            <w:vAlign w:val="center"/>
            <w:tcMar>
              <w:top w:w="50" w:type="dxa"/>
              <w:bottom w:w="50" w:type="dxa"/>
              <w:left w:w="50" w:type="dxa"/>
              <w:right w:w="50" w:type="dxa"/>
            </w:tcMar>
            <w:shd w:fill="F7FAFC"/>
          </w:tcPr>
          <w:p>
            <w:pPr>
              <w:spacing w:before="20" w:after="20"/>
              <w:jc w:val="left"/>
            </w:pPr>
            <w:r>
              <w:rPr>
                <w:rFonts w:ascii="Arial" w:hAnsi="Arial"/>
                <w:color w:val="2D3748"/>
                <w:sz w:val="16"/>
              </w:rPr>
              <w:t>Severe Pollution</w:t>
            </w:r>
          </w:p>
        </w:tc>
        <w:tc>
          <w:tcPr>
            <w:tcW w:type="dxa" w:w="1152"/>
            <w:vAlign w:val="center"/>
            <w:tcMar>
              <w:top w:w="50" w:type="dxa"/>
              <w:bottom w:w="50" w:type="dxa"/>
              <w:left w:w="50" w:type="dxa"/>
              <w:right w:w="50" w:type="dxa"/>
            </w:tcMar>
            <w:shd w:fill="F7FAFC"/>
          </w:tcPr>
          <w:p>
            <w:pPr>
              <w:spacing w:before="20" w:after="20"/>
              <w:jc w:val="left"/>
            </w:pPr>
            <w:r>
              <w:rPr>
                <w:rFonts w:ascii="Arial" w:hAnsi="Arial"/>
                <w:color w:val="2D3748"/>
                <w:sz w:val="16"/>
              </w:rPr>
              <w:t>AQI ≥ 150</w:t>
            </w:r>
          </w:p>
        </w:tc>
        <w:tc>
          <w:tcPr>
            <w:tcW w:type="dxa" w:w="936"/>
            <w:vAlign w:val="center"/>
            <w:tcMar>
              <w:top w:w="50" w:type="dxa"/>
              <w:bottom w:w="50" w:type="dxa"/>
              <w:left w:w="50" w:type="dxa"/>
              <w:right w:w="50" w:type="dxa"/>
            </w:tcMar>
            <w:shd w:fill="F7FAFC"/>
          </w:tcPr>
          <w:p>
            <w:pPr>
              <w:spacing w:before="20" w:after="20"/>
              <w:jc w:val="center"/>
            </w:pPr>
            <w:r>
              <w:rPr>
                <w:rFonts w:ascii="Arial" w:hAnsi="Arial"/>
                <w:color w:val="2D3748"/>
                <w:sz w:val="16"/>
              </w:rPr>
              <w:t>29</w:t>
            </w:r>
          </w:p>
        </w:tc>
        <w:tc>
          <w:tcPr>
            <w:tcW w:type="dxa" w:w="792"/>
            <w:vAlign w:val="center"/>
            <w:tcMar>
              <w:top w:w="50" w:type="dxa"/>
              <w:bottom w:w="50" w:type="dxa"/>
              <w:left w:w="50" w:type="dxa"/>
              <w:right w:w="50" w:type="dxa"/>
            </w:tcMar>
            <w:shd w:fill="F7FAFC"/>
          </w:tcPr>
          <w:p>
            <w:pPr>
              <w:spacing w:before="20" w:after="20"/>
              <w:jc w:val="center"/>
            </w:pPr>
            <w:r>
              <w:rPr>
                <w:rFonts w:ascii="Arial" w:hAnsi="Arial"/>
                <w:color w:val="2D3748"/>
                <w:sz w:val="16"/>
              </w:rPr>
              <w:t>7.8%</w:t>
            </w:r>
          </w:p>
        </w:tc>
        <w:tc>
          <w:tcPr>
            <w:tcW w:type="dxa" w:w="936"/>
            <w:vAlign w:val="center"/>
            <w:tcMar>
              <w:top w:w="50" w:type="dxa"/>
              <w:bottom w:w="50" w:type="dxa"/>
              <w:left w:w="50" w:type="dxa"/>
              <w:right w:w="50" w:type="dxa"/>
            </w:tcMar>
            <w:shd w:fill="F7FAFC"/>
          </w:tcPr>
          <w:p>
            <w:pPr>
              <w:spacing w:before="20" w:after="20"/>
              <w:jc w:val="center"/>
            </w:pPr>
            <w:r>
              <w:rPr>
                <w:rFonts w:ascii="Arial" w:hAnsi="Arial"/>
                <w:color w:val="2D3748"/>
                <w:sz w:val="16"/>
              </w:rPr>
              <w:t>104.99</w:t>
            </w:r>
          </w:p>
        </w:tc>
        <w:tc>
          <w:tcPr>
            <w:tcW w:type="dxa" w:w="936"/>
            <w:vAlign w:val="center"/>
            <w:tcMar>
              <w:top w:w="50" w:type="dxa"/>
              <w:bottom w:w="50" w:type="dxa"/>
              <w:left w:w="50" w:type="dxa"/>
              <w:right w:w="50" w:type="dxa"/>
            </w:tcMar>
            <w:shd w:fill="F7FAFC"/>
          </w:tcPr>
          <w:p>
            <w:pPr>
              <w:spacing w:before="20" w:after="20"/>
              <w:jc w:val="center"/>
            </w:pPr>
            <w:r>
              <w:rPr>
                <w:rFonts w:ascii="Arial" w:hAnsi="Arial"/>
                <w:color w:val="2D3748"/>
                <w:sz w:val="16"/>
              </w:rPr>
              <w:t>95.91</w:t>
            </w:r>
          </w:p>
        </w:tc>
        <w:tc>
          <w:tcPr>
            <w:tcW w:type="dxa" w:w="1008"/>
            <w:vAlign w:val="center"/>
            <w:tcMar>
              <w:top w:w="50" w:type="dxa"/>
              <w:bottom w:w="50" w:type="dxa"/>
              <w:left w:w="50" w:type="dxa"/>
              <w:right w:w="50" w:type="dxa"/>
            </w:tcMar>
            <w:shd w:fill="F7FAFC"/>
          </w:tcPr>
          <w:p>
            <w:pPr>
              <w:spacing w:before="20" w:after="20"/>
              <w:jc w:val="center"/>
            </w:pPr>
            <w:r>
              <w:rPr>
                <w:rFonts w:ascii="Arial" w:hAnsi="Arial"/>
                <w:color w:val="2D3748"/>
                <w:sz w:val="16"/>
              </w:rPr>
              <w:t>108.77</w:t>
            </w:r>
          </w:p>
        </w:tc>
        <w:tc>
          <w:tcPr>
            <w:tcW w:type="dxa" w:w="936"/>
            <w:vAlign w:val="center"/>
            <w:tcMar>
              <w:top w:w="50" w:type="dxa"/>
              <w:bottom w:w="50" w:type="dxa"/>
              <w:left w:w="50" w:type="dxa"/>
              <w:right w:w="50" w:type="dxa"/>
            </w:tcMar>
            <w:shd w:fill="F7FAFC"/>
          </w:tcPr>
          <w:p>
            <w:pPr>
              <w:spacing w:before="20" w:after="20"/>
              <w:jc w:val="center"/>
            </w:pPr>
            <w:r>
              <w:rPr>
                <w:rFonts w:ascii="Arial" w:hAnsi="Arial"/>
                <w:color w:val="2D3748"/>
                <w:sz w:val="16"/>
              </w:rPr>
              <w:t>99.41</w:t>
            </w:r>
          </w:p>
        </w:tc>
        <w:tc>
          <w:tcPr>
            <w:tcW w:type="dxa" w:w="936"/>
            <w:vAlign w:val="center"/>
            <w:tcMar>
              <w:top w:w="50" w:type="dxa"/>
              <w:bottom w:w="50" w:type="dxa"/>
              <w:left w:w="50" w:type="dxa"/>
              <w:right w:w="50" w:type="dxa"/>
            </w:tcMar>
            <w:shd w:fill="F7FAFC"/>
          </w:tcPr>
          <w:p>
            <w:pPr>
              <w:spacing w:before="20" w:after="20"/>
              <w:jc w:val="center"/>
            </w:pPr>
            <w:r>
              <w:rPr>
                <w:rFonts w:ascii="Arial" w:hAnsi="Arial"/>
                <w:color w:val="2D3748"/>
                <w:sz w:val="16"/>
              </w:rPr>
              <w:t>101.20</w:t>
            </w:r>
          </w:p>
        </w:tc>
      </w:tr>
      <w:tr>
        <w:tc>
          <w:tcPr>
            <w:tcW w:type="dxa" w:w="1872"/>
            <w:vAlign w:val="center"/>
            <w:tcMar>
              <w:top w:w="50" w:type="dxa"/>
              <w:bottom w:w="50" w:type="dxa"/>
              <w:left w:w="50" w:type="dxa"/>
              <w:right w:w="50" w:type="dxa"/>
            </w:tcMar>
            <w:shd w:fill="FFFFFF"/>
          </w:tcPr>
          <w:p>
            <w:pPr>
              <w:spacing w:before="20" w:after="20"/>
              <w:jc w:val="left"/>
            </w:pPr>
            <w:r>
              <w:rPr>
                <w:rFonts w:ascii="Arial" w:hAnsi="Arial"/>
                <w:color w:val="2D3748"/>
                <w:sz w:val="16"/>
              </w:rPr>
              <w:t>Hazardous (Emergency)</w:t>
            </w:r>
          </w:p>
        </w:tc>
        <w:tc>
          <w:tcPr>
            <w:tcW w:type="dxa" w:w="1152"/>
            <w:vAlign w:val="center"/>
            <w:tcMar>
              <w:top w:w="50" w:type="dxa"/>
              <w:bottom w:w="50" w:type="dxa"/>
              <w:left w:w="50" w:type="dxa"/>
              <w:right w:w="50" w:type="dxa"/>
            </w:tcMar>
            <w:shd w:fill="FFFFFF"/>
          </w:tcPr>
          <w:p>
            <w:pPr>
              <w:spacing w:before="20" w:after="20"/>
              <w:jc w:val="left"/>
            </w:pPr>
            <w:r>
              <w:rPr>
                <w:rFonts w:ascii="Arial" w:hAnsi="Arial"/>
                <w:color w:val="2D3748"/>
                <w:sz w:val="16"/>
              </w:rPr>
              <w:t>AQI ≥ 200</w:t>
            </w:r>
          </w:p>
        </w:tc>
        <w:tc>
          <w:tcPr>
            <w:tcW w:type="dxa" w:w="936"/>
            <w:vAlign w:val="center"/>
            <w:tcMar>
              <w:top w:w="50" w:type="dxa"/>
              <w:bottom w:w="50" w:type="dxa"/>
              <w:left w:w="50" w:type="dxa"/>
              <w:right w:w="50" w:type="dxa"/>
            </w:tcMar>
            <w:shd w:fill="FFFFFF"/>
          </w:tcPr>
          <w:p>
            <w:pPr>
              <w:spacing w:before="20" w:after="20"/>
              <w:jc w:val="center"/>
            </w:pPr>
            <w:r>
              <w:rPr>
                <w:rFonts w:ascii="Arial" w:hAnsi="Arial"/>
                <w:color w:val="2D3748"/>
                <w:sz w:val="16"/>
              </w:rPr>
              <w:t>11</w:t>
            </w:r>
          </w:p>
        </w:tc>
        <w:tc>
          <w:tcPr>
            <w:tcW w:type="dxa" w:w="792"/>
            <w:vAlign w:val="center"/>
            <w:tcMar>
              <w:top w:w="50" w:type="dxa"/>
              <w:bottom w:w="50" w:type="dxa"/>
              <w:left w:w="50" w:type="dxa"/>
              <w:right w:w="50" w:type="dxa"/>
            </w:tcMar>
            <w:shd w:fill="FFFFFF"/>
          </w:tcPr>
          <w:p>
            <w:pPr>
              <w:spacing w:before="20" w:after="20"/>
              <w:jc w:val="center"/>
            </w:pPr>
            <w:r>
              <w:rPr>
                <w:rFonts w:ascii="Arial" w:hAnsi="Arial"/>
                <w:color w:val="2D3748"/>
                <w:sz w:val="16"/>
              </w:rPr>
              <w:t>3.0%</w:t>
            </w:r>
          </w:p>
        </w:tc>
        <w:tc>
          <w:tcPr>
            <w:tcW w:type="dxa" w:w="936"/>
            <w:vAlign w:val="center"/>
            <w:tcMar>
              <w:top w:w="50" w:type="dxa"/>
              <w:bottom w:w="50" w:type="dxa"/>
              <w:left w:w="50" w:type="dxa"/>
              <w:right w:w="50" w:type="dxa"/>
            </w:tcMar>
            <w:shd w:fill="FFFFFF"/>
          </w:tcPr>
          <w:p>
            <w:pPr>
              <w:spacing w:before="20" w:after="20"/>
              <w:jc w:val="center"/>
            </w:pPr>
            <w:r>
              <w:rPr>
                <w:rFonts w:ascii="Arial" w:hAnsi="Arial"/>
                <w:color w:val="2D3748"/>
                <w:sz w:val="16"/>
              </w:rPr>
              <w:t>145.67</w:t>
            </w:r>
          </w:p>
        </w:tc>
        <w:tc>
          <w:tcPr>
            <w:tcW w:type="dxa" w:w="936"/>
            <w:vAlign w:val="center"/>
            <w:tcMar>
              <w:top w:w="50" w:type="dxa"/>
              <w:bottom w:w="50" w:type="dxa"/>
              <w:left w:w="50" w:type="dxa"/>
              <w:right w:w="50" w:type="dxa"/>
            </w:tcMar>
            <w:shd w:fill="FFFFFF"/>
          </w:tcPr>
          <w:p>
            <w:pPr>
              <w:spacing w:before="20" w:after="20"/>
              <w:jc w:val="center"/>
            </w:pPr>
            <w:r>
              <w:rPr>
                <w:rFonts w:ascii="Arial" w:hAnsi="Arial"/>
                <w:color w:val="2D3748"/>
                <w:sz w:val="16"/>
              </w:rPr>
              <w:t>138.58</w:t>
            </w:r>
          </w:p>
        </w:tc>
        <w:tc>
          <w:tcPr>
            <w:tcW w:type="dxa" w:w="1008"/>
            <w:vAlign w:val="center"/>
            <w:tcMar>
              <w:top w:w="50" w:type="dxa"/>
              <w:bottom w:w="50" w:type="dxa"/>
              <w:left w:w="50" w:type="dxa"/>
              <w:right w:w="50" w:type="dxa"/>
            </w:tcMar>
            <w:shd w:fill="FFFFFF"/>
          </w:tcPr>
          <w:p>
            <w:pPr>
              <w:spacing w:before="20" w:after="20"/>
              <w:jc w:val="center"/>
            </w:pPr>
            <w:r>
              <w:rPr>
                <w:rFonts w:ascii="Arial" w:hAnsi="Arial"/>
                <w:color w:val="2D3748"/>
                <w:sz w:val="16"/>
              </w:rPr>
              <w:t>149.80</w:t>
            </w:r>
          </w:p>
        </w:tc>
        <w:tc>
          <w:tcPr>
            <w:tcW w:type="dxa" w:w="936"/>
            <w:vAlign w:val="center"/>
            <w:tcMar>
              <w:top w:w="50" w:type="dxa"/>
              <w:bottom w:w="50" w:type="dxa"/>
              <w:left w:w="50" w:type="dxa"/>
              <w:right w:w="50" w:type="dxa"/>
            </w:tcMar>
            <w:shd w:fill="FFFFFF"/>
          </w:tcPr>
          <w:p>
            <w:pPr>
              <w:spacing w:before="20" w:after="20"/>
              <w:jc w:val="center"/>
            </w:pPr>
            <w:r>
              <w:rPr>
                <w:rFonts w:ascii="Arial" w:hAnsi="Arial"/>
                <w:color w:val="2D3748"/>
                <w:sz w:val="16"/>
              </w:rPr>
              <w:t>136.21</w:t>
            </w:r>
          </w:p>
        </w:tc>
        <w:tc>
          <w:tcPr>
            <w:tcW w:type="dxa" w:w="936"/>
            <w:vAlign w:val="center"/>
            <w:tcMar>
              <w:top w:w="50" w:type="dxa"/>
              <w:bottom w:w="50" w:type="dxa"/>
              <w:left w:w="50" w:type="dxa"/>
              <w:right w:w="50" w:type="dxa"/>
            </w:tcMar>
            <w:shd w:fill="FFFFFF"/>
          </w:tcPr>
          <w:p>
            <w:pPr>
              <w:spacing w:before="20" w:after="20"/>
              <w:jc w:val="center"/>
            </w:pPr>
            <w:r>
              <w:rPr>
                <w:rFonts w:ascii="Arial" w:hAnsi="Arial"/>
                <w:color w:val="2D3748"/>
                <w:sz w:val="16"/>
              </w:rPr>
              <w:t>139.40</w:t>
            </w:r>
          </w:p>
        </w:tc>
      </w:tr>
    </w:tbl>
    <w:p>
      <w:pPr>
        <w:spacing w:after="120"/>
      </w:pPr>
    </w:p>
    <w:p>
      <w:pPr>
        <w:keepNext/>
        <w:spacing w:before="220" w:after="60"/>
      </w:pPr>
      <w:r>
        <w:rPr>
          <w:rFonts w:ascii="Arial" w:hAnsi="Arial"/>
          <w:b/>
          <w:color w:val="2B6CB0"/>
          <w:sz w:val="22"/>
        </w:rPr>
        <w:t>Table 6: Computational Complexity, Runtime Latency, and Resource Footprint</w:t>
      </w:r>
    </w:p>
    <w:tbl>
      <w:tblPr>
        <w:tblW w:type="auto" w:w="0"/>
        <w:jc w:val="center"/>
        <w:tblLayout w:type="fixed"/>
        <w:tblLook w:firstColumn="1" w:firstRow="1" w:lastColumn="0" w:lastRow="0" w:noHBand="0" w:noVBand="1" w:val="04A0"/>
      </w:tblPr>
      <w:tblGrid>
        <w:gridCol w:w="1680"/>
        <w:gridCol w:w="1680"/>
        <w:gridCol w:w="1680"/>
        <w:gridCol w:w="1680"/>
        <w:gridCol w:w="1680"/>
        <w:gridCol w:w="1680"/>
      </w:tblGrid>
      <w:tr>
        <w:tc>
          <w:tcPr>
            <w:tcW w:type="dxa" w:w="2304"/>
            <w:vAlign w:val="center"/>
            <w:tcMar>
              <w:top w:w="50" w:type="dxa"/>
              <w:bottom w:w="50" w:type="dxa"/>
              <w:left w:w="50" w:type="dxa"/>
              <w:right w:w="50" w:type="dxa"/>
            </w:tcMar>
            <w:shd w:fill="1B365D"/>
          </w:tcPr>
          <w:p>
            <w:pPr>
              <w:spacing w:before="20" w:after="20"/>
              <w:jc w:val="left"/>
            </w:pPr>
            <w:r>
              <w:rPr>
                <w:rFonts w:ascii="Arial" w:hAnsi="Arial"/>
                <w:b/>
                <w:color w:val="FFFFFF"/>
                <w:sz w:val="16"/>
              </w:rPr>
              <w:t>Model Architecture</w:t>
            </w:r>
          </w:p>
        </w:tc>
        <w:tc>
          <w:tcPr>
            <w:tcW w:type="dxa" w:w="1296"/>
            <w:vAlign w:val="center"/>
            <w:tcMar>
              <w:top w:w="50" w:type="dxa"/>
              <w:bottom w:w="50" w:type="dxa"/>
              <w:left w:w="50" w:type="dxa"/>
              <w:right w:w="50" w:type="dxa"/>
            </w:tcMar>
            <w:shd w:fill="1B365D"/>
          </w:tcPr>
          <w:p>
            <w:pPr>
              <w:spacing w:before="20" w:after="20"/>
              <w:jc w:val="center"/>
            </w:pPr>
            <w:r>
              <w:rPr>
                <w:rFonts w:ascii="Arial" w:hAnsi="Arial"/>
                <w:b/>
                <w:color w:val="FFFFFF"/>
                <w:sz w:val="16"/>
              </w:rPr>
              <w:t>Trainable Params</w:t>
            </w:r>
          </w:p>
        </w:tc>
        <w:tc>
          <w:tcPr>
            <w:tcW w:type="dxa" w:w="1872"/>
            <w:vAlign w:val="center"/>
            <w:tcMar>
              <w:top w:w="50" w:type="dxa"/>
              <w:bottom w:w="50" w:type="dxa"/>
              <w:left w:w="50" w:type="dxa"/>
              <w:right w:w="50" w:type="dxa"/>
            </w:tcMar>
            <w:shd w:fill="1B365D"/>
          </w:tcPr>
          <w:p>
            <w:pPr>
              <w:spacing w:before="20" w:after="20"/>
              <w:jc w:val="center"/>
            </w:pPr>
            <w:r>
              <w:rPr>
                <w:rFonts w:ascii="Arial" w:hAnsi="Arial"/>
                <w:b/>
                <w:color w:val="FFFFFF"/>
                <w:sz w:val="16"/>
              </w:rPr>
              <w:t>Time Complexity</w:t>
            </w:r>
          </w:p>
        </w:tc>
        <w:tc>
          <w:tcPr>
            <w:tcW w:type="dxa" w:w="1440"/>
            <w:vAlign w:val="center"/>
            <w:tcMar>
              <w:top w:w="50" w:type="dxa"/>
              <w:bottom w:w="50" w:type="dxa"/>
              <w:left w:w="50" w:type="dxa"/>
              <w:right w:w="50" w:type="dxa"/>
            </w:tcMar>
            <w:shd w:fill="1B365D"/>
          </w:tcPr>
          <w:p>
            <w:pPr>
              <w:spacing w:before="20" w:after="20"/>
              <w:jc w:val="center"/>
            </w:pPr>
            <w:r>
              <w:rPr>
                <w:rFonts w:ascii="Arial" w:hAnsi="Arial"/>
                <w:b/>
                <w:color w:val="FFFFFF"/>
                <w:sz w:val="16"/>
              </w:rPr>
              <w:t>Training Latency</w:t>
            </w:r>
          </w:p>
        </w:tc>
        <w:tc>
          <w:tcPr>
            <w:tcW w:type="dxa" w:w="1440"/>
            <w:vAlign w:val="center"/>
            <w:tcMar>
              <w:top w:w="50" w:type="dxa"/>
              <w:bottom w:w="50" w:type="dxa"/>
              <w:left w:w="50" w:type="dxa"/>
              <w:right w:w="50" w:type="dxa"/>
            </w:tcMar>
            <w:shd w:fill="1B365D"/>
          </w:tcPr>
          <w:p>
            <w:pPr>
              <w:spacing w:before="20" w:after="20"/>
              <w:jc w:val="center"/>
            </w:pPr>
            <w:r>
              <w:rPr>
                <w:rFonts w:ascii="Arial" w:hAnsi="Arial"/>
                <w:b/>
                <w:color w:val="FFFFFF"/>
                <w:sz w:val="16"/>
              </w:rPr>
              <w:t>Compute Hardware</w:t>
            </w:r>
          </w:p>
        </w:tc>
        <w:tc>
          <w:tcPr>
            <w:tcW w:type="dxa" w:w="1440"/>
            <w:vAlign w:val="center"/>
            <w:tcMar>
              <w:top w:w="50" w:type="dxa"/>
              <w:bottom w:w="50" w:type="dxa"/>
              <w:left w:w="50" w:type="dxa"/>
              <w:right w:w="50" w:type="dxa"/>
            </w:tcMar>
            <w:shd w:fill="1B365D"/>
          </w:tcPr>
          <w:p>
            <w:pPr>
              <w:spacing w:before="20" w:after="20"/>
              <w:jc w:val="left"/>
            </w:pPr>
            <w:r>
              <w:rPr>
                <w:rFonts w:ascii="Arial" w:hAnsi="Arial"/>
                <w:b/>
                <w:color w:val="FFFFFF"/>
                <w:sz w:val="16"/>
              </w:rPr>
              <w:t>Energy Profile</w:t>
            </w:r>
          </w:p>
        </w:tc>
      </w:tr>
      <w:tr>
        <w:tc>
          <w:tcPr>
            <w:tcW w:type="dxa" w:w="2304"/>
            <w:vAlign w:val="center"/>
            <w:tcMar>
              <w:top w:w="50" w:type="dxa"/>
              <w:bottom w:w="50" w:type="dxa"/>
              <w:left w:w="50" w:type="dxa"/>
              <w:right w:w="50" w:type="dxa"/>
            </w:tcMar>
            <w:shd w:fill="F7FAFC"/>
          </w:tcPr>
          <w:p>
            <w:pPr>
              <w:spacing w:before="20" w:after="20"/>
              <w:jc w:val="left"/>
            </w:pPr>
            <w:r>
              <w:rPr>
                <w:rFonts w:ascii="Arial" w:hAnsi="Arial"/>
                <w:color w:val="2D3748"/>
                <w:sz w:val="16"/>
              </w:rPr>
              <w:t>ARIMA-DBO-CNN-LSTM Hybrid</w:t>
            </w:r>
          </w:p>
        </w:tc>
        <w:tc>
          <w:tcPr>
            <w:tcW w:type="dxa" w:w="1296"/>
            <w:vAlign w:val="center"/>
            <w:tcMar>
              <w:top w:w="50" w:type="dxa"/>
              <w:bottom w:w="50" w:type="dxa"/>
              <w:left w:w="50" w:type="dxa"/>
              <w:right w:w="50" w:type="dxa"/>
            </w:tcMar>
            <w:shd w:fill="F7FAFC"/>
          </w:tcPr>
          <w:p>
            <w:pPr>
              <w:spacing w:before="20" w:after="20"/>
              <w:jc w:val="center"/>
            </w:pPr>
            <w:r>
              <w:rPr>
                <w:rFonts w:ascii="Arial" w:hAnsi="Arial"/>
                <w:color w:val="2D3748"/>
                <w:sz w:val="16"/>
              </w:rPr>
              <w:t>112,450</w:t>
            </w:r>
          </w:p>
        </w:tc>
        <w:tc>
          <w:tcPr>
            <w:tcW w:type="dxa" w:w="1872"/>
            <w:vAlign w:val="center"/>
            <w:tcMar>
              <w:top w:w="50" w:type="dxa"/>
              <w:bottom w:w="50" w:type="dxa"/>
              <w:left w:w="50" w:type="dxa"/>
              <w:right w:w="50" w:type="dxa"/>
            </w:tcMar>
            <w:shd w:fill="F7FAFC"/>
          </w:tcPr>
          <w:p>
            <w:pPr>
              <w:spacing w:before="20" w:after="20"/>
              <w:jc w:val="center"/>
            </w:pPr>
            <w:r>
              <w:rPr>
                <w:rFonts w:ascii="Arial" w:hAnsi="Arial"/>
                <w:color w:val="2D3748"/>
                <w:sz w:val="16"/>
              </w:rPr>
              <w:t>O(N_swarm · I_iter · E · L)</w:t>
            </w:r>
          </w:p>
        </w:tc>
        <w:tc>
          <w:tcPr>
            <w:tcW w:type="dxa" w:w="1440"/>
            <w:vAlign w:val="center"/>
            <w:tcMar>
              <w:top w:w="50" w:type="dxa"/>
              <w:bottom w:w="50" w:type="dxa"/>
              <w:left w:w="50" w:type="dxa"/>
              <w:right w:w="50" w:type="dxa"/>
            </w:tcMar>
            <w:shd w:fill="F7FAFC"/>
          </w:tcPr>
          <w:p>
            <w:pPr>
              <w:spacing w:before="20" w:after="20"/>
              <w:jc w:val="center"/>
            </w:pPr>
            <w:r>
              <w:rPr>
                <w:rFonts w:ascii="Arial" w:hAnsi="Arial"/>
                <w:color w:val="2D3748"/>
                <w:sz w:val="16"/>
              </w:rPr>
              <w:t>1,480.2 s (~25 min)</w:t>
            </w:r>
          </w:p>
        </w:tc>
        <w:tc>
          <w:tcPr>
            <w:tcW w:type="dxa" w:w="1440"/>
            <w:vAlign w:val="center"/>
            <w:tcMar>
              <w:top w:w="50" w:type="dxa"/>
              <w:bottom w:w="50" w:type="dxa"/>
              <w:left w:w="50" w:type="dxa"/>
              <w:right w:w="50" w:type="dxa"/>
            </w:tcMar>
            <w:shd w:fill="F7FAFC"/>
          </w:tcPr>
          <w:p>
            <w:pPr>
              <w:spacing w:before="20" w:after="20"/>
              <w:jc w:val="center"/>
            </w:pPr>
            <w:r>
              <w:rPr>
                <w:rFonts w:ascii="Arial" w:hAnsi="Arial"/>
                <w:color w:val="2D3748"/>
                <w:sz w:val="16"/>
              </w:rPr>
              <w:t>GPU / Apple MPS</w:t>
            </w:r>
          </w:p>
        </w:tc>
        <w:tc>
          <w:tcPr>
            <w:tcW w:type="dxa" w:w="1440"/>
            <w:vAlign w:val="center"/>
            <w:tcMar>
              <w:top w:w="50" w:type="dxa"/>
              <w:bottom w:w="50" w:type="dxa"/>
              <w:left w:w="50" w:type="dxa"/>
              <w:right w:w="50" w:type="dxa"/>
            </w:tcMar>
            <w:shd w:fill="F7FAFC"/>
          </w:tcPr>
          <w:p>
            <w:pPr>
              <w:spacing w:before="20" w:after="20"/>
              <w:jc w:val="left"/>
            </w:pPr>
            <w:r>
              <w:rPr>
                <w:rFonts w:ascii="Arial" w:hAnsi="Arial"/>
                <w:color w:val="2D3748"/>
                <w:sz w:val="16"/>
              </w:rPr>
              <w:t>High (1,500 backprop passes)</w:t>
            </w:r>
          </w:p>
        </w:tc>
      </w:tr>
      <w:tr>
        <w:tc>
          <w:tcPr>
            <w:tcW w:type="dxa" w:w="2304"/>
            <w:vAlign w:val="center"/>
            <w:tcMar>
              <w:top w:w="50" w:type="dxa"/>
              <w:bottom w:w="50" w:type="dxa"/>
              <w:left w:w="50" w:type="dxa"/>
              <w:right w:w="50" w:type="dxa"/>
            </w:tcMar>
            <w:shd w:fill="FFFFFF"/>
          </w:tcPr>
          <w:p>
            <w:pPr>
              <w:spacing w:before="20" w:after="20"/>
              <w:jc w:val="left"/>
            </w:pPr>
            <w:r>
              <w:rPr>
                <w:rFonts w:ascii="Arial" w:hAnsi="Arial"/>
                <w:color w:val="2D3748"/>
                <w:sz w:val="16"/>
              </w:rPr>
              <w:t>Gradient Boosted Trees (GBDT)</w:t>
            </w:r>
          </w:p>
        </w:tc>
        <w:tc>
          <w:tcPr>
            <w:tcW w:type="dxa" w:w="1296"/>
            <w:vAlign w:val="center"/>
            <w:tcMar>
              <w:top w:w="50" w:type="dxa"/>
              <w:bottom w:w="50" w:type="dxa"/>
              <w:left w:w="50" w:type="dxa"/>
              <w:right w:w="50" w:type="dxa"/>
            </w:tcMar>
            <w:shd w:fill="FFFFFF"/>
          </w:tcPr>
          <w:p>
            <w:pPr>
              <w:spacing w:before="20" w:after="20"/>
              <w:jc w:val="center"/>
            </w:pPr>
            <w:r>
              <w:rPr>
                <w:rFonts w:ascii="Arial" w:hAnsi="Arial"/>
                <w:color w:val="2D3748"/>
                <w:sz w:val="16"/>
              </w:rPr>
              <w:t>100 shallow trees</w:t>
            </w:r>
          </w:p>
        </w:tc>
        <w:tc>
          <w:tcPr>
            <w:tcW w:type="dxa" w:w="1872"/>
            <w:vAlign w:val="center"/>
            <w:tcMar>
              <w:top w:w="50" w:type="dxa"/>
              <w:bottom w:w="50" w:type="dxa"/>
              <w:left w:w="50" w:type="dxa"/>
              <w:right w:w="50" w:type="dxa"/>
            </w:tcMar>
            <w:shd w:fill="FFFFFF"/>
          </w:tcPr>
          <w:p>
            <w:pPr>
              <w:spacing w:before="20" w:after="20"/>
              <w:jc w:val="center"/>
            </w:pPr>
            <w:r>
              <w:rPr>
                <w:rFonts w:ascii="Arial" w:hAnsi="Arial"/>
                <w:color w:val="2D3748"/>
                <w:sz w:val="16"/>
              </w:rPr>
              <w:t>O(M · K · N log N)</w:t>
            </w:r>
          </w:p>
        </w:tc>
        <w:tc>
          <w:tcPr>
            <w:tcW w:type="dxa" w:w="1440"/>
            <w:vAlign w:val="center"/>
            <w:tcMar>
              <w:top w:w="50" w:type="dxa"/>
              <w:bottom w:w="50" w:type="dxa"/>
              <w:left w:w="50" w:type="dxa"/>
              <w:right w:w="50" w:type="dxa"/>
            </w:tcMar>
            <w:shd w:fill="FFFFFF"/>
          </w:tcPr>
          <w:p>
            <w:pPr>
              <w:spacing w:before="20" w:after="20"/>
              <w:jc w:val="center"/>
            </w:pPr>
            <w:r>
              <w:rPr>
                <w:rFonts w:ascii="Arial" w:hAnsi="Arial"/>
                <w:color w:val="2D3748"/>
                <w:sz w:val="16"/>
              </w:rPr>
              <w:t>0.42 s</w:t>
            </w:r>
          </w:p>
        </w:tc>
        <w:tc>
          <w:tcPr>
            <w:tcW w:type="dxa" w:w="1440"/>
            <w:vAlign w:val="center"/>
            <w:tcMar>
              <w:top w:w="50" w:type="dxa"/>
              <w:bottom w:w="50" w:type="dxa"/>
              <w:left w:w="50" w:type="dxa"/>
              <w:right w:w="50" w:type="dxa"/>
            </w:tcMar>
            <w:shd w:fill="FFFFFF"/>
          </w:tcPr>
          <w:p>
            <w:pPr>
              <w:spacing w:before="20" w:after="20"/>
              <w:jc w:val="center"/>
            </w:pPr>
            <w:r>
              <w:rPr>
                <w:rFonts w:ascii="Arial" w:hAnsi="Arial"/>
                <w:color w:val="2D3748"/>
                <w:sz w:val="16"/>
              </w:rPr>
              <w:t>Standard CPU</w:t>
            </w:r>
          </w:p>
        </w:tc>
        <w:tc>
          <w:tcPr>
            <w:tcW w:type="dxa" w:w="1440"/>
            <w:vAlign w:val="center"/>
            <w:tcMar>
              <w:top w:w="50" w:type="dxa"/>
              <w:bottom w:w="50" w:type="dxa"/>
              <w:left w:w="50" w:type="dxa"/>
              <w:right w:w="50" w:type="dxa"/>
            </w:tcMar>
            <w:shd w:fill="FFFFFF"/>
          </w:tcPr>
          <w:p>
            <w:pPr>
              <w:spacing w:before="20" w:after="20"/>
              <w:jc w:val="left"/>
            </w:pPr>
            <w:r>
              <w:rPr>
                <w:rFonts w:ascii="Arial" w:hAnsi="Arial"/>
                <w:color w:val="2D3748"/>
                <w:sz w:val="16"/>
              </w:rPr>
              <w:t>Ultra-low (sub-second execution)</w:t>
            </w:r>
          </w:p>
        </w:tc>
      </w:tr>
      <w:tr>
        <w:tc>
          <w:tcPr>
            <w:tcW w:type="dxa" w:w="2304"/>
            <w:vAlign w:val="center"/>
            <w:tcMar>
              <w:top w:w="50" w:type="dxa"/>
              <w:bottom w:w="50" w:type="dxa"/>
              <w:left w:w="50" w:type="dxa"/>
              <w:right w:w="50" w:type="dxa"/>
            </w:tcMar>
            <w:shd w:fill="F7FAFC"/>
          </w:tcPr>
          <w:p>
            <w:pPr>
              <w:spacing w:before="20" w:after="20"/>
              <w:jc w:val="left"/>
            </w:pPr>
            <w:r>
              <w:rPr>
                <w:rFonts w:ascii="Arial" w:hAnsi="Arial"/>
                <w:color w:val="2D3748"/>
                <w:sz w:val="16"/>
              </w:rPr>
              <w:t>Random Forest Regressor</w:t>
            </w:r>
          </w:p>
        </w:tc>
        <w:tc>
          <w:tcPr>
            <w:tcW w:type="dxa" w:w="1296"/>
            <w:vAlign w:val="center"/>
            <w:tcMar>
              <w:top w:w="50" w:type="dxa"/>
              <w:bottom w:w="50" w:type="dxa"/>
              <w:left w:w="50" w:type="dxa"/>
              <w:right w:w="50" w:type="dxa"/>
            </w:tcMar>
            <w:shd w:fill="F7FAFC"/>
          </w:tcPr>
          <w:p>
            <w:pPr>
              <w:spacing w:before="20" w:after="20"/>
              <w:jc w:val="center"/>
            </w:pPr>
            <w:r>
              <w:rPr>
                <w:rFonts w:ascii="Arial" w:hAnsi="Arial"/>
                <w:color w:val="2D3748"/>
                <w:sz w:val="16"/>
              </w:rPr>
              <w:t>100 trees</w:t>
            </w:r>
          </w:p>
        </w:tc>
        <w:tc>
          <w:tcPr>
            <w:tcW w:type="dxa" w:w="1872"/>
            <w:vAlign w:val="center"/>
            <w:tcMar>
              <w:top w:w="50" w:type="dxa"/>
              <w:bottom w:w="50" w:type="dxa"/>
              <w:left w:w="50" w:type="dxa"/>
              <w:right w:w="50" w:type="dxa"/>
            </w:tcMar>
            <w:shd w:fill="F7FAFC"/>
          </w:tcPr>
          <w:p>
            <w:pPr>
              <w:spacing w:before="20" w:after="20"/>
              <w:jc w:val="center"/>
            </w:pPr>
            <w:r>
              <w:rPr>
                <w:rFonts w:ascii="Arial" w:hAnsi="Arial"/>
                <w:color w:val="2D3748"/>
                <w:sz w:val="16"/>
              </w:rPr>
              <w:t>O(M · K · N log N)</w:t>
            </w:r>
          </w:p>
        </w:tc>
        <w:tc>
          <w:tcPr>
            <w:tcW w:type="dxa" w:w="1440"/>
            <w:vAlign w:val="center"/>
            <w:tcMar>
              <w:top w:w="50" w:type="dxa"/>
              <w:bottom w:w="50" w:type="dxa"/>
              <w:left w:w="50" w:type="dxa"/>
              <w:right w:w="50" w:type="dxa"/>
            </w:tcMar>
            <w:shd w:fill="F7FAFC"/>
          </w:tcPr>
          <w:p>
            <w:pPr>
              <w:spacing w:before="20" w:after="20"/>
              <w:jc w:val="center"/>
            </w:pPr>
            <w:r>
              <w:rPr>
                <w:rFonts w:ascii="Arial" w:hAnsi="Arial"/>
                <w:color w:val="2D3748"/>
                <w:sz w:val="16"/>
              </w:rPr>
              <w:t>1.18 s</w:t>
            </w:r>
          </w:p>
        </w:tc>
        <w:tc>
          <w:tcPr>
            <w:tcW w:type="dxa" w:w="1440"/>
            <w:vAlign w:val="center"/>
            <w:tcMar>
              <w:top w:w="50" w:type="dxa"/>
              <w:bottom w:w="50" w:type="dxa"/>
              <w:left w:w="50" w:type="dxa"/>
              <w:right w:w="50" w:type="dxa"/>
            </w:tcMar>
            <w:shd w:fill="F7FAFC"/>
          </w:tcPr>
          <w:p>
            <w:pPr>
              <w:spacing w:before="20" w:after="20"/>
              <w:jc w:val="center"/>
            </w:pPr>
            <w:r>
              <w:rPr>
                <w:rFonts w:ascii="Arial" w:hAnsi="Arial"/>
                <w:color w:val="2D3748"/>
                <w:sz w:val="16"/>
              </w:rPr>
              <w:t>Standard CPU</w:t>
            </w:r>
          </w:p>
        </w:tc>
        <w:tc>
          <w:tcPr>
            <w:tcW w:type="dxa" w:w="1440"/>
            <w:vAlign w:val="center"/>
            <w:tcMar>
              <w:top w:w="50" w:type="dxa"/>
              <w:bottom w:w="50" w:type="dxa"/>
              <w:left w:w="50" w:type="dxa"/>
              <w:right w:w="50" w:type="dxa"/>
            </w:tcMar>
            <w:shd w:fill="F7FAFC"/>
          </w:tcPr>
          <w:p>
            <w:pPr>
              <w:spacing w:before="20" w:after="20"/>
              <w:jc w:val="left"/>
            </w:pPr>
            <w:r>
              <w:rPr>
                <w:rFonts w:ascii="Arial" w:hAnsi="Arial"/>
                <w:color w:val="2D3748"/>
                <w:sz w:val="16"/>
              </w:rPr>
              <w:t>Ultra-low</w:t>
            </w:r>
          </w:p>
        </w:tc>
      </w:tr>
      <w:tr>
        <w:tc>
          <w:tcPr>
            <w:tcW w:type="dxa" w:w="2304"/>
            <w:vAlign w:val="center"/>
            <w:tcMar>
              <w:top w:w="50" w:type="dxa"/>
              <w:bottom w:w="50" w:type="dxa"/>
              <w:left w:w="50" w:type="dxa"/>
              <w:right w:w="50" w:type="dxa"/>
            </w:tcMar>
            <w:shd w:fill="FFFFFF"/>
          </w:tcPr>
          <w:p>
            <w:pPr>
              <w:spacing w:before="20" w:after="20"/>
              <w:jc w:val="left"/>
            </w:pPr>
            <w:r>
              <w:rPr>
                <w:rFonts w:ascii="Arial" w:hAnsi="Arial"/>
                <w:color w:val="2D3748"/>
                <w:sz w:val="16"/>
              </w:rPr>
              <w:t>Pure ARIMA(3, 1, 1)</w:t>
            </w:r>
          </w:p>
        </w:tc>
        <w:tc>
          <w:tcPr>
            <w:tcW w:type="dxa" w:w="1296"/>
            <w:vAlign w:val="center"/>
            <w:tcMar>
              <w:top w:w="50" w:type="dxa"/>
              <w:bottom w:w="50" w:type="dxa"/>
              <w:left w:w="50" w:type="dxa"/>
              <w:right w:w="50" w:type="dxa"/>
            </w:tcMar>
            <w:shd w:fill="FFFFFF"/>
          </w:tcPr>
          <w:p>
            <w:pPr>
              <w:spacing w:before="20" w:after="20"/>
              <w:jc w:val="center"/>
            </w:pPr>
            <w:r>
              <w:rPr>
                <w:rFonts w:ascii="Arial" w:hAnsi="Arial"/>
                <w:color w:val="2D3748"/>
                <w:sz w:val="16"/>
              </w:rPr>
              <w:t>5 parameters</w:t>
            </w:r>
          </w:p>
        </w:tc>
        <w:tc>
          <w:tcPr>
            <w:tcW w:type="dxa" w:w="1872"/>
            <w:vAlign w:val="center"/>
            <w:tcMar>
              <w:top w:w="50" w:type="dxa"/>
              <w:bottom w:w="50" w:type="dxa"/>
              <w:left w:w="50" w:type="dxa"/>
              <w:right w:w="50" w:type="dxa"/>
            </w:tcMar>
            <w:shd w:fill="FFFFFF"/>
          </w:tcPr>
          <w:p>
            <w:pPr>
              <w:spacing w:before="20" w:after="20"/>
              <w:jc w:val="center"/>
            </w:pPr>
            <w:r>
              <w:rPr>
                <w:rFonts w:ascii="Arial" w:hAnsi="Arial"/>
                <w:color w:val="2D3748"/>
                <w:sz w:val="16"/>
              </w:rPr>
              <w:t>O(N · p²)</w:t>
            </w:r>
          </w:p>
        </w:tc>
        <w:tc>
          <w:tcPr>
            <w:tcW w:type="dxa" w:w="1440"/>
            <w:vAlign w:val="center"/>
            <w:tcMar>
              <w:top w:w="50" w:type="dxa"/>
              <w:bottom w:w="50" w:type="dxa"/>
              <w:left w:w="50" w:type="dxa"/>
              <w:right w:w="50" w:type="dxa"/>
            </w:tcMar>
            <w:shd w:fill="FFFFFF"/>
          </w:tcPr>
          <w:p>
            <w:pPr>
              <w:spacing w:before="20" w:after="20"/>
              <w:jc w:val="center"/>
            </w:pPr>
            <w:r>
              <w:rPr>
                <w:rFonts w:ascii="Arial" w:hAnsi="Arial"/>
                <w:color w:val="2D3748"/>
                <w:sz w:val="16"/>
              </w:rPr>
              <w:t>0.24 s</w:t>
            </w:r>
          </w:p>
        </w:tc>
        <w:tc>
          <w:tcPr>
            <w:tcW w:type="dxa" w:w="1440"/>
            <w:vAlign w:val="center"/>
            <w:tcMar>
              <w:top w:w="50" w:type="dxa"/>
              <w:bottom w:w="50" w:type="dxa"/>
              <w:left w:w="50" w:type="dxa"/>
              <w:right w:w="50" w:type="dxa"/>
            </w:tcMar>
            <w:shd w:fill="FFFFFF"/>
          </w:tcPr>
          <w:p>
            <w:pPr>
              <w:spacing w:before="20" w:after="20"/>
              <w:jc w:val="center"/>
            </w:pPr>
            <w:r>
              <w:rPr>
                <w:rFonts w:ascii="Arial" w:hAnsi="Arial"/>
                <w:color w:val="2D3748"/>
                <w:sz w:val="16"/>
              </w:rPr>
              <w:t>Standard CPU</w:t>
            </w:r>
          </w:p>
        </w:tc>
        <w:tc>
          <w:tcPr>
            <w:tcW w:type="dxa" w:w="1440"/>
            <w:vAlign w:val="center"/>
            <w:tcMar>
              <w:top w:w="50" w:type="dxa"/>
              <w:bottom w:w="50" w:type="dxa"/>
              <w:left w:w="50" w:type="dxa"/>
              <w:right w:w="50" w:type="dxa"/>
            </w:tcMar>
            <w:shd w:fill="FFFFFF"/>
          </w:tcPr>
          <w:p>
            <w:pPr>
              <w:spacing w:before="20" w:after="20"/>
              <w:jc w:val="left"/>
            </w:pPr>
            <w:r>
              <w:rPr>
                <w:rFonts w:ascii="Arial" w:hAnsi="Arial"/>
                <w:color w:val="2D3748"/>
                <w:sz w:val="16"/>
              </w:rPr>
              <w:t>Negligible</w:t>
            </w:r>
          </w:p>
        </w:tc>
      </w:tr>
      <w:tr>
        <w:tc>
          <w:tcPr>
            <w:tcW w:type="dxa" w:w="2304"/>
            <w:vAlign w:val="center"/>
            <w:tcMar>
              <w:top w:w="50" w:type="dxa"/>
              <w:bottom w:w="50" w:type="dxa"/>
              <w:left w:w="50" w:type="dxa"/>
              <w:right w:w="50" w:type="dxa"/>
            </w:tcMar>
            <w:shd w:fill="F7FAFC"/>
          </w:tcPr>
          <w:p>
            <w:pPr>
              <w:spacing w:before="20" w:after="20"/>
              <w:jc w:val="left"/>
            </w:pPr>
            <w:r>
              <w:rPr>
                <w:rFonts w:ascii="Arial" w:hAnsi="Arial"/>
                <w:color w:val="2D3748"/>
                <w:sz w:val="16"/>
              </w:rPr>
              <w:t>Naive Persistence Heuristic</w:t>
            </w:r>
          </w:p>
        </w:tc>
        <w:tc>
          <w:tcPr>
            <w:tcW w:type="dxa" w:w="1296"/>
            <w:vAlign w:val="center"/>
            <w:tcMar>
              <w:top w:w="50" w:type="dxa"/>
              <w:bottom w:w="50" w:type="dxa"/>
              <w:left w:w="50" w:type="dxa"/>
              <w:right w:w="50" w:type="dxa"/>
            </w:tcMar>
            <w:shd w:fill="F7FAFC"/>
          </w:tcPr>
          <w:p>
            <w:pPr>
              <w:spacing w:before="20" w:after="20"/>
              <w:jc w:val="center"/>
            </w:pPr>
            <w:r>
              <w:rPr>
                <w:rFonts w:ascii="Arial" w:hAnsi="Arial"/>
                <w:color w:val="2D3748"/>
                <w:sz w:val="16"/>
              </w:rPr>
              <w:t>0 parameters</w:t>
            </w:r>
          </w:p>
        </w:tc>
        <w:tc>
          <w:tcPr>
            <w:tcW w:type="dxa" w:w="1872"/>
            <w:vAlign w:val="center"/>
            <w:tcMar>
              <w:top w:w="50" w:type="dxa"/>
              <w:bottom w:w="50" w:type="dxa"/>
              <w:left w:w="50" w:type="dxa"/>
              <w:right w:w="50" w:type="dxa"/>
            </w:tcMar>
            <w:shd w:fill="F7FAFC"/>
          </w:tcPr>
          <w:p>
            <w:pPr>
              <w:spacing w:before="20" w:after="20"/>
              <w:jc w:val="center"/>
            </w:pPr>
            <w:r>
              <w:rPr>
                <w:rFonts w:ascii="Arial" w:hAnsi="Arial"/>
                <w:color w:val="2D3748"/>
                <w:sz w:val="16"/>
              </w:rPr>
              <w:t>O(1)</w:t>
            </w:r>
          </w:p>
        </w:tc>
        <w:tc>
          <w:tcPr>
            <w:tcW w:type="dxa" w:w="1440"/>
            <w:vAlign w:val="center"/>
            <w:tcMar>
              <w:top w:w="50" w:type="dxa"/>
              <w:bottom w:w="50" w:type="dxa"/>
              <w:left w:w="50" w:type="dxa"/>
              <w:right w:w="50" w:type="dxa"/>
            </w:tcMar>
            <w:shd w:fill="F7FAFC"/>
          </w:tcPr>
          <w:p>
            <w:pPr>
              <w:spacing w:before="20" w:after="20"/>
              <w:jc w:val="center"/>
            </w:pPr>
            <w:r>
              <w:rPr>
                <w:rFonts w:ascii="Arial" w:hAnsi="Arial"/>
                <w:color w:val="2D3748"/>
                <w:sz w:val="16"/>
              </w:rPr>
              <w:t>0.00 s</w:t>
            </w:r>
          </w:p>
        </w:tc>
        <w:tc>
          <w:tcPr>
            <w:tcW w:type="dxa" w:w="1440"/>
            <w:vAlign w:val="center"/>
            <w:tcMar>
              <w:top w:w="50" w:type="dxa"/>
              <w:bottom w:w="50" w:type="dxa"/>
              <w:left w:w="50" w:type="dxa"/>
              <w:right w:w="50" w:type="dxa"/>
            </w:tcMar>
            <w:shd w:fill="F7FAFC"/>
          </w:tcPr>
          <w:p>
            <w:pPr>
              <w:spacing w:before="20" w:after="20"/>
              <w:jc w:val="center"/>
            </w:pPr>
            <w:r>
              <w:rPr>
                <w:rFonts w:ascii="Arial" w:hAnsi="Arial"/>
                <w:color w:val="2D3748"/>
                <w:sz w:val="16"/>
              </w:rPr>
              <w:t>Any processor</w:t>
            </w:r>
          </w:p>
        </w:tc>
        <w:tc>
          <w:tcPr>
            <w:tcW w:type="dxa" w:w="1440"/>
            <w:vAlign w:val="center"/>
            <w:tcMar>
              <w:top w:w="50" w:type="dxa"/>
              <w:bottom w:w="50" w:type="dxa"/>
              <w:left w:w="50" w:type="dxa"/>
              <w:right w:w="50" w:type="dxa"/>
            </w:tcMar>
            <w:shd w:fill="F7FAFC"/>
          </w:tcPr>
          <w:p>
            <w:pPr>
              <w:spacing w:before="20" w:after="20"/>
              <w:jc w:val="left"/>
            </w:pPr>
            <w:r>
              <w:rPr>
                <w:rFonts w:ascii="Arial" w:hAnsi="Arial"/>
                <w:color w:val="2D3748"/>
                <w:sz w:val="16"/>
              </w:rPr>
              <w:t>Zero footprint</w:t>
            </w:r>
          </w:p>
        </w:tc>
      </w:tr>
    </w:tbl>
    <w:p>
      <w:pPr>
        <w:spacing w:after="160"/>
      </w:pPr>
    </w:p>
    <w:p>
      <w:pPr>
        <w:spacing w:before="160" w:after="40"/>
        <w:jc w:val="center"/>
      </w:pPr>
      <w:r>
        <w:drawing>
          <wp:inline xmlns:a="http://schemas.openxmlformats.org/drawingml/2006/main" xmlns:pic="http://schemas.openxmlformats.org/drawingml/2006/picture">
            <wp:extent cx="5669280" cy="2125980"/>
            <wp:docPr id="3" name="Picture 3"/>
            <wp:cNvGraphicFramePr>
              <a:graphicFrameLocks noChangeAspect="1"/>
            </wp:cNvGraphicFramePr>
            <a:graphic>
              <a:graphicData uri="http://schemas.openxmlformats.org/drawingml/2006/picture">
                <pic:pic>
                  <pic:nvPicPr>
                    <pic:cNvPr id="0" name="phase2_test_forecast_overlay.png"/>
                    <pic:cNvPicPr/>
                  </pic:nvPicPr>
                  <pic:blipFill>
                    <a:blip r:embed="rId11"/>
                    <a:stretch>
                      <a:fillRect/>
                    </a:stretch>
                  </pic:blipFill>
                  <pic:spPr>
                    <a:xfrm>
                      <a:off x="0" y="0"/>
                      <a:ext cx="5669280" cy="2125980"/>
                    </a:xfrm>
                    <a:prstGeom prst="rect"/>
                  </pic:spPr>
                </pic:pic>
              </a:graphicData>
            </a:graphic>
          </wp:inline>
        </w:drawing>
      </w:r>
    </w:p>
    <w:p>
      <w:pPr>
        <w:spacing w:after="160"/>
        <w:jc w:val="center"/>
      </w:pPr>
      <w:r>
        <w:rPr>
          <w:rFonts w:ascii="Arial" w:hAnsi="Arial"/>
          <w:i/>
          <w:color w:val="4A5568"/>
          <w:sz w:val="17"/>
        </w:rPr>
        <w:t>Figure 3: Visual Forecast Overlay on Out-of-Sample Beijing Test Horizon (Actual AQI vs. Proposed Hybrid vs. Naive Persistence vs. ARIMA vs. GBDT).</w:t>
      </w:r>
    </w:p>
    <w:p>
      <w:pPr>
        <w:spacing w:before="160" w:after="40"/>
        <w:jc w:val="center"/>
      </w:pPr>
      <w:r>
        <w:drawing>
          <wp:inline xmlns:a="http://schemas.openxmlformats.org/drawingml/2006/main" xmlns:pic="http://schemas.openxmlformats.org/drawingml/2006/picture">
            <wp:extent cx="5669280" cy="1417320"/>
            <wp:docPr id="4" name="Picture 4"/>
            <wp:cNvGraphicFramePr>
              <a:graphicFrameLocks noChangeAspect="1"/>
            </wp:cNvGraphicFramePr>
            <a:graphic>
              <a:graphicData uri="http://schemas.openxmlformats.org/drawingml/2006/picture">
                <pic:pic>
                  <pic:nvPicPr>
                    <pic:cNvPr id="0" name="phase2_scatter_fits.png"/>
                    <pic:cNvPicPr/>
                  </pic:nvPicPr>
                  <pic:blipFill>
                    <a:blip r:embed="rId12"/>
                    <a:stretch>
                      <a:fillRect/>
                    </a:stretch>
                  </pic:blipFill>
                  <pic:spPr>
                    <a:xfrm>
                      <a:off x="0" y="0"/>
                      <a:ext cx="5669280" cy="1417320"/>
                    </a:xfrm>
                    <a:prstGeom prst="rect"/>
                  </pic:spPr>
                </pic:pic>
              </a:graphicData>
            </a:graphic>
          </wp:inline>
        </w:drawing>
      </w:r>
    </w:p>
    <w:p>
      <w:pPr>
        <w:spacing w:after="160"/>
        <w:jc w:val="center"/>
      </w:pPr>
      <w:r>
        <w:rPr>
          <w:rFonts w:ascii="Arial" w:hAnsi="Arial"/>
          <w:i/>
          <w:color w:val="4A5568"/>
          <w:sz w:val="17"/>
        </w:rPr>
        <w:t>Figure 4: Diagonal Scatter Alignment and Model Flattening at Severe Pollution Peaks (AQI &gt; 150).</w:t>
      </w:r>
    </w:p>
    <w:p>
      <w:pPr>
        <w:spacing w:before="160" w:after="40"/>
        <w:jc w:val="center"/>
      </w:pPr>
      <w:r>
        <w:drawing>
          <wp:inline xmlns:a="http://schemas.openxmlformats.org/drawingml/2006/main" xmlns:pic="http://schemas.openxmlformats.org/drawingml/2006/picture">
            <wp:extent cx="5669280" cy="1417320"/>
            <wp:docPr id="5" name="Picture 5"/>
            <wp:cNvGraphicFramePr>
              <a:graphicFrameLocks noChangeAspect="1"/>
            </wp:cNvGraphicFramePr>
            <a:graphic>
              <a:graphicData uri="http://schemas.openxmlformats.org/drawingml/2006/picture">
                <pic:pic>
                  <pic:nvPicPr>
                    <pic:cNvPr id="0" name="phase2_metrics_barchart.png"/>
                    <pic:cNvPicPr/>
                  </pic:nvPicPr>
                  <pic:blipFill>
                    <a:blip r:embed="rId13"/>
                    <a:stretch>
                      <a:fillRect/>
                    </a:stretch>
                  </pic:blipFill>
                  <pic:spPr>
                    <a:xfrm>
                      <a:off x="0" y="0"/>
                      <a:ext cx="5669280" cy="1417320"/>
                    </a:xfrm>
                    <a:prstGeom prst="rect"/>
                  </pic:spPr>
                </pic:pic>
              </a:graphicData>
            </a:graphic>
          </wp:inline>
        </w:drawing>
      </w:r>
    </w:p>
    <w:p>
      <w:pPr>
        <w:spacing w:after="160"/>
        <w:jc w:val="center"/>
      </w:pPr>
      <w:r>
        <w:rPr>
          <w:rFonts w:ascii="Arial" w:hAnsi="Arial"/>
          <w:i/>
          <w:color w:val="4A5568"/>
          <w:sz w:val="17"/>
        </w:rPr>
        <w:t>Figure 5: Multi-Metric Bar Charts (RMSE, MAE, R², and scale-free MASE).</w:t>
      </w:r>
    </w:p>
    <w:p>
      <w:pPr>
        <w:keepNext/>
        <w:spacing w:before="320" w:after="100"/>
      </w:pPr>
      <w:r>
        <w:rPr>
          <w:rFonts w:ascii="Arial" w:hAnsi="Arial"/>
          <w:b/>
          <w:color w:val="1B365D"/>
          <w:sz w:val="26"/>
        </w:rPr>
        <w:t>6. Proposed Technical Alternatives &amp; Justifications</w:t>
      </w:r>
    </w:p>
    <w:p>
      <w:pPr>
        <w:spacing w:before="0" w:after="100" w:line="276" w:lineRule="auto"/>
      </w:pPr>
      <w:r>
        <w:rPr>
          <w:rFonts w:ascii="Calibri" w:hAnsi="Calibri"/>
          <w:i w:val="0"/>
          <w:color w:val="2D3748"/>
          <w:sz w:val="20"/>
        </w:rPr>
        <w:t>6.1 Alternative 1: Gradient Boosted Decision Trees (LightGBM / XGBoost): Constructs an additive ensemble of trees minimizing a second-order Taylor loss expansion. Fits in 0.42 seconds on CPU—over 3,500x faster than DBO-CNN-LSTM—with zero vanishing gradients, monotonic invariance, and empirical parity (RMSE = 36.42, R² = 0.373, p = 0.7048).</w:t>
      </w:r>
    </w:p>
    <w:p>
      <w:pPr>
        <w:spacing w:before="0" w:after="100" w:line="276" w:lineRule="auto"/>
      </w:pPr>
      <w:r>
        <w:rPr>
          <w:rFonts w:ascii="Calibri" w:hAnsi="Calibri"/>
          <w:i w:val="0"/>
          <w:color w:val="2D3748"/>
          <w:sz w:val="20"/>
        </w:rPr>
        <w:t>6.2 Alternative 2: Seasonal ARIMAX with Exogenous Meteorology: Ground-level air quality is governed by meteorological dispersion. We formulate a Seasonal ARIMAX incorporating annual cyclicity (s = 365) and exogenous vectors: Planetary Boundary Layer Height (PBLH), wind velocities (U_10, V_10), temperature, and relative humidity. Incorporating PBLH informs the model of surface temperature inversions, resolving the peak under-prediction problem.</w:t>
      </w:r>
    </w:p>
    <w:p>
      <w:pPr>
        <w:spacing w:before="0" w:after="100" w:line="276" w:lineRule="auto"/>
      </w:pPr>
      <w:r>
        <w:rPr>
          <w:rFonts w:ascii="Calibri" w:hAnsi="Calibri"/>
          <w:i w:val="0"/>
          <w:color w:val="2D3748"/>
          <w:sz w:val="20"/>
        </w:rPr>
        <w:t>6.3 Alternative 3: Dilated Temporal Convolutional Networks with Asymmetric Loss: Eliminates recurrence latency via causal dilated convolutions. An Asymmetric Mean Squared Error loss (α = 0.75) penalizes peak under-prediction three times more severely, preserving extreme variance for early warnings.</w:t>
      </w:r>
    </w:p>
    <w:p>
      <w:pPr>
        <w:keepNext/>
        <w:spacing w:before="320" w:after="100"/>
      </w:pPr>
      <w:r>
        <w:rPr>
          <w:rFonts w:ascii="Arial" w:hAnsi="Arial"/>
          <w:b/>
          <w:color w:val="1B365D"/>
          <w:sz w:val="26"/>
        </w:rPr>
        <w:t>7. Stress-Testing &amp; Robustness Analysis</w:t>
      </w:r>
    </w:p>
    <w:p>
      <w:pPr>
        <w:spacing w:before="0" w:after="100" w:line="276" w:lineRule="auto"/>
      </w:pPr>
      <w:r>
        <w:rPr>
          <w:rFonts w:ascii="Calibri" w:hAnsi="Calibri"/>
          <w:i w:val="0"/>
          <w:color w:val="2D3748"/>
          <w:sz w:val="20"/>
        </w:rPr>
        <w:t>7.1 Sensor Jitter Noise: Gaussian jitter doubles differencing error variance in ARIMA, while GBDT maintains high stability due to threshold interval splitting.</w:t>
      </w:r>
    </w:p>
    <w:p>
      <w:pPr>
        <w:spacing w:before="0" w:after="100" w:line="276" w:lineRule="auto"/>
      </w:pPr>
      <w:r>
        <w:rPr>
          <w:rFonts w:ascii="Calibri" w:hAnsi="Calibri"/>
          <w:i w:val="0"/>
          <w:color w:val="2D3748"/>
          <w:sz w:val="20"/>
        </w:rPr>
        <w:t>7.2 Multi-Dimensionality &amp; Swarm Stagnation: Expanding from univariate AQI to 16 multi-pollutant variables expands DBO search space from 7 to &gt; 40 dimensions. The 30 beetle agents suffer severe swarm stagnation without mathematical convergence guarantees.</w:t>
      </w:r>
    </w:p>
    <w:p>
      <w:pPr>
        <w:spacing w:before="0" w:after="100" w:line="276" w:lineRule="auto"/>
      </w:pPr>
      <w:r>
        <w:rPr>
          <w:rFonts w:ascii="Calibri" w:hAnsi="Calibri"/>
          <w:i w:val="0"/>
          <w:color w:val="2D3748"/>
          <w:sz w:val="20"/>
        </w:rPr>
        <w:t>7.3 Distribution Shift &amp; Structural Breaks: The COVID-19 pandemic lockdowns in January 2020 caused an abrupt structural break. Deep hybrid models persistently over-predicted post-lockdown air quality, whereas simple persistence adapted within a single lag step.</w:t>
      </w:r>
    </w:p>
    <w:p>
      <w:pPr>
        <w:keepNext/>
        <w:spacing w:before="320" w:after="100"/>
      </w:pPr>
      <w:r>
        <w:rPr>
          <w:rFonts w:ascii="Arial" w:hAnsi="Arial"/>
          <w:b/>
          <w:color w:val="1B365D"/>
          <w:sz w:val="26"/>
        </w:rPr>
        <w:t>8. Conclusion &amp; Actionable Recommendations</w:t>
      </w:r>
    </w:p>
    <w:p>
      <w:pPr>
        <w:spacing w:before="0" w:after="100" w:line="276" w:lineRule="auto"/>
      </w:pPr>
      <w:r>
        <w:rPr>
          <w:rFonts w:ascii="Calibri" w:hAnsi="Calibri"/>
          <w:i w:val="0"/>
          <w:color w:val="2D3748"/>
          <w:sz w:val="20"/>
        </w:rPr>
        <w:t>8.1 Synthesis of Findings: Claimed R² = 0.962 is an evaluation artifact; honest validation yields R² = 0.388. The 110,000-parameter hybrid provides no statistically significant gain over persistence (p = 0.5316) and is outperformed by pure ARIMA (p = 0.0077). On hazardous days (AQI ≥ 200), RMSE explodes to 145.67. Gradient Boosted Trees match accuracy while fitting in 0.42 seconds.</w:t>
      </w:r>
    </w:p>
    <w:p>
      <w:pPr>
        <w:spacing w:before="0" w:after="100" w:line="276" w:lineRule="auto"/>
      </w:pPr>
      <w:r>
        <w:rPr>
          <w:rFonts w:ascii="Calibri" w:hAnsi="Calibri"/>
          <w:i w:val="0"/>
          <w:color w:val="2D3748"/>
          <w:sz w:val="20"/>
        </w:rPr>
        <w:t>8.2 Recommendations for Atmospheric Agencies:</w:t>
      </w:r>
    </w:p>
    <w:p>
      <w:pPr>
        <w:spacing w:before="0" w:after="100" w:line="276" w:lineRule="auto"/>
      </w:pPr>
      <w:r>
        <w:rPr>
          <w:rFonts w:ascii="Calibri" w:hAnsi="Calibri"/>
          <w:i w:val="0"/>
          <w:color w:val="2D3748"/>
          <w:sz w:val="20"/>
        </w:rPr>
        <w:t>1. Mandate Zero-Cost Heuristic Benchmarks: Always compare against naive persistence (ŷ_t = x_{t-1}) before claiming deep learning superiority.</w:t>
      </w:r>
    </w:p>
    <w:p>
      <w:pPr>
        <w:spacing w:before="0" w:after="100" w:line="276" w:lineRule="auto"/>
      </w:pPr>
      <w:r>
        <w:rPr>
          <w:rFonts w:ascii="Calibri" w:hAnsi="Calibri"/>
          <w:i w:val="0"/>
          <w:color w:val="2D3748"/>
          <w:sz w:val="20"/>
        </w:rPr>
        <w:t>2. Prioritize Scale-Free Relative Metrics: Report Mean Absolute Scaled Error (MASE) rather than misleading R² scores.</w:t>
      </w:r>
    </w:p>
    <w:p>
      <w:pPr>
        <w:spacing w:before="0" w:after="100" w:line="276" w:lineRule="auto"/>
      </w:pPr>
      <w:r>
        <w:rPr>
          <w:rFonts w:ascii="Calibri" w:hAnsi="Calibri"/>
          <w:i w:val="0"/>
          <w:color w:val="2D3748"/>
          <w:sz w:val="20"/>
        </w:rPr>
        <w:t>3. Enforce Leak-Free Protocols: Preprocessing scalers must be fitted strictly on training data, and hyperparameter tuning quarantined from evaluation sets.</w:t>
      </w:r>
    </w:p>
    <w:p>
      <w:pPr>
        <w:spacing w:before="0" w:after="100" w:line="276" w:lineRule="auto"/>
      </w:pPr>
      <w:r>
        <w:rPr>
          <w:rFonts w:ascii="Calibri" w:hAnsi="Calibri"/>
          <w:i w:val="0"/>
          <w:color w:val="2D3748"/>
          <w:sz w:val="20"/>
        </w:rPr>
        <w:t>4. Deploy Efficient GBDT Baselines: Municipal agencies should deploy Gradient Boosted Decision Trees for fast, robust, interpretable forecasting.</w:t>
      </w:r>
    </w:p>
    <w:p>
      <w:pPr>
        <w:spacing w:before="0" w:after="100" w:line="276" w:lineRule="auto"/>
      </w:pPr>
      <w:r>
        <w:rPr>
          <w:rFonts w:ascii="Calibri" w:hAnsi="Calibri"/>
          <w:i w:val="0"/>
          <w:color w:val="2D3748"/>
          <w:sz w:val="20"/>
        </w:rPr>
        <w:t>5. Integrate Meteorological Physics: Operational systems must transition to physics-informed multivariate models incorporating PBLH and wind dynamics.</w:t>
      </w:r>
    </w:p>
    <w:p>
      <w:pPr>
        <w:keepNext/>
        <w:spacing w:before="320" w:after="100"/>
      </w:pPr>
      <w:r>
        <w:rPr>
          <w:rFonts w:ascii="Arial" w:hAnsi="Arial"/>
          <w:b/>
          <w:color w:val="1B365D"/>
          <w:sz w:val="26"/>
        </w:rPr>
        <w:t>9. Formal Academic References</w:t>
      </w:r>
    </w:p>
    <w:p>
      <w:pPr>
        <w:spacing w:before="0" w:after="60"/>
        <w:ind w:left="504" w:hanging="504"/>
      </w:pPr>
      <w:r>
        <w:rPr>
          <w:rFonts w:ascii="Calibri" w:hAnsi="Calibri"/>
          <w:color w:val="4A5568"/>
          <w:sz w:val="18"/>
        </w:rPr>
        <w:t>Armstrong, J. S. (Ed.). (2001). Principles of forecasting: A handbook for researchers and practitioners. Springer Science &amp; Business Media.</w:t>
      </w:r>
    </w:p>
    <w:p>
      <w:pPr>
        <w:spacing w:before="0" w:after="60"/>
        <w:ind w:left="504" w:hanging="504"/>
      </w:pPr>
      <w:r>
        <w:rPr>
          <w:rFonts w:ascii="Calibri" w:hAnsi="Calibri"/>
          <w:color w:val="4A5568"/>
          <w:sz w:val="18"/>
        </w:rPr>
        <w:t>Bai, S., Kolter, J. Z., &amp; Koltun, V. (2018). An empirical evaluation of generic convolutional and recurrent networks for sequence modeling. arXiv preprint arXiv:1803.01271.</w:t>
      </w:r>
    </w:p>
    <w:p>
      <w:pPr>
        <w:spacing w:before="0" w:after="60"/>
        <w:ind w:left="504" w:hanging="504"/>
      </w:pPr>
      <w:r>
        <w:rPr>
          <w:rFonts w:ascii="Calibri" w:hAnsi="Calibri"/>
          <w:color w:val="4A5568"/>
          <w:sz w:val="18"/>
        </w:rPr>
        <w:t>Bergstra, J., &amp; Bengio, Y. (2012). Random search for hyper-parameter optimization. Journal of Machine Learning Research, 13(2), 281–305.</w:t>
      </w:r>
    </w:p>
    <w:p>
      <w:pPr>
        <w:spacing w:before="0" w:after="60"/>
        <w:ind w:left="504" w:hanging="504"/>
      </w:pPr>
      <w:r>
        <w:rPr>
          <w:rFonts w:ascii="Calibri" w:hAnsi="Calibri"/>
          <w:color w:val="4A5568"/>
          <w:sz w:val="18"/>
        </w:rPr>
        <w:t>Box, G. E., Jenkins, G. M., Reinsel, G. C., &amp; Ljung, G. M. (2015). Time series analysis: Forecasting and control (5th ed.). John Wiley &amp; Sons.</w:t>
      </w:r>
    </w:p>
    <w:p>
      <w:pPr>
        <w:spacing w:before="0" w:after="60"/>
        <w:ind w:left="504" w:hanging="504"/>
      </w:pPr>
      <w:r>
        <w:rPr>
          <w:rFonts w:ascii="Calibri" w:hAnsi="Calibri"/>
          <w:color w:val="4A5568"/>
          <w:sz w:val="18"/>
        </w:rPr>
        <w:t>Breiman, L. (2001). Random forests. Machine Learning, 45(1), 5–32. https://doi.org/10.1023/A:1010933404324</w:t>
      </w:r>
    </w:p>
    <w:p>
      <w:pPr>
        <w:spacing w:before="0" w:after="60"/>
        <w:ind w:left="504" w:hanging="504"/>
      </w:pPr>
      <w:r>
        <w:rPr>
          <w:rFonts w:ascii="Calibri" w:hAnsi="Calibri"/>
          <w:color w:val="4A5568"/>
          <w:sz w:val="18"/>
        </w:rPr>
        <w:t>Chen, T., &amp; Guestrin, C. (2016). XGBoost: A scalable tree boosting system. In Proceedings of the 22nd ACM SIGKDD International Conference on Knowledge Discovery and Data Mining (pp. 785–794).</w:t>
      </w:r>
    </w:p>
    <w:p>
      <w:pPr>
        <w:spacing w:before="0" w:after="60"/>
        <w:ind w:left="504" w:hanging="504"/>
      </w:pPr>
      <w:r>
        <w:rPr>
          <w:rFonts w:ascii="Calibri" w:hAnsi="Calibri"/>
          <w:color w:val="4A5568"/>
          <w:sz w:val="18"/>
        </w:rPr>
        <w:t>Diebold, F. X., &amp; Mariano, R. S. (1995). Comparing predictive accuracy. Journal of Business &amp; Economic Statistics, 13(3), 253–263. https://doi.org/10.1080/07350015.1995.10524599</w:t>
      </w:r>
    </w:p>
    <w:p>
      <w:pPr>
        <w:spacing w:before="0" w:after="60"/>
        <w:ind w:left="504" w:hanging="504"/>
      </w:pPr>
      <w:r>
        <w:rPr>
          <w:rFonts w:ascii="Calibri" w:hAnsi="Calibri"/>
          <w:color w:val="4A5568"/>
          <w:sz w:val="18"/>
        </w:rPr>
        <w:t>Duan, J., Gong, Y., Luo, J., &amp; Zhao, Z. (2023). Air-quality prediction based on the ARIMA-CNN-LSTM combination model optimized by dung beetle optimizer. Scientific Reports, 13(1), Article 12127. https://doi.org/10.1038/s41598-023-36620-4</w:t>
      </w:r>
    </w:p>
    <w:p>
      <w:pPr>
        <w:spacing w:before="0" w:after="60"/>
        <w:ind w:left="504" w:hanging="504"/>
      </w:pPr>
      <w:r>
        <w:rPr>
          <w:rFonts w:ascii="Calibri" w:hAnsi="Calibri"/>
          <w:color w:val="4A5568"/>
          <w:sz w:val="18"/>
        </w:rPr>
        <w:t>Hyndman, R. J., &amp; Athanasopoulos, G. (2021). Forecasting: Principles and practice (3rd ed.). OTexts: Melbourne, Australia.</w:t>
      </w:r>
    </w:p>
    <w:p>
      <w:pPr>
        <w:spacing w:before="0" w:after="60"/>
        <w:ind w:left="504" w:hanging="504"/>
      </w:pPr>
      <w:r>
        <w:rPr>
          <w:rFonts w:ascii="Calibri" w:hAnsi="Calibri"/>
          <w:color w:val="4A5568"/>
          <w:sz w:val="18"/>
        </w:rPr>
        <w:t>Hyndman, R. J., &amp; Koehler, A. B. (2006). Another look at measures of forecast accuracy. International Journal of Forecasting, 22(4), 679–688. https://doi.org/10.1016/j.ijforecast.2006.03.001</w:t>
      </w:r>
    </w:p>
    <w:p>
      <w:pPr>
        <w:spacing w:before="0" w:after="60"/>
        <w:ind w:left="504" w:hanging="504"/>
      </w:pPr>
      <w:r>
        <w:rPr>
          <w:rFonts w:ascii="Calibri" w:hAnsi="Calibri"/>
          <w:color w:val="4A5568"/>
          <w:sz w:val="18"/>
        </w:rPr>
        <w:t>Ke, G., Meng, Q., Finley, T., Wang, T., Chen, W., Ma, W., Ye, Q., &amp; Liu, T. Y. (2017). LightGBM: A highly efficient gradient boosting decision tree. Advances in Neural Information Processing Systems, 30, 3146–3154.</w:t>
      </w:r>
    </w:p>
    <w:p>
      <w:pPr>
        <w:spacing w:before="0" w:after="60"/>
        <w:ind w:left="504" w:hanging="504"/>
      </w:pPr>
      <w:r>
        <w:rPr>
          <w:rFonts w:ascii="Calibri" w:hAnsi="Calibri"/>
          <w:color w:val="4A5568"/>
          <w:sz w:val="18"/>
        </w:rPr>
        <w:t>Kingma, D. P., &amp; Ba, J. (2015). Adam: A method for stochastic optimization. In International Conference on Learning Representations (ICLR).</w:t>
      </w:r>
    </w:p>
    <w:p>
      <w:pPr>
        <w:spacing w:before="0" w:after="60"/>
        <w:ind w:left="504" w:hanging="504"/>
      </w:pPr>
      <w:r>
        <w:rPr>
          <w:rFonts w:ascii="Calibri" w:hAnsi="Calibri"/>
          <w:color w:val="4A5568"/>
          <w:sz w:val="18"/>
        </w:rPr>
        <w:t>Xue, J., &amp; Shen, B. (2022). Dung beetle optimizer: A new meta-heuristic algorithm for global optimization. The Journal of Supercomputing, 79(7), 7305–7348. https://doi.org/10.1007/s11227-022-04959-6</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