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Deployment Guideline (DG)</w:t>
      </w:r>
    </w:p>
    <w:p>
      <w:pPr>
        <w:spacing w:after="200"/>
      </w:pPr>
      <w:r>
        <w:rPr>
          <w:rFonts w:ascii="Calibri" w:cs="Calibri" w:eastAsia="Calibri" w:hAnsi="Calibri"/>
          <w:color w:val="6B7280"/>
          <w:sz w:val="30"/>
          <w:szCs w:val="30"/>
        </w:rPr>
        <w:t xml:space="preserve">1BT Knowledge Management System (1BT-WIKI)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</w:rPr>
        <w:t xml:space="preserve">Version: 1.0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</w:rPr>
        <w:t xml:space="preserve">Date: August 2026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</w:rPr>
        <w:t xml:space="preserve">Status: Platform-independent deployment reference — supersedes "just use Vercel" as the only known path.</w:t>
      </w:r>
    </w:p>
    <w:p>
      <w:pPr>
        <w:pBdr>
          <w:bottom w:val="single" w:color="CC0000" w:sz="6"/>
        </w:pBdr>
        <w:spacing w:after="240"/>
      </w:pPr>
    </w:p>
    <w:p>
      <w:pPr>
        <w:pStyle w:val="Heading1"/>
        <w:spacing w:after="140" w:before="280"/>
      </w:pPr>
      <w:r>
        <w:t xml:space="preserve">1. Purpose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This document defines how 1BT-WIKI is deployed independent of any specific hosting platform. It covers every component that must be hosted, the capacity each needs, and two concrete deployment strategies: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Cloud strategy — managed services (current default: Vercel + Neon + Backblaze B2 + Pusher), or any equivalent container-hosting cloud.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On-prem / self-hosted strategy — a production deployment on infrastructure the organization owns (own server, VPS, or data center), with self-hostable substitutes for every managed dependency.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It does not replace the TRD (day-to-day coding standards) or the ARD (system architecture rationale) — it assumes both and focuses purely on where things run and how big they need to be.</w:t>
      </w:r>
    </w:p>
    <w:p>
      <w:pPr>
        <w:spacing w:after="160"/>
      </w:pPr>
      <w:r>
        <w:rPr>
          <w:rFonts w:ascii="Calibri" w:cs="Calibri" w:eastAsia="Calibri" w:hAnsi="Calibri"/>
          <w:b/>
          <w:bCs/>
        </w:rPr>
        <w:t xml:space="preserve">Baseline planning assumption: </w:t>
      </w:r>
      <w:r>
        <w:rPr>
          <w:rFonts w:ascii="Calibri" w:cs="Calibri" w:eastAsia="Calibri" w:hAnsi="Calibri"/>
        </w:rPr>
        <w:t xml:space="preserve">~100 internal employees as users, with explicit guidance on how each number changes as usage grows (Section 9). Adjust the assumptions in Section 6.1 if actual usage differs.</w:t>
      </w:r>
    </w:p>
    <w:p>
      <w:pPr>
        <w:pStyle w:val="Heading1"/>
        <w:spacing w:after="140" w:before="280"/>
      </w:pPr>
      <w:r>
        <w:t xml:space="preserve">2. Deployment Philosophy</w:t>
      </w:r>
    </w:p>
    <w:p>
      <w:pPr>
        <w:spacing w:after="160"/>
      </w:pPr>
      <w:r>
        <w:rPr>
          <w:rFonts w:ascii="Calibri" w:cs="Calibri" w:eastAsia="Calibri" w:hAnsi="Calibri"/>
          <w:b/>
          <w:bCs/>
        </w:rPr>
        <w:t xml:space="preserve">1. Twelve-factor config. </w:t>
      </w:r>
      <w:r>
        <w:rPr>
          <w:rFonts w:ascii="Calibri" w:cs="Calibri" w:eastAsia="Calibri" w:hAnsi="Calibri"/>
        </w:rPr>
        <w:t xml:space="preserve">All environment-specific values come from environment variables (already true — see Section 4). Nothing platform-specific is hardcoded in application code.</w:t>
      </w:r>
    </w:p>
    <w:p>
      <w:pPr>
        <w:spacing w:after="160"/>
      </w:pPr>
      <w:r>
        <w:rPr>
          <w:rFonts w:ascii="Calibri" w:cs="Calibri" w:eastAsia="Calibri" w:hAnsi="Calibri"/>
          <w:b/>
          <w:bCs/>
        </w:rPr>
        <w:t xml:space="preserve">2. Stateless compute. </w:t>
      </w:r>
      <w:r>
        <w:rPr>
          <w:rFonts w:ascii="Calibri" w:cs="Calibri" w:eastAsia="Calibri" w:hAnsi="Calibri"/>
        </w:rPr>
        <w:t xml:space="preserve">apps/web and apps/api hold no local state between requests (no local file writes, no in-memory sessions) — either can run as a serverless function, a container, or a plain Node process behind a process manager, interchangeably.</w:t>
      </w:r>
    </w:p>
    <w:p>
      <w:pPr>
        <w:spacing w:after="160"/>
      </w:pPr>
      <w:r>
        <w:rPr>
          <w:rFonts w:ascii="Calibri" w:cs="Calibri" w:eastAsia="Calibri" w:hAnsi="Calibri"/>
          <w:b/>
          <w:bCs/>
        </w:rPr>
        <w:t xml:space="preserve">3. Containerize as the portable unit. </w:t>
      </w:r>
      <w:r>
        <w:rPr>
          <w:rFonts w:ascii="Calibri" w:cs="Calibri" w:eastAsia="Calibri" w:hAnsi="Calibri"/>
        </w:rPr>
        <w:t xml:space="preserve">A Dockerfile per app is the lowest common denominator that runs unmodified on Vercel-adjacent PaaS, any container cloud, Kubernetes, or a single on-prem VM via Docker Compose. This guideline assumes container images as the deployable artifact even where a target platform (like Vercel) doesn’t strictly require one.</w:t>
      </w:r>
    </w:p>
    <w:p>
      <w:pPr>
        <w:spacing w:after="160"/>
      </w:pPr>
      <w:r>
        <w:rPr>
          <w:rFonts w:ascii="Calibri" w:cs="Calibri" w:eastAsia="Calibri" w:hAnsi="Calibri"/>
          <w:b/>
          <w:bCs/>
        </w:rPr>
        <w:t xml:space="preserve">4. Managed-service swaps are declared, not hidden. </w:t>
      </w:r>
      <w:r>
        <w:rPr>
          <w:rFonts w:ascii="Calibri" w:cs="Calibri" w:eastAsia="Calibri" w:hAnsi="Calibri"/>
        </w:rPr>
        <w:t xml:space="preserve">Every third-party dependency (Neon, B2, Pusher, Neon Auth, Gemini) has a documented self-hosted substitute so the system can run fully offline/on-prem when required. Sections 4 and 8 call out where a swap is a config change vs. a real architecture change.</w:t>
      </w:r>
    </w:p>
    <w:p>
      <w:pPr>
        <w:pStyle w:val="Heading1"/>
        <w:spacing w:after="140" w:before="280"/>
      </w:pPr>
      <w:r>
        <w:t xml:space="preserve">3. Components To Be Hosted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2800"/>
        <w:gridCol w:w="1500"/>
        <w:gridCol w:w="3060"/>
      </w:tblGrid>
      <w:tr>
        <w:trPr>
          <w:tblHeader/>
        </w:trPr>
        <w:tc>
          <w:tcPr>
            <w:tcW w:type="dxa" w:w="50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80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150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Statefulness</w:t>
            </w:r>
          </w:p>
        </w:tc>
        <w:tc>
          <w:tcPr>
            <w:tcW w:type="dxa" w:w="306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implementation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Web app (apps/web)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Next.js 16 App Router frontend (SSR + client)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Stateless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Deployed as a Vercel project today</w:t>
            </w:r>
          </w:p>
        </w:tc>
      </w:tr>
      <w:tr>
        <w:tc>
          <w:tcPr>
            <w:tcW w:type="dxa" w:w="5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app (apps/api)</w:t>
            </w:r>
          </w:p>
        </w:tc>
        <w:tc>
          <w:tcPr>
            <w:tcW w:type="dxa" w:w="28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Express.js REST API, layered Controller → Service → Repository</w:t>
            </w:r>
          </w:p>
        </w:tc>
        <w:tc>
          <w:tcPr>
            <w:tcW w:type="dxa" w:w="15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Stateless (in-memory JWT cache only, per-request)</w:t>
            </w:r>
          </w:p>
        </w:tc>
        <w:tc>
          <w:tcPr>
            <w:tcW w:type="dxa" w:w="306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Deployed as Vercel serverless functions today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Relational database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Primary data store: users (auth-synced), articles, comments, likes, tech talks, notifications, quizzes, app settings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Stateful, durable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Neon PostgreSQL (serverless Postgres)</w:t>
            </w:r>
          </w:p>
        </w:tc>
      </w:tr>
      <w:tr>
        <w:tc>
          <w:tcPr>
            <w:tcW w:type="dxa" w:w="5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Identity provider</w:t>
            </w:r>
          </w:p>
        </w:tc>
        <w:tc>
          <w:tcPr>
            <w:tcW w:type="dxa" w:w="28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Authentication (Google SSO), JWT issuance, JWKS endpoint</w:t>
            </w:r>
          </w:p>
        </w:tc>
        <w:tc>
          <w:tcPr>
            <w:tcW w:type="dxa" w:w="15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Stateful (owns its own user table)</w:t>
            </w:r>
          </w:p>
        </w:tc>
        <w:tc>
          <w:tcPr>
            <w:tcW w:type="dxa" w:w="306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Neon Auth (Better Auth-based)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Object storage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Article images, tech talk slide decks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Stateful, durable, grows over time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Backblaze B2 (S3-compatible API), via multer (memory buffer) → b2Client.ts</w:t>
            </w:r>
          </w:p>
        </w:tc>
      </w:tr>
      <w:tr>
        <w:tc>
          <w:tcPr>
            <w:tcW w:type="dxa" w:w="5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Real-time channel</w:t>
            </w:r>
          </w:p>
        </w:tc>
        <w:tc>
          <w:tcPr>
            <w:tcW w:type="dxa" w:w="28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notification delivery to the browser</w:t>
            </w:r>
          </w:p>
        </w:tc>
        <w:tc>
          <w:tcPr>
            <w:tcW w:type="dxa" w:w="15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Stateless relay, no durable data</w:t>
            </w:r>
          </w:p>
        </w:tc>
        <w:tc>
          <w:tcPr>
            <w:tcW w:type="dxa" w:w="306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Pusher (hosted pub/sub over WebSockets)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AI provider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Quiz-generation LLM calls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External/stateless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Gemini API by default; a second, already-implemented local/self-hosted provider exists (Ollama-compatible HTTP /api/chat) and is switchable per-deployment via admin settings, no code change required</w:t>
            </w:r>
          </w:p>
        </w:tc>
      </w:tr>
      <w:tr>
        <w:tc>
          <w:tcPr>
            <w:tcW w:type="dxa" w:w="5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Reverse proxy / TLS / CDN</w:t>
            </w:r>
          </w:p>
        </w:tc>
        <w:tc>
          <w:tcPr>
            <w:tcW w:type="dxa" w:w="28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HTTPS termination, routing, static &amp; image caching</w:t>
            </w:r>
          </w:p>
        </w:tc>
        <w:tc>
          <w:tcPr>
            <w:tcW w:type="dxa" w:w="15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Stateless</w:t>
            </w:r>
          </w:p>
        </w:tc>
        <w:tc>
          <w:tcPr>
            <w:tcW w:type="dxa" w:w="306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Implicit in Vercel today; must be provisioned explicitly everywhere else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CI/CD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Lint → test → build (and deploy) pipeline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GitHub Actions (deploy-api.yaml, deploy-web.yaml) — already platform-agnostic; only the final "deploy" step is Vercel-specific today</w:t>
            </w:r>
          </w:p>
        </w:tc>
      </w:tr>
      <w:tr>
        <w:tc>
          <w:tcPr>
            <w:tcW w:type="dxa" w:w="5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 quality gate</w:t>
            </w:r>
          </w:p>
        </w:tc>
        <w:tc>
          <w:tcPr>
            <w:tcW w:type="dxa" w:w="28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Static analysis</w:t>
            </w:r>
          </w:p>
        </w:tc>
        <w:tc>
          <w:tcPr>
            <w:tcW w:type="dxa" w:w="15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306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SonarCloud — platform-independent already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Secrets store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DATABASE_URL, API keys, ENCRYPTION_KEY, etc.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Stateful, sensitive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Vercel Environment Variables today</w:t>
            </w:r>
          </w:p>
        </w:tc>
      </w:tr>
      <w:tr>
        <w:tc>
          <w:tcPr>
            <w:tcW w:type="dxa" w:w="5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Monitoring / logs / backups</w:t>
            </w:r>
          </w:p>
        </w:tc>
        <w:tc>
          <w:tcPr>
            <w:tcW w:type="dxa" w:w="28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Uptime, error tracking, DB backups, object storage backups</w:t>
            </w:r>
          </w:p>
        </w:tc>
        <w:tc>
          <w:tcPr>
            <w:tcW w:type="dxa" w:w="15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Stateful (retained history)</w:t>
            </w:r>
          </w:p>
        </w:tc>
        <w:tc>
          <w:tcPr>
            <w:tcW w:type="dxa" w:w="306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yet present — required for any real on-prem production deployment (Section 8.5)</w:t>
            </w:r>
          </w:p>
        </w:tc>
      </w:tr>
    </w:tbl>
    <w:p>
      <w:pPr>
        <w:spacing w:after="80"/>
      </w:pPr>
    </w:p>
    <w:p>
      <w:pPr>
        <w:pStyle w:val="Heading1"/>
        <w:spacing w:after="140" w:before="280"/>
      </w:pPr>
      <w:r>
        <w:t xml:space="preserve">4. Environment Variable / Secrets Reference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Names only — values are secrets and must never be committed or shared outside a secrets manager. Source: apps/api/.env, apps/web/.env, root .env.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3900"/>
        <w:gridCol w:w="1560"/>
      </w:tblGrid>
      <w:tr>
        <w:trPr>
          <w:tblHeader/>
        </w:trPr>
        <w:tc>
          <w:tcPr>
            <w:tcW w:type="dxa" w:w="240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50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Consumed by</w:t>
            </w:r>
          </w:p>
        </w:tc>
        <w:tc>
          <w:tcPr>
            <w:tcW w:type="dxa" w:w="390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56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 in prod?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apps/api, packages/db (Prisma)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Prisma connection string (currently via @prisma/adapter-neon)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VERCEL_DATABASE_URL</w:t>
            </w:r>
          </w:p>
        </w:tc>
        <w:tc>
          <w:tcPr>
            <w:tcW w:type="dxa" w:w="15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apps/api (db/index.ts, raw pg.Pool)</w:t>
            </w:r>
          </w:p>
        </w:tc>
        <w:tc>
          <w:tcPr>
            <w:tcW w:type="dxa" w:w="39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Legacy raw-SQL connection used by the standalone migration runner. Name is a platform-independence smell — not actually Vercel-specific, just named after where it was first wired up. Recommend renaming (see Section 10)</w:t>
            </w:r>
          </w:p>
        </w:tc>
        <w:tc>
          <w:tcPr>
            <w:tcW w:type="dxa" w:w="156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NEON_AUTH_BASE_URL / VERCEL_NEON_AUTH_BASE_URL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apps/api, apps/web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Neon Auth project base URL; derives both the JWKS fetch URL and the JWT issuer/audience (origin only)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VERCEL_NEON_AUTH_COOKIE_SECRET</w:t>
            </w:r>
          </w:p>
        </w:tc>
        <w:tc>
          <w:tcPr>
            <w:tcW w:type="dxa" w:w="15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apps/web</w:t>
            </w:r>
          </w:p>
        </w:tc>
        <w:tc>
          <w:tcPr>
            <w:tcW w:type="dxa" w:w="39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Neon Auth session cookie signing secret</w:t>
            </w:r>
          </w:p>
        </w:tc>
        <w:tc>
          <w:tcPr>
            <w:tcW w:type="dxa" w:w="156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VERCEL_NEON_AUTH_COOKIE_DOMAIN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root/build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Cookie domain scoping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 (prod)</w:t>
            </w:r>
          </w:p>
        </w:tc>
      </w:tr>
      <w:tr>
        <w:tc>
          <w:tcPr>
            <w:tcW w:type="dxa" w:w="24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BETTER_AUTH_URL</w:t>
            </w:r>
          </w:p>
        </w:tc>
        <w:tc>
          <w:tcPr>
            <w:tcW w:type="dxa" w:w="15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apps/web</w:t>
            </w:r>
          </w:p>
        </w:tc>
        <w:tc>
          <w:tcPr>
            <w:tcW w:type="dxa" w:w="39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Better Auth (underlying Neon Auth SDK) base URL</w:t>
            </w:r>
          </w:p>
        </w:tc>
        <w:tc>
          <w:tcPr>
            <w:tcW w:type="dxa" w:w="156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B2_ENDPOINT, B2_REGION, B2_APPLICATION_KEY_ID, B2_APPLICATION_KEY, B2_BUCKET_NAME, B2_BUCKET_ID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apps/api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Backblaze B2 object storage credentials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 (or swap for S3/MinIO equivalents — Section 8.4)</w:t>
            </w:r>
          </w:p>
        </w:tc>
      </w:tr>
      <w:tr>
        <w:tc>
          <w:tcPr>
            <w:tcW w:type="dxa" w:w="24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PUSHER_APP_ID, PUSHER_KEY, PUSHER_SECRET, PUSHER_CLUSTER</w:t>
            </w:r>
          </w:p>
        </w:tc>
        <w:tc>
          <w:tcPr>
            <w:tcW w:type="dxa" w:w="15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apps/api</w:t>
            </w:r>
          </w:p>
        </w:tc>
        <w:tc>
          <w:tcPr>
            <w:tcW w:type="dxa" w:w="39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Server-side Pusher credentials</w:t>
            </w:r>
          </w:p>
        </w:tc>
        <w:tc>
          <w:tcPr>
            <w:tcW w:type="dxa" w:w="156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 (or Soketi equivalents — Section 8.6)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NEXT_PUBLIC_PUSHER_KEY, NEXT_PUBLIC_PUSHER_CLUSTER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apps/web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Client-side Pusher connection (public by design)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GEMINI_API_KEY</w:t>
            </w:r>
          </w:p>
        </w:tc>
        <w:tc>
          <w:tcPr>
            <w:tcW w:type="dxa" w:w="15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apps/api</w:t>
            </w:r>
          </w:p>
        </w:tc>
        <w:tc>
          <w:tcPr>
            <w:tcW w:type="dxa" w:w="39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Cloud AI quiz generation</w:t>
            </w:r>
          </w:p>
        </w:tc>
        <w:tc>
          <w:tcPr>
            <w:tcW w:type="dxa" w:w="156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Only if "gemini" provider is selected in admin settings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QWEN_API_KEY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apps/api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Alternate hosted LLM credential (admin-configurable quiz provider)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Only if that provider is selected</w:t>
            </w:r>
          </w:p>
        </w:tc>
      </w:tr>
      <w:tr>
        <w:tc>
          <w:tcPr>
            <w:tcW w:type="dxa" w:w="24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ENCRYPTION_KEY</w:t>
            </w:r>
          </w:p>
        </w:tc>
        <w:tc>
          <w:tcPr>
            <w:tcW w:type="dxa" w:w="15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apps/api</w:t>
            </w:r>
          </w:p>
        </w:tc>
        <w:tc>
          <w:tcPr>
            <w:tcW w:type="dxa" w:w="39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AES-256-GCM key (32 bytes, base64) used to encrypt LLM API keys stored in app_settings</w:t>
            </w:r>
          </w:p>
        </w:tc>
        <w:tc>
          <w:tcPr>
            <w:tcW w:type="dxa" w:w="156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NEXT_PUBLIC_SERVER_URL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apps/web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URL the frontend uses to reach the API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PORT</w:t>
            </w:r>
          </w:p>
        </w:tc>
        <w:tc>
          <w:tcPr>
            <w:tcW w:type="dxa" w:w="15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apps/api</w:t>
            </w:r>
          </w:p>
        </w:tc>
        <w:tc>
          <w:tcPr>
            <w:tcW w:type="dxa" w:w="39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Listen port when not on a serverless platform</w:t>
            </w:r>
          </w:p>
        </w:tc>
        <w:tc>
          <w:tcPr>
            <w:tcW w:type="dxa" w:w="156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On-prem/container only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NODE_ENV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both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development / test / production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SONAR_TOKEN</w:t>
            </w:r>
          </w:p>
        </w:tc>
        <w:tc>
          <w:tcPr>
            <w:tcW w:type="dxa" w:w="15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CI only</w:t>
            </w:r>
          </w:p>
        </w:tc>
        <w:tc>
          <w:tcPr>
            <w:tcW w:type="dxa" w:w="39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SonarCloud analysis auth</w:t>
            </w:r>
          </w:p>
        </w:tc>
        <w:tc>
          <w:tcPr>
            <w:tcW w:type="dxa" w:w="156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CI only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Calibri" w:cs="Calibri" w:eastAsia="Calibri" w:hAnsi="Calibri"/>
          <w:b/>
          <w:bCs/>
        </w:rPr>
        <w:t xml:space="preserve">Generating ENCRYPTION_KEY: </w:t>
      </w:r>
      <w:r>
        <w:rPr>
          <w:rFonts w:ascii="Consolas" w:cs="Consolas" w:eastAsia="Consolas" w:hAnsi="Consolas"/>
          <w:sz w:val="20"/>
          <w:szCs w:val="20"/>
        </w:rPr>
        <w:t xml:space="preserve">node -e "console.log(require('crypto').randomBytes(32).toString('base64'))"</w:t>
      </w:r>
    </w:p>
    <w:p>
      <w:pPr>
        <w:pStyle w:val="Heading1"/>
        <w:spacing w:after="140" w:before="280"/>
      </w:pPr>
      <w:r>
        <w:t xml:space="preserve">5. Deployment Topology</w:t>
      </w:r>
    </w:p>
    <w:p>
      <w:pPr>
        <w:pStyle w:val="Heading2"/>
        <w:spacing w:after="140" w:before="280"/>
      </w:pPr>
      <w:r>
        <w:t xml:space="preserve">5.1 Cloud (managed services) — current &amp; recommended default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40" w:before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+---------------------------+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Browser --HTTPS--------&gt;|  apps/web (Next.js)     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           |  containerized or PaaS   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           +-----------+----------------+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                       | JWT Bearer / apiFetch()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                       v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           +---------------------------+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           |  apps/api (Express)      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           |  containerized or PaaS   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           +--+------+---------+--------+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              |      |      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   +----------+      |         +-----------+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   v                 v                     v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+-------------+   +---------------+     +------------------+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| Neon         |   | Backblaze B2   |     | Pusher         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| PostgreSQL   |   | (images/files) |     | (real-time)    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+-------------+   +---------------+     +------------------+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   ^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   | JWKS / user sync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+-------------+        +--------------+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| Neon Auth    |        | Gemini API    |&lt;-- apps/api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| (Google SSO) |        +--------------+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+-------------+</w:t>
      </w:r>
    </w:p>
    <w:p>
      <w:pPr>
        <w:pStyle w:val="Heading2"/>
        <w:spacing w:after="140" w:before="280"/>
      </w:pPr>
      <w:r>
        <w:t xml:space="preserve">5.2 On-prem / self-hosted — fully independent stack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40" w:before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+-------------------------------------------+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      |  Reverse proxy (Nginx/Caddy) - TLS term. 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      +-------+---------------------------+--------+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              v                             v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   +----------------+          +----------------+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   | apps/web        |          | apps/api     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   | (Docker)        |          | (Docker)     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   +-------+--------+          +---+---+---+-----+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           |                       |   |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+----------+          +------------+   |   +--------------+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v                     v                 v                 v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+------------------+  +------------------+ +-------------+ +------------------+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| PostgreSQL         |  | MinIO (S3 API)     | | Soketi       | | Ollama         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| (Docker/managed)   |  | replaces B2        | | replaces     | | replaces Gemini  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|                    |  |                    | | Pusher       | | (already supported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|                    |  |                    | |              | | via local provider)|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+------------------+  +------------------+ +-------------+ +------------------+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^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| requires a self-hosted identity provider (Keycloak/Authentik/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| self-hosted Better Auth) -- see Section 8.2 caveat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+------------------+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| Self-hosted Auth  |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+------------------+</w:t>
      </w:r>
    </w:p>
    <w:p>
      <w:pPr>
        <w:pStyle w:val="Heading1"/>
        <w:spacing w:after="140" w:before="280"/>
      </w:pPr>
      <w:r>
        <w:t xml:space="preserve">6. Capacity Planning</w:t>
      </w:r>
    </w:p>
    <w:p>
      <w:pPr>
        <w:pStyle w:val="Heading2"/>
        <w:spacing w:after="140" w:before="280"/>
      </w:pPr>
      <w:r>
        <w:t xml:space="preserve">6.1 Baseline assumptions (~100 employees)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Internal knowledge-base usage patterns are bursty and read-heavy, not sustained load. Working assumptions (adjust to your org’s real numbers if known):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100 registered users, ~70% weekly-active.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Peak concurrency: ~20–30 simultaneous active sessions during business hours (20–30% of the user base — typical for internal tools, not consumer apps).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Content creation is a minority activity: assume ~30 articles/month org-wide, averaging 3 images per article (cap is 10 at 5 MB each), plus ~5 tech-talk slide decks/month at up to 8 MB.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Quiz generation: on-demand, low frequency (tens per day), not a sustained load driver.</w:t>
      </w:r>
    </w:p>
    <w:p>
      <w:pPr>
        <w:pStyle w:val="Heading2"/>
        <w:spacing w:after="140" w:before="280"/>
      </w:pPr>
      <w:r>
        <w:t xml:space="preserve">6.2 Compute sizing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Recommended baseline (100 users)</w:t>
            </w:r>
          </w:p>
        </w:tc>
        <w:tc>
          <w:tcPr>
            <w:tcW w:type="dxa" w:w="376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apps/web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1–2 vCPU / 1–2 GB RAM per instance, 2 instances for redundancy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Next.js SSR is the heavier of the two; scale on CPU/response-time, not just request count</w:t>
            </w:r>
          </w:p>
        </w:tc>
      </w:tr>
      <w:tr>
        <w:tc>
          <w:tcPr>
            <w:tcW w:type="dxa" w:w="24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apps/api</w:t>
            </w:r>
          </w:p>
        </w:tc>
        <w:tc>
          <w:tcPr>
            <w:tcW w:type="dxa" w:w="32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vCPU / 1 GB RAM per instance, 2 instances for redundancy</w:t>
            </w:r>
          </w:p>
        </w:tc>
        <w:tc>
          <w:tcPr>
            <w:tcW w:type="dxa" w:w="376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Express is lightweight; most latency is DB/B2/Pusher round-trips, not CPU-bound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Load balancer / reverse proxy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shared instance (or platform-managed)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Terminates TLS, routes / → web, /api → api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At this scale, two small instances per app behind a load balancer (or the serverless equivalent, auto-scaling 0–3) is comfortably sufficient headroom, not a bare minimum.</w:t>
      </w:r>
    </w:p>
    <w:p>
      <w:pPr>
        <w:pStyle w:val="Heading2"/>
        <w:spacing w:after="140" w:before="280"/>
      </w:pPr>
      <w:r>
        <w:t xml:space="preserve">6.3 Database sizing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Deployment</w:t>
            </w:r>
          </w:p>
        </w:tc>
        <w:tc>
          <w:tcPr>
            <w:tcW w:type="dxa" w:w="676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Cloud (Neon)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Smallest autoscaling compute tier (0.25–1 CU) is sufficient at 100 users; enable autosuspend for cost, autoscale ceiling ~2 CU for headroom</w:t>
            </w:r>
          </w:p>
        </w:tc>
      </w:tr>
      <w:tr>
        <w:tc>
          <w:tcPr>
            <w:tcW w:type="dxa" w:w="26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On-prem (self-hosted Postgres)</w:t>
            </w:r>
          </w:p>
        </w:tc>
        <w:tc>
          <w:tcPr>
            <w:tcW w:type="dxa" w:w="676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vCPU / 4 GB RAM, 50 GB SSD is generous headroom for years at this scale; enable pg_stat_statements for visibility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Storage: the data model is relational + light jsonb (quiz questions, settings) — expect low single-digit GB even after a year at 100-user scale. Object (image) storage is the real growth driver, not the database.</w:t>
      </w:r>
    </w:p>
    <w:p>
      <w:pPr>
        <w:pStyle w:val="Heading2"/>
        <w:spacing w:after="140" w:before="280"/>
      </w:pPr>
      <w:r>
        <w:t xml:space="preserve">6.4 Object storage sizing (images &amp; attachments)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Using the baseline assumptions in 6.1: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40" w:before="120"/>
      </w:pPr>
      <w:r>
        <w:rPr>
          <w:rFonts w:ascii="Consolas" w:cs="Consolas" w:eastAsia="Consolas" w:hAnsi="Consolas"/>
          <w:sz w:val="16"/>
          <w:szCs w:val="16"/>
        </w:rPr>
        <w:t xml:space="preserve">Articles/month: 30 x avg 3 images x ~1.5 MB avg (well under the 5 MB cap)  ~=  135 MB/month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Tech talk slides/month: 5 x avg 5 MB                                       ~=   25 MB/month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---------------------------------------------------------------------------------------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Estimated growth: ~160 MB/month -&gt; ~2 GB/year at steady state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Recommendation: provision a bucket with a soft alert at 5 GB and a hard review at 20 GB — well above a 5-year projection at this scale, cheap insurance against a burst of high-resolution uploads. Enforce the existing MAX_ARTICLE_IMAGE_SIZE_BYTES (5 MB), MAX_ARTICLE_IMAGES (10/article), and MAX_TECH_TALK_SLIDES_SIZE_BYTES (8 MB) limits at the API layer — they are already implemented and are the primary cost/capacity control.</w:t>
      </w:r>
    </w:p>
    <w:p>
      <w:pPr>
        <w:pStyle w:val="Heading2"/>
        <w:spacing w:after="140" w:before="280"/>
      </w:pPr>
      <w:r>
        <w:t xml:space="preserve">6.5 Real-time (Pusher/Soketi) sizing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~20–30 peak concurrent WebSocket connections, low message volume (notification events only, not chat). This fits comfortably within Pusher’s lowest paid tier or a free tier; a self-hosted Soketi instance has no meaningful capacity ceiling at this scale on a single small container.</w:t>
      </w:r>
    </w:p>
    <w:p>
      <w:pPr>
        <w:pStyle w:val="Heading2"/>
        <w:spacing w:after="140" w:before="280"/>
      </w:pPr>
      <w:r>
        <w:t xml:space="preserve">6.6 AI provider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Gemini API: pay-per-call, no capacity provisioning needed. Local/Ollama: see Section 8.7 for hardware sizing if that path is chosen.</w:t>
      </w:r>
    </w:p>
    <w:p>
      <w:pPr>
        <w:pStyle w:val="Heading1"/>
        <w:spacing w:after="140" w:before="280"/>
      </w:pPr>
      <w:r>
        <w:t xml:space="preserve">7. Cloud Deployment Strategy</w:t>
      </w:r>
    </w:p>
    <w:p>
      <w:pPr>
        <w:pStyle w:val="Heading2"/>
        <w:spacing w:after="140" w:before="280"/>
      </w:pPr>
      <w:r>
        <w:t xml:space="preserve">7.1 Option A — Vercel (current, zero extra infrastructure)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Two Vercel projects (1bt-wiki-web, 1bt-wiki-api), Git-integrated auto-deploy on push to main/dev. Managed services (Neon, B2, Pusher, Gemini) are already platform-agnostic — nothing about them ties the system to Vercel. This remains a valid, low-effort option; it just should not be the only documented option, which is the point of this guideline.</w:t>
      </w:r>
    </w:p>
    <w:p>
      <w:pPr>
        <w:pStyle w:val="Heading2"/>
        <w:spacing w:after="140" w:before="280"/>
      </w:pPr>
      <w:r>
        <w:t xml:space="preserve">7.2 Option B — Any container-hosting cloud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Build a Dockerfile for apps/web (Next.js standalone output) and apps/api (multi-stage build → node dist/index.js), building packages/db/packages/shared first as workspace dependencies.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Push images to a container registry (GHCR, ECR, Artifact Registry, etc.) from GitHub Actions.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Deploy to any of: AWS ECS/Fargate, Google Cloud Run, Azure Container Apps, Fly.io, Render, Railway, DigitalOcean App Platform. All of these accept the same two images unmodified.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Keep Neon Postgres, Neon Auth, Backblaze B2, Pusher, Gemini as-is — none of them require Vercel; only the compute layer moves.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Point a managed load balancer / the platform’s built-in HTTPS routing at the two services; set NEXT_PUBLIC_SERVER_URL on web to the API’s public URL.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CI/CD: extend deploy-api.yaml/deploy-web.yaml with a final "build &amp; push image" + "trigger deploy" step (platform-specific CLI/action), replacing Vercel’s implicit Git-integration deploy.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This is the "decouple hosting from Vercel, keep the managed services" path — the smallest change that satisfies platform independence for the compute layer.</w:t>
      </w:r>
    </w:p>
    <w:p>
      <w:pPr>
        <w:pStyle w:val="Heading1"/>
        <w:spacing w:after="140" w:before="280"/>
      </w:pPr>
      <w:r>
        <w:t xml:space="preserve">8. On-Prem / Self-Hosted Deployment Strategy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This is a real production deployment on infrastructure the organization owns — not a developer laptop setup. It is the higher-effort path: every managed dependency needs a self-hosted substitute, documented below with an honest note on how much work each swap actually is.</w:t>
      </w:r>
    </w:p>
    <w:p>
      <w:pPr>
        <w:pStyle w:val="Heading2"/>
        <w:spacing w:after="140" w:before="280"/>
      </w:pPr>
      <w:r>
        <w:t xml:space="preserve">8.1 Reference server sizing (100-employee baseline)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Single-node Docker Compose deployment (sufficient at this scale; see Section 9 for when to split):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716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vCPU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4–8</w:t>
            </w:r>
          </w:p>
        </w:tc>
      </w:tr>
      <w:tr>
        <w:tc>
          <w:tcPr>
            <w:tcW w:type="dxa" w:w="22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RAM</w:t>
            </w:r>
          </w:p>
        </w:tc>
        <w:tc>
          <w:tcPr>
            <w:tcW w:type="dxa" w:w="716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 GB (32 GB if running the local LLM provider — Section 8.7)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Storage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 GB SSD (OS + containers + Postgres + MinIO + logs), with room to grow per Section 6.4</w:t>
            </w:r>
          </w:p>
        </w:tc>
      </w:tr>
      <w:tr>
        <w:tc>
          <w:tcPr>
            <w:tcW w:type="dxa" w:w="22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OS</w:t>
            </w:r>
          </w:p>
        </w:tc>
        <w:tc>
          <w:tcPr>
            <w:tcW w:type="dxa" w:w="716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Any current Linux LTS (Ubuntu Server 24.04 LTS or similar)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Network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Static IP or DNS-mapped hostname, inbound 443 only (behind the reverse proxy)</w:t>
            </w:r>
          </w:p>
        </w:tc>
      </w:tr>
    </w:tbl>
    <w:p>
      <w:pPr>
        <w:pStyle w:val="Heading2"/>
        <w:spacing w:after="140" w:before="280"/>
      </w:pPr>
      <w:r>
        <w:t xml:space="preserve">8.2 Identity provider — the one non-trivial swap</w:t>
      </w:r>
    </w:p>
    <w:p>
      <w:pPr>
        <w:spacing w:after="160"/>
      </w:pPr>
      <w:r>
        <w:rPr>
          <w:rFonts w:ascii="Calibri" w:cs="Calibri" w:eastAsia="Calibri" w:hAnsi="Calibri"/>
          <w:b/>
          <w:bCs/>
        </w:rPr>
        <w:t xml:space="preserve">This is the most important caveat in the whole document. </w:t>
      </w:r>
      <w:r>
        <w:rPr>
          <w:rFonts w:ascii="Calibri" w:cs="Calibri" w:eastAsia="Calibri" w:hAnsi="Calibri"/>
        </w:rPr>
        <w:t xml:space="preserve">Neon Auth is coupled to a Neon-hosted Postgres project: it auto-manages the neon_auth.user table and issues JWTs verified via its own JWKS endpoint (NEON_AUTH_BASE_URL). You cannot point Neon Auth at a self-hosted Postgres instance, and self-hosting Postgres without Neon means you lose that auto-synced user table entirely.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Practically, that means: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you self-host Postgres, you must also self-host the identity provider. These two swaps are linked, not independent.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Self-hosting options: a self-hosted Better Auth instance (same library Neon Auth is built on), or a general-purpose OIDC provider (Keycloak, Authentik) fronting Google SSO.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Required code changes: auth.middleware.ts already verifies via generic JWKS (jose + createRemoteJWKSet) — this part is provider-agnostic. What changes is NEON_AUTH_BASE_URL (now pointing at your own auth service) and the removal of the Neon-specific neon_auth.user auto-sync, replaced with your own users table + repository layer.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Treat this as an architecture change requiring its own design review, not a drop-in environment variable swap.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a fully self-hosted identity provider is out of scope for now, a valid middle ground is: self-host compute + object storage + real-time, but keep Neon Postgres + Neon Auth as the two managed exceptions (they’re the hardest to replace and the least platform-coupled — Neon works from anywhere, not just Vercel).</w:t>
      </w:r>
    </w:p>
    <w:p>
      <w:pPr>
        <w:pStyle w:val="Heading2"/>
        <w:spacing w:after="140" w:before="280"/>
      </w:pPr>
      <w:r>
        <w:t xml:space="preserve">8.3 Database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Standard PostgreSQL 16+ in a Docker container (or a dedicated VM), with scheduled pg_dump backups (Section 8.5). Required code change: packages/db/src/client.ts currently uses @prisma/adapter-neon, which speaks Neon’s serverless (HTTP/WebSocket) driver protocol — it will not connect to vanilla Postgres. Swap to the standard Prisma Postgres connection (drop the adapter, use datasource url directly, or use @prisma/adapter-pg). The raw pg.Pool in apps/api/src/db/index.ts already uses the standard driver and needs no change beyond pointing VERCEL_DATABASE_URL/its renamed successor at the new host and adjusting the hardcoded ssl: { rejectUnauthorized: false } (fine for a trusted internal network; use a real CA-signed cert if the DB is reachable beyond it).</w:t>
      </w:r>
    </w:p>
    <w:p>
      <w:pPr>
        <w:pStyle w:val="Heading2"/>
        <w:spacing w:after="140" w:before="280"/>
      </w:pPr>
      <w:r>
        <w:t xml:space="preserve">8.4 Object storage (images &amp; attachments)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MinIO is the drop-in self-hosted substitute — it implements the S3 API, and backblaze-b2’s SDK usage in b2Client.ts is B2-specific (not S3-generic), so the swap is: replace b2Client.ts with an S3-compatible client (@aws-sdk/client-s3, works against MinIO, B2’s S3-compatible endpoint, AWS S3, Cloudflare R2, or GCS with the S3 shim) behind the same uploadFile/deleteFile interface already exported. Existing validation (upload.constants.ts size/type limits) and the article_attachments DB schema (stores key/bucket/URL/mime/size) need no changes — they’re already storage-provider-agnostic. Run MinIO as a container with a persistent volume; back it up per Section 8.5.</w:t>
      </w:r>
    </w:p>
    <w:p>
      <w:pPr>
        <w:pStyle w:val="Heading2"/>
        <w:spacing w:after="140" w:before="280"/>
      </w:pPr>
      <w:r>
        <w:t xml:space="preserve">8.5 Backups, monitoring, and disaster recovery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Required for real production, currently absent: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type="dxa" w:w="676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Database backups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Nightly pg_dump (or continuous WAL archiving for point-in-time recovery) to a separate disk/off-box location; test restores quarterly</w:t>
            </w:r>
          </w:p>
        </w:tc>
      </w:tr>
      <w:tr>
        <w:tc>
          <w:tcPr>
            <w:tcW w:type="dxa" w:w="26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Object storage backups</w:t>
            </w:r>
          </w:p>
        </w:tc>
        <w:tc>
          <w:tcPr>
            <w:tcW w:type="dxa" w:w="676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MinIO bucket replication or scheduled mc mirror to a secondary location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Uptime monitoring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lightweight self-hosted option (e.g. Uptime Kuma) or an external synthetic check hitting GET /api/v1/health</w:t>
            </w:r>
          </w:p>
        </w:tc>
      </w:tr>
      <w:tr>
        <w:tc>
          <w:tcPr>
            <w:tcW w:type="dxa" w:w="26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 aggregation</w:t>
            </w:r>
          </w:p>
        </w:tc>
        <w:tc>
          <w:tcPr>
            <w:tcW w:type="dxa" w:w="676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Container logs shipped to a local Loki/Grafana stack or equivalent — currently there is no centralized logging anywhere in the stack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Error tracking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 an APM/error tracker (e.g. Sentry, self-hostable) — not currently integrated</w:t>
            </w:r>
          </w:p>
        </w:tc>
      </w:tr>
      <w:tr>
        <w:tc>
          <w:tcPr>
            <w:tcW w:type="dxa" w:w="26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Alerting</w:t>
            </w:r>
          </w:p>
        </w:tc>
        <w:tc>
          <w:tcPr>
            <w:tcW w:type="dxa" w:w="676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 minimum, disk-space and service-down alerts to the team’s chat/email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None of this exists today because Vercel/Neon/B2 handle it implicitly for the cloud path. On-prem removes those guarantees, so this section is not optional for a production on-prem deployment.</w:t>
      </w:r>
    </w:p>
    <w:p>
      <w:pPr>
        <w:pStyle w:val="Heading2"/>
        <w:spacing w:after="140" w:before="280"/>
      </w:pPr>
      <w:r>
        <w:t xml:space="preserve">8.6 Real-time — Soketi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Soketi is an open-source server implementing the Pusher protocol. Because apps/api’s pusherClient.ts and apps/web’s pusher-js client both speak the standard Pusher protocol/SDK, pointing them at a self-hosted Soketi instance (via PUSHER_*/NEXT_PUBLIC_PUSHER_* host/port overrides) is close to a configuration-only swap, not a code rewrite.</w:t>
      </w:r>
    </w:p>
    <w:p>
      <w:pPr>
        <w:pStyle w:val="Heading2"/>
        <w:spacing w:after="140" w:before="280"/>
      </w:pPr>
      <w:r>
        <w:t xml:space="preserve">8.7 AI — already supported, zero code change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apps/api already has a pluggable quiz-generation provider (quizProviderFactory.ts) with a working local provider (localQuizProvider.ts) that speaks Ollama’s /api/chat protocol. Run Ollama in a container, pull a model (e.g. a quantized 7–8B instruct model), and switch the admin-configurable quiz_llm_config setting to local with the Ollama endpoint — no deployment of new application code required.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Hardware note: CPU-only inference works but is slow (tens of seconds per quiz generation, acceptable given quiz generation is already fire-and-forget/fallback-tolerant per the existing architecture). For sub-10-second responses, a GPU with ≥8 GB VRAM is recommended; otherwise budget 16 GB+ RAM headroom for CPU inference and accept higher latency — the existing fallback-quiz mechanism already tolerates slow/failed generation gracefully.</w:t>
      </w:r>
    </w:p>
    <w:p>
      <w:pPr>
        <w:pStyle w:val="Heading1"/>
        <w:spacing w:after="140" w:before="280"/>
      </w:pPr>
      <w:r>
        <w:t xml:space="preserve">9. Scaling Path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Capacity numbers above are a starting point, not a ceiling. How each component changes as the user base grows: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1400"/>
        <w:gridCol w:w="1550"/>
        <w:gridCol w:w="1400"/>
        <w:gridCol w:w="1400"/>
        <w:gridCol w:w="2010"/>
      </w:tblGrid>
      <w:tr>
        <w:trPr>
          <w:tblHeader/>
        </w:trPr>
        <w:tc>
          <w:tcPr>
            <w:tcW w:type="dxa" w:w="90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70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140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Compute</w:t>
            </w:r>
          </w:p>
        </w:tc>
        <w:tc>
          <w:tcPr>
            <w:tcW w:type="dxa" w:w="155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140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Object storage</w:t>
            </w:r>
          </w:p>
        </w:tc>
        <w:tc>
          <w:tcPr>
            <w:tcW w:type="dxa" w:w="140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Real-time</w:t>
            </w:r>
          </w:p>
        </w:tc>
        <w:tc>
          <w:tcPr>
            <w:tcW w:type="dxa" w:w="201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Pilot (this baseline)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~100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small instances/app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Smallest Neon tier / 2 vCPU self-hosted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Single bucket, no CDN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Pusher free/starter or single Soketi container</w:t>
            </w:r>
          </w:p>
        </w:tc>
        <w:tc>
          <w:tcPr>
            <w:tcW w:type="dxa" w:w="2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Single-region, single-node on-prem is fine</w:t>
            </w:r>
          </w:p>
        </w:tc>
      </w:tr>
      <w:tr>
        <w:tc>
          <w:tcPr>
            <w:tcW w:type="dxa" w:w="9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7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500–1,000</w:t>
            </w:r>
          </w:p>
        </w:tc>
        <w:tc>
          <w:tcPr>
            <w:tcW w:type="dxa" w:w="14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Autoscale 3–6 instances/app; add a dedicated LB health-check</w:t>
            </w:r>
          </w:p>
        </w:tc>
        <w:tc>
          <w:tcPr>
            <w:tcW w:type="dxa" w:w="155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Neon Scale tier + read replica, or self-hosted Postgres with a read replica; connection pooling (PgBouncer/Neon pooler) becomes necessary</w:t>
            </w:r>
          </w:p>
        </w:tc>
        <w:tc>
          <w:tcPr>
            <w:tcW w:type="dxa" w:w="14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 a CDN in front of the bucket for image delivery; lifecycle rules for old/unused attachments</w:t>
            </w:r>
          </w:p>
        </w:tc>
        <w:tc>
          <w:tcPr>
            <w:tcW w:type="dxa" w:w="14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Pusher paid tier, or Soketi + Redis adapter for horizontal scaling</w:t>
            </w:r>
          </w:p>
        </w:tc>
        <w:tc>
          <w:tcPr>
            <w:tcW w:type="dxa" w:w="201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Split web/api onto separate scaling groups if load differs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Scale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1,000+ / public-facing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Multi-instance autoscaling (Kubernetes/ECS/Cloud Run), multi-AZ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Multi-AZ Postgres, dedicated read replicas, connection pooler mandatory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Multi-region object storage + edge CDN (e.g. Cloudflare R2 + CDN)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Pusher Business tier or a clustered Soketi deployment</w:t>
            </w:r>
          </w:p>
        </w:tc>
        <w:tc>
          <w:tcPr>
            <w:tcW w:type="dxa" w:w="2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 WAF/rate limiting; centralized log aggregation and APM become mandatory; consider a hybrid AI strategy (local for baseline load, cloud Gemini burst overflow)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 trigger to move a stage is sustained peak-hour saturation (CPU/connection-pool/queue metrics), not raw headcount — a 400-person org with light usage may never need "Growth"-tier infrastructure, and a 100-person org with heavy daily authoring might.</w:t>
      </w:r>
    </w:p>
    <w:p>
      <w:pPr>
        <w:pStyle w:val="Heading1"/>
        <w:spacing w:after="140" w:before="280"/>
      </w:pPr>
      <w:r>
        <w:t xml:space="preserve">10. Recommended Follow-Up Cleanup (Platform-Independence Hygiene)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Not required to deploy, but worth doing to make the "independent of platform" story fully honest in the codebase, not just in this document: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Rename VERCEL_DATABASE_URL → a platform-neutral name (e.g. RAW_DATABASE_URL) across apps/api/src/db/index.ts, CI workflows, and .env files — it’s not Vercel-specific infrastructure, just legacy naming from the original setup.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Similarly rename VERCEL_NEON_AUTH_BASE_URL / VERCEL_NEON_AUTH_COOKIE_SECRET / VERCEL_NEON_AUTH_COOKIE_DOMAIN (they configure Neon Auth, not Vercel).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the health/monitoring/backup pieces from Section 8.5 regardless of which deployment path is chosen — they’re currently missing even in the cloud/Vercel path.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explicit "deploy" steps to deploy-api.yaml/deploy-web.yaml (or new workflows) once a non-Vercel target is chosen, so CI/CD stays platform-agnostic end-to-end rather than relying on Vercel’s implicit Git integration.</w:t>
      </w:r>
    </w:p>
    <w:p>
      <w:pPr>
        <w:pStyle w:val="Heading1"/>
        <w:spacing w:after="140" w:before="280"/>
      </w:pPr>
      <w:r>
        <w:t xml:space="preserve">11. Summary Checklist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Before calling any deployment (cloud or on-prem) production-ready:</w:t>
      </w:r>
    </w:p>
    <w:p>
      <w:pPr>
        <w:spacing w:after="80"/>
        <w:ind w:left="360"/>
      </w:pPr>
      <w:r>
        <w:rPr>
          <w:rFonts w:ascii="Calibri" w:cs="Calibri" w:eastAsia="Calibri" w:hAnsi="Calibri"/>
        </w:rPr>
        <w:t xml:space="preserve">☐  </w:t>
      </w:r>
      <w:r>
        <w:rPr>
          <w:rFonts w:ascii="Calibri" w:cs="Calibri" w:eastAsia="Calibri" w:hAnsi="Calibri"/>
        </w:rPr>
        <w:t xml:space="preserve">All Section 4 environment variables set via a proper secrets mechanism (not committed .env files)</w:t>
      </w:r>
    </w:p>
    <w:p>
      <w:pPr>
        <w:spacing w:after="80"/>
        <w:ind w:left="360"/>
      </w:pPr>
      <w:r>
        <w:rPr>
          <w:rFonts w:ascii="Calibri" w:cs="Calibri" w:eastAsia="Calibri" w:hAnsi="Calibri"/>
        </w:rPr>
        <w:t xml:space="preserve">☐  </w:t>
      </w:r>
      <w:r>
        <w:rPr>
          <w:rFonts w:ascii="Calibri" w:cs="Calibri" w:eastAsia="Calibri" w:hAnsi="Calibri"/>
        </w:rPr>
        <w:t xml:space="preserve">ENCRYPTION_KEY generated fresh per environment (never reused between dev/staging/prod)</w:t>
      </w:r>
    </w:p>
    <w:p>
      <w:pPr>
        <w:spacing w:after="80"/>
        <w:ind w:left="360"/>
      </w:pPr>
      <w:r>
        <w:rPr>
          <w:rFonts w:ascii="Calibri" w:cs="Calibri" w:eastAsia="Calibri" w:hAnsi="Calibri"/>
        </w:rPr>
        <w:t xml:space="preserve">☐  </w:t>
      </w:r>
      <w:r>
        <w:rPr>
          <w:rFonts w:ascii="Calibri" w:cs="Calibri" w:eastAsia="Calibri" w:hAnsi="Calibri"/>
        </w:rPr>
        <w:t xml:space="preserve">Database migrations applied via prisma migrate deploy (never db:push for anything with seed data — see README caveat)</w:t>
      </w:r>
    </w:p>
    <w:p>
      <w:pPr>
        <w:spacing w:after="80"/>
        <w:ind w:left="360"/>
      </w:pPr>
      <w:r>
        <w:rPr>
          <w:rFonts w:ascii="Calibri" w:cs="Calibri" w:eastAsia="Calibri" w:hAnsi="Calibri"/>
        </w:rPr>
        <w:t xml:space="preserve">☐  </w:t>
      </w:r>
      <w:r>
        <w:rPr>
          <w:rFonts w:ascii="Calibri" w:cs="Calibri" w:eastAsia="Calibri" w:hAnsi="Calibri"/>
        </w:rPr>
        <w:t xml:space="preserve">TLS/HTTPS enforced end-to-end</w:t>
      </w:r>
    </w:p>
    <w:p>
      <w:pPr>
        <w:spacing w:after="80"/>
        <w:ind w:left="360"/>
      </w:pPr>
      <w:r>
        <w:rPr>
          <w:rFonts w:ascii="Calibri" w:cs="Calibri" w:eastAsia="Calibri" w:hAnsi="Calibri"/>
        </w:rPr>
        <w:t xml:space="preserve">☐  </w:t>
      </w:r>
      <w:r>
        <w:rPr>
          <w:rFonts w:ascii="Calibri" w:cs="Calibri" w:eastAsia="Calibri" w:hAnsi="Calibri"/>
        </w:rPr>
        <w:t xml:space="preserve">Upload size/type limits confirmed enforced (upload.constants.ts)</w:t>
      </w:r>
    </w:p>
    <w:p>
      <w:pPr>
        <w:spacing w:after="80"/>
        <w:ind w:left="360"/>
      </w:pPr>
      <w:r>
        <w:rPr>
          <w:rFonts w:ascii="Calibri" w:cs="Calibri" w:eastAsia="Calibri" w:hAnsi="Calibri"/>
        </w:rPr>
        <w:t xml:space="preserve">☐  </w:t>
      </w:r>
      <w:r>
        <w:rPr>
          <w:rFonts w:ascii="Calibri" w:cs="Calibri" w:eastAsia="Calibri" w:hAnsi="Calibri"/>
        </w:rPr>
        <w:t xml:space="preserve">Backups configured and a restore has been tested at least once (Section 8.5)</w:t>
      </w:r>
    </w:p>
    <w:p>
      <w:pPr>
        <w:spacing w:after="80"/>
        <w:ind w:left="360"/>
      </w:pPr>
      <w:r>
        <w:rPr>
          <w:rFonts w:ascii="Calibri" w:cs="Calibri" w:eastAsia="Calibri" w:hAnsi="Calibri"/>
        </w:rPr>
        <w:t xml:space="preserve">☐  </w:t>
      </w:r>
      <w:r>
        <w:rPr>
          <w:rFonts w:ascii="Calibri" w:cs="Calibri" w:eastAsia="Calibri" w:hAnsi="Calibri"/>
        </w:rPr>
        <w:t xml:space="preserve">Health check endpoint (/api/v1/health) wired into uptime monitoring</w:t>
      </w:r>
    </w:p>
    <w:p>
      <w:pPr>
        <w:spacing w:after="80"/>
        <w:ind w:left="360"/>
      </w:pPr>
      <w:r>
        <w:rPr>
          <w:rFonts w:ascii="Calibri" w:cs="Calibri" w:eastAsia="Calibri" w:hAnsi="Calibri"/>
        </w:rPr>
        <w:t xml:space="preserve">☐  </w:t>
      </w:r>
      <w:r>
        <w:rPr>
          <w:rFonts w:ascii="Calibri" w:cs="Calibri" w:eastAsia="Calibri" w:hAnsi="Calibri"/>
        </w:rPr>
        <w:t xml:space="preserve">CI (deploy-api.yaml/deploy-web.yaml) green on the branch being deployed</w:t>
      </w:r>
    </w:p>
    <w:p>
      <w:pPr>
        <w:spacing w:after="80"/>
        <w:ind w:left="360"/>
      </w:pPr>
      <w:r>
        <w:rPr>
          <w:rFonts w:ascii="Calibri" w:cs="Calibri" w:eastAsia="Calibri" w:hAnsi="Calibri"/>
        </w:rPr>
        <w:t xml:space="preserve">☐  </w:t>
      </w:r>
      <w:r>
        <w:rPr>
          <w:rFonts w:ascii="Calibri" w:cs="Calibri" w:eastAsia="Calibri" w:hAnsi="Calibri"/>
        </w:rPr>
        <w:t xml:space="preserve">If self-hosting: identity-provider swap (Section 8.2) has had its own review — it is an architecture change, not a config change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CC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</w:pPr>
    <w:rPr>
      <w:rFonts w:ascii="Calibri" w:cs="Calibri" w:eastAsia="Calibri" w:hAnsi="Calibri"/>
      <w:b/>
      <w:bCs/>
      <w:color w:val="1A1A1A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2026-08-18T18:51:47.387Z</dcterms:created>
  <dcterms:modified xsi:type="dcterms:W3CDTF">2026-08-18T18:51:47.399Z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