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Lab 3: Component Modelling &amp; Architectural Pattern Selection</w:t>
      </w:r>
    </w:p>
    <w:p>
      <w:pPr>
        <w:spacing w:after="200"/>
        <w:jc w:val="center"/>
      </w:pPr>
      <w:r>
        <w:rPr>
          <w:i/>
          <w:iCs/>
          <w:sz w:val="22"/>
          <w:szCs w:val="22"/>
        </w:rPr>
        <w:t xml:space="preserve">Problem Statement #24: Public Bus Live Tracking &amp; Crowding Estimator</w:t>
      </w:r>
    </w:p>
    <w:p>
      <w:pPr>
        <w:spacing w:after="160"/>
      </w:pPr>
      <w:r>
        <w:rPr>
          <w:b/>
          <w:bCs/>
          <w:sz w:val="22"/>
          <w:szCs w:val="22"/>
        </w:rPr>
        <w:t xml:space="preserve">Architecture Selection: </w:t>
      </w:r>
      <w:r>
        <w:rPr>
          <w:sz w:val="22"/>
          <w:szCs w:val="22"/>
        </w:rPr>
        <w:t xml:space="preserve">We chose Microservices Architecture for the Public Bus Live Tracking &amp; Crowding Estimator System.</w:t>
      </w:r>
    </w:p>
    <w:p>
      <w:pPr>
        <w:spacing w:after="80"/>
      </w:pPr>
      <w:r>
        <w:rPr>
          <w:b/>
          <w:bCs/>
          <w:sz w:val="22"/>
          <w:szCs w:val="22"/>
        </w:rPr>
        <w:t xml:space="preserve">Reason 1 – Independent, Uneven Scaling Needs</w:t>
      </w:r>
    </w:p>
    <w:p>
      <w:pPr>
        <w:spacing w:after="160"/>
      </w:pPr>
      <w:r>
        <w:rPr>
          <w:sz w:val="22"/>
          <w:szCs w:val="22"/>
        </w:rPr>
        <w:t xml:space="preserve">NFR-001 requires the system to handle telemetry from up to 1,000 active buses simultaneously, and FR-001/FR-002 demand continuous, low-latency ETA and crowding recalculation on that same data stream. However, commuter-facing stop search (FR-003) and fleet controller dashboards (FR-004) experience very different, spikier load patterns (e.g., commuter demand surges at peak commute hours, while GPS ingestion load scales directly with fleet size). Microservices let the Telemetry Ingestion Service, ETA Calculation Service, and Crowding Estimation Service be scaled independently from the Commuter App Service and Fleet Controller Dashboard Service, so infrastructure spend targets exactly the bottleneck rather than scaling the entire monolith.</w:t>
      </w:r>
    </w:p>
    <w:p>
      <w:pPr>
        <w:spacing w:after="80"/>
      </w:pPr>
      <w:r>
        <w:rPr>
          <w:b/>
          <w:bCs/>
          <w:sz w:val="22"/>
          <w:szCs w:val="22"/>
        </w:rPr>
        <w:t xml:space="preserve">Reason 2 – Fault Isolation for Safety-Adjacent Functions</w:t>
      </w:r>
    </w:p>
    <w:p>
      <w:pPr>
        <w:spacing w:after="160"/>
      </w:pPr>
      <w:r>
        <w:rPr>
          <w:sz w:val="22"/>
          <w:szCs w:val="22"/>
        </w:rPr>
        <w:t xml:space="preserve">Live ETA calculation and crowding estimation are core, always-on commuter functions, while fleet monitoring and delay alerting (FR-004, FR-005) are secondary. In a Layered or Client-Server design, a failure or slow query in one function (e.g., the fleet dashboard) could degrade or take down the whole application tier. Packaging each function as an independently deployable microservice means a fault in the Fleet Dashboard Service or Notification logic cannot cascade into or crash the ETA/crowding path that commuters depend on every few seconds, directly supporting the alternate flow in UC-02 where stale or delayed data must degrade gracefully rather than fail outright.</w:t>
      </w:r>
    </w:p>
    <w:p>
      <w:pPr>
        <w:spacing w:after="80"/>
      </w:pPr>
      <w:r>
        <w:rPr>
          <w:b/>
          <w:bCs/>
          <w:sz w:val="22"/>
          <w:szCs w:val="22"/>
        </w:rPr>
        <w:t xml:space="preserve">Security Advantage</w:t>
      </w:r>
    </w:p>
    <w:p>
      <w:pPr>
        <w:spacing w:after="160"/>
      </w:pPr>
      <w:r>
        <w:rPr>
          <w:sz w:val="22"/>
          <w:szCs w:val="22"/>
        </w:rPr>
        <w:t xml:space="preserve">NFR-002 requires TLS-encrypted telemetry and authenticated, role-based access to the fleet controller dashboard. With microservices, the Fleet Controller Dashboard Service can sit behind its own authentication/authorization boundary and API gateway, completely separate from the public-facing Commuter App Service. This means a vulnerability or credential compromise in the commuter-facing service cannot be used to pivot into the operationally sensitive fleet-control functions, since each service enforces its own access policy at its own boundary rather than sharing one application-wide trust zone.</w:t>
      </w:r>
    </w:p>
    <w:p>
      <w:pPr>
        <w:spacing w:after="80"/>
      </w:pPr>
      <w:r>
        <w:rPr>
          <w:b/>
          <w:bCs/>
          <w:sz w:val="22"/>
          <w:szCs w:val="22"/>
        </w:rPr>
        <w:t xml:space="preserve">Performance Benefit</w:t>
      </w:r>
    </w:p>
    <w:p>
      <w:pPr>
        <w:spacing w:after="160"/>
      </w:pPr>
      <w:r>
        <w:rPr>
          <w:sz w:val="22"/>
          <w:szCs w:val="22"/>
        </w:rPr>
        <w:t xml:space="preserve">Because ETA recalculation (FR-001) must occur continuously as GPS updates arrive every 5 seconds, isolating it in its own service lets it be optimized, cached, and horizontally replicated purely for that workload, without competing for CPU/memory with less time-critical operations like dashboard rendering or receipt-style summaries. This keeps the UC-02/UC-05 ETA-calculation path fast and predictable even as fleet size grows toward the 1,000-vehicle target in NFR-001.</w:t>
      </w:r>
    </w:p>
    <w:p>
      <w:pPr>
        <w:spacing w:after="80"/>
      </w:pPr>
      <w:r>
        <w:rPr>
          <w:b/>
          <w:bCs/>
          <w:sz w:val="22"/>
          <w:szCs w:val="22"/>
        </w:rPr>
        <w:t xml:space="preserve">Components Identified</w:t>
      </w:r>
    </w:p>
    <w:p>
      <w:pPr>
        <w:spacing w:after="60"/>
      </w:pPr>
      <w:r>
        <w:rPr>
          <w:sz w:val="21"/>
          <w:szCs w:val="21"/>
        </w:rPr>
        <w:t xml:space="preserve">1. Telemetry Ingestion Service – receives raw GPS &amp; ticketing sensor data (feeds NFR-001/NFR-002).</w:t>
      </w:r>
    </w:p>
    <w:p>
      <w:pPr>
        <w:spacing w:after="60"/>
      </w:pPr>
      <w:r>
        <w:rPr>
          <w:sz w:val="21"/>
          <w:szCs w:val="21"/>
        </w:rPr>
        <w:t xml:space="preserve">2. ETA Calculation Service – implements UC-05, recalculates arrival ETAs (FR-001).</w:t>
      </w:r>
    </w:p>
    <w:p>
      <w:pPr>
        <w:spacing w:after="60"/>
      </w:pPr>
      <w:r>
        <w:rPr>
          <w:sz w:val="21"/>
          <w:szCs w:val="21"/>
        </w:rPr>
        <w:t xml:space="preserve">3. Crowding Estimation Service – computes Low/Medium/High crowding levels (FR-002).</w:t>
      </w:r>
    </w:p>
    <w:p>
      <w:pPr>
        <w:spacing w:after="60"/>
      </w:pPr>
      <w:r>
        <w:rPr>
          <w:sz w:val="21"/>
          <w:szCs w:val="21"/>
        </w:rPr>
        <w:t xml:space="preserve">4. Commuter App Service – stop search, crowding view, and delay alerts (FR-003, FR-005, UC-02, UC-06).</w:t>
      </w:r>
    </w:p>
    <w:p>
      <w:pPr>
        <w:spacing w:after="60"/>
      </w:pPr>
      <w:r>
        <w:rPr>
          <w:sz w:val="21"/>
          <w:szCs w:val="21"/>
        </w:rPr>
        <w:t xml:space="preserve">5. Fleet Controller Dashboard Service – live map, route adherence, and status monitoring (FR-004).</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2026-09-16T05:31:02.735Z</dcterms:created>
  <dcterms:modified xsi:type="dcterms:W3CDTF">2026-09-16T05:31:02.745Z</dcterms:modified>
</cp:coreProperties>
</file>

<file path=docProps/custom.xml><?xml version="1.0" encoding="utf-8"?>
<Properties xmlns="http://schemas.openxmlformats.org/officeDocument/2006/custom-properties" xmlns:vt="http://schemas.openxmlformats.org/officeDocument/2006/docPropsVTypes"/>
</file>