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Support Ticket Routing with Qwen3 and LoRA</w:t>
      </w:r>
    </w:p>
    <w:p>
      <w:pPr>
        <w:widowControl/>
      </w:pPr>
      <w:r>
        <w:t>Technical project paper based on the repository reference run of 11 September 2026</w:t>
      </w:r>
    </w:p>
    <w:p>
      <w:pPr>
        <w:pStyle w:val="Heading1"/>
        <w:widowControl/>
      </w:pPr>
      <w:r>
        <w:t>Abstract</w:t>
      </w:r>
    </w:p>
    <w:p>
      <w:pPr>
        <w:widowControl/>
      </w:pPr>
      <w:r>
        <w:t xml:space="preserve">This project investigates supervised adaptation of a small causal language model for seven-class IT helpdesk routing. A dataset of 5,000 labeled tickets is divided into a 4,000-row training pool and a 1,000-row stratified held-out set. The workflow adapts </w:t>
      </w:r>
      <w:r>
        <w:rPr>
          <w:rFonts w:ascii="Consolas" w:hAnsi="Consolas"/>
          <w:sz w:val="18"/>
        </w:rPr>
        <w:t>Qwen/Qwen3-1.7B-Base</w:t>
      </w:r>
      <w:r>
        <w:t xml:space="preserve"> using Low-Rank Adaptation (LoRA) through LLaMA-Factory, merges the adapter into the base model, and evaluates the resulting label-generation pipeline. Saved outputs report 981 correct predictions out of 1,000, or 98.1% accuracy, with macro F1 of 0.981. A constrained multiple-choice baseline scores 20.9% accuracy and macro F1 of 0.151. The observed difference is 77.2 percentage points, subject to a material difference in prompts and decoding methods. This paper documents the implementation and supporting evidence, corrects the interpretation of historical class labels, and identifies missing configuration, data provenance, and calibration evidence. The result supports further evaluation of the prototype; it does not establish production readiness.</w:t>
      </w:r>
    </w:p>
    <w:p>
      <w:pPr>
        <w:widowControl/>
      </w:pPr>
      <w:r>
        <w:rPr>
          <w:b/>
        </w:rPr>
        <w:t>Keywords:</w:t>
      </w:r>
      <w:r>
        <w:t xml:space="preserve"> ticket classification, helpdesk routing, supervised fine-tuning, LoRA, Qwen3, parameter-efficient adaptation.</w:t>
      </w:r>
    </w:p>
    <w:p>
      <w:pPr>
        <w:pStyle w:val="Heading1"/>
        <w:widowControl/>
      </w:pPr>
      <w:r>
        <w:t>1 Problem statement and objectives</w:t>
      </w:r>
    </w:p>
    <w:p>
      <w:pPr>
        <w:widowControl/>
      </w:pPr>
      <w:r>
        <w:t>IT helpdesk routing maps a natural-language request to the team responsible for handling it. Requests can share vocabulary while requiring different queues: account access and shared-folder access, for example, need context beyond the word “access.” A router must select a consistent queue while making errors and ambiguous cases available for review.</w:t>
      </w:r>
    </w:p>
    <w:p>
      <w:pPr>
        <w:widowControl/>
      </w:pPr>
      <w:r>
        <w:t>The implemented task is single-label classification. Given ticket text x, the system returns one category y from seven labels. It does not generate customer responses, estimate urgency, resolve tickets, or dispatch webhooks. Those activities belong to a possible downstream service and are not implemented here.</w:t>
      </w:r>
    </w:p>
    <w:p>
      <w:pPr>
        <w:widowControl/>
      </w:pPr>
      <w:r>
        <w:t>The objectives are to build an end-to-end adaptation workflow, compare predictions with the unadapted base model, and examine per-class errors. The experiment asks whether this supervised pipeline improves routing on the supplied held-out dataset. It does not establish that a generative model is necessary or superior to all other classifiers.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44"/>
      </w:tblGrid>
      <w:tr>
        <w:trPr>
          <w:cantSplit/>
          <w:tblHeader/>
        </w:trPr>
        <w:tc>
          <w:tcPr>
            <w:tcW w:type="dxa" w:w="2448"/>
            <w:vAlign w:val="center"/>
            <w:shd w:fill="E8EEF4"/>
            <w:tcMar>
              <w:top w:w="65" w:type="dxa"/>
              <w:bottom w:w="65" w:type="dxa"/>
              <w:left w:w="95" w:type="dxa"/>
              <w:right w:w="95" w:type="dxa"/>
            </w:tcMar>
          </w:tcPr>
          <w:p>
            <w:pPr>
              <w:keepNext/>
              <w:spacing w:after="0" w:before="0" w:line="252" w:lineRule="auto"/>
            </w:pPr>
            <w:r>
              <w:rPr>
                <w:b/>
                <w:color w:val="000000"/>
                <w:sz w:val="19"/>
              </w:rPr>
              <w:t>Label</w:t>
            </w:r>
          </w:p>
        </w:tc>
        <w:tc>
          <w:tcPr>
            <w:tcW w:type="dxa" w:w="7344"/>
            <w:vAlign w:val="center"/>
            <w:shd w:fill="E8EEF4"/>
            <w:tcMar>
              <w:top w:w="65" w:type="dxa"/>
              <w:bottom w:w="65" w:type="dxa"/>
              <w:left w:w="95" w:type="dxa"/>
              <w:right w:w="95" w:type="dxa"/>
            </w:tcMar>
          </w:tcPr>
          <w:p>
            <w:pPr>
              <w:keepNext/>
              <w:spacing w:after="0" w:before="0" w:line="252" w:lineRule="auto"/>
            </w:pPr>
            <w:r>
              <w:rPr>
                <w:b/>
                <w:color w:val="000000"/>
                <w:sz w:val="19"/>
              </w:rPr>
              <w:t>Working queue description</w:t>
            </w:r>
          </w:p>
        </w:tc>
      </w:tr>
      <w:tr>
        <w:trPr>
          <w:cantSplit/>
        </w:trPr>
        <w:tc>
          <w:tcPr>
            <w:tcW w:type="dxa" w:w="2448"/>
            <w:vAlign w:val="center"/>
            <w:shd w:fill="FFFFFF"/>
            <w:tcMar>
              <w:top w:w="65" w:type="dxa"/>
              <w:bottom w:w="65" w:type="dxa"/>
              <w:left w:w="95" w:type="dxa"/>
              <w:right w:w="95" w:type="dxa"/>
            </w:tcMar>
          </w:tcPr>
          <w:p>
            <w:pPr>
              <w:spacing w:after="0" w:before="0" w:line="252" w:lineRule="auto"/>
            </w:pPr>
            <w:r>
              <w:rPr>
                <w:b w:val="0"/>
                <w:color w:val="000000"/>
                <w:sz w:val="19"/>
              </w:rPr>
              <w:t>Active Directory</w:t>
            </w:r>
          </w:p>
        </w:tc>
        <w:tc>
          <w:tcPr>
            <w:tcW w:type="dxa" w:w="7344"/>
            <w:vAlign w:val="center"/>
            <w:shd w:fill="FFFFFF"/>
            <w:tcMar>
              <w:top w:w="65" w:type="dxa"/>
              <w:bottom w:w="65" w:type="dxa"/>
              <w:left w:w="95" w:type="dxa"/>
              <w:right w:w="95" w:type="dxa"/>
            </w:tcMar>
          </w:tcPr>
          <w:p>
            <w:pPr>
              <w:spacing w:after="0" w:before="0" w:line="252" w:lineRule="auto"/>
            </w:pPr>
            <w:r>
              <w:rPr>
                <w:b w:val="0"/>
                <w:color w:val="000000"/>
                <w:sz w:val="19"/>
              </w:rPr>
              <w:t>User accounts, identity, login, and access workflows</w:t>
            </w:r>
          </w:p>
        </w:tc>
      </w:tr>
      <w:tr>
        <w:trPr>
          <w:cantSplit/>
        </w:trPr>
        <w:tc>
          <w:tcPr>
            <w:tcW w:type="dxa" w:w="2448"/>
            <w:vAlign w:val="center"/>
            <w:shd w:fill="F7F9FB"/>
            <w:tcMar>
              <w:top w:w="65" w:type="dxa"/>
              <w:bottom w:w="65" w:type="dxa"/>
              <w:left w:w="95" w:type="dxa"/>
              <w:right w:w="95" w:type="dxa"/>
            </w:tcMar>
          </w:tcPr>
          <w:p>
            <w:pPr>
              <w:spacing w:after="0" w:before="0" w:line="252" w:lineRule="auto"/>
            </w:pPr>
            <w:r>
              <w:rPr>
                <w:b w:val="0"/>
                <w:color w:val="000000"/>
                <w:sz w:val="19"/>
              </w:rPr>
              <w:t>Fileservice</w:t>
            </w:r>
          </w:p>
        </w:tc>
        <w:tc>
          <w:tcPr>
            <w:tcW w:type="dxa" w:w="7344"/>
            <w:vAlign w:val="center"/>
            <w:shd w:fill="F7F9FB"/>
            <w:tcMar>
              <w:top w:w="65" w:type="dxa"/>
              <w:bottom w:w="65" w:type="dxa"/>
              <w:left w:w="95" w:type="dxa"/>
              <w:right w:w="95" w:type="dxa"/>
            </w:tcMar>
          </w:tcPr>
          <w:p>
            <w:pPr>
              <w:spacing w:after="0" w:before="0" w:line="252" w:lineRule="auto"/>
            </w:pPr>
            <w:r>
              <w:rPr>
                <w:b w:val="0"/>
                <w:color w:val="000000"/>
                <w:sz w:val="19"/>
              </w:rPr>
              <w:t>Shared folders, file shares, and network drive permissions</w:t>
            </w:r>
          </w:p>
        </w:tc>
      </w:tr>
      <w:tr>
        <w:trPr>
          <w:cantSplit/>
        </w:trPr>
        <w:tc>
          <w:tcPr>
            <w:tcW w:type="dxa" w:w="2448"/>
            <w:vAlign w:val="center"/>
            <w:shd w:fill="FFFFFF"/>
            <w:tcMar>
              <w:top w:w="65" w:type="dxa"/>
              <w:bottom w:w="65" w:type="dxa"/>
              <w:left w:w="95" w:type="dxa"/>
              <w:right w:w="95" w:type="dxa"/>
            </w:tcMar>
          </w:tcPr>
          <w:p>
            <w:pPr>
              <w:spacing w:after="0" w:before="0" w:line="252" w:lineRule="auto"/>
            </w:pPr>
            <w:r>
              <w:rPr>
                <w:b w:val="0"/>
                <w:color w:val="000000"/>
                <w:sz w:val="19"/>
              </w:rPr>
              <w:t>O365</w:t>
            </w:r>
          </w:p>
        </w:tc>
        <w:tc>
          <w:tcPr>
            <w:tcW w:type="dxa" w:w="7344"/>
            <w:vAlign w:val="center"/>
            <w:shd w:fill="FFFFFF"/>
            <w:tcMar>
              <w:top w:w="65" w:type="dxa"/>
              <w:bottom w:w="65" w:type="dxa"/>
              <w:left w:w="95" w:type="dxa"/>
              <w:right w:w="95" w:type="dxa"/>
            </w:tcMar>
          </w:tcPr>
          <w:p>
            <w:pPr>
              <w:spacing w:after="0" w:before="0" w:line="252" w:lineRule="auto"/>
            </w:pPr>
            <w:r>
              <w:rPr>
                <w:b w:val="0"/>
                <w:color w:val="000000"/>
                <w:sz w:val="19"/>
              </w:rPr>
              <w:t>Outlook, Teams, OneDrive, and collaboration services</w:t>
            </w:r>
          </w:p>
        </w:tc>
      </w:tr>
      <w:tr>
        <w:trPr>
          <w:cantSplit/>
        </w:trPr>
        <w:tc>
          <w:tcPr>
            <w:tcW w:type="dxa" w:w="2448"/>
            <w:vAlign w:val="center"/>
            <w:shd w:fill="F7F9FB"/>
            <w:tcMar>
              <w:top w:w="65" w:type="dxa"/>
              <w:bottom w:w="65" w:type="dxa"/>
              <w:left w:w="95" w:type="dxa"/>
              <w:right w:w="95" w:type="dxa"/>
            </w:tcMar>
          </w:tcPr>
          <w:p>
            <w:pPr>
              <w:spacing w:after="0" w:before="0" w:line="252" w:lineRule="auto"/>
            </w:pPr>
            <w:r>
              <w:rPr>
                <w:b w:val="0"/>
                <w:color w:val="000000"/>
                <w:sz w:val="19"/>
              </w:rPr>
              <w:t>EOL</w:t>
            </w:r>
          </w:p>
        </w:tc>
        <w:tc>
          <w:tcPr>
            <w:tcW w:type="dxa" w:w="7344"/>
            <w:vAlign w:val="center"/>
            <w:shd w:fill="F7F9FB"/>
            <w:tcMar>
              <w:top w:w="65" w:type="dxa"/>
              <w:bottom w:w="65" w:type="dxa"/>
              <w:left w:w="95" w:type="dxa"/>
              <w:right w:w="95" w:type="dxa"/>
            </w:tcMar>
          </w:tcPr>
          <w:p>
            <w:pPr>
              <w:spacing w:after="0" w:before="0" w:line="252" w:lineRule="auto"/>
            </w:pPr>
            <w:r>
              <w:rPr>
                <w:b w:val="0"/>
                <w:color w:val="000000"/>
                <w:sz w:val="19"/>
              </w:rPr>
              <w:t>Retirement and decommissioning of servers</w:t>
            </w:r>
          </w:p>
        </w:tc>
      </w:tr>
      <w:tr>
        <w:trPr>
          <w:cantSplit/>
        </w:trPr>
        <w:tc>
          <w:tcPr>
            <w:tcW w:type="dxa" w:w="2448"/>
            <w:vAlign w:val="center"/>
            <w:shd w:fill="FFFFFF"/>
            <w:tcMar>
              <w:top w:w="65" w:type="dxa"/>
              <w:bottom w:w="65" w:type="dxa"/>
              <w:left w:w="95" w:type="dxa"/>
              <w:right w:w="95" w:type="dxa"/>
            </w:tcMar>
          </w:tcPr>
          <w:p>
            <w:pPr>
              <w:spacing w:after="0" w:before="0" w:line="252" w:lineRule="auto"/>
            </w:pPr>
            <w:r>
              <w:rPr>
                <w:b w:val="0"/>
                <w:color w:val="000000"/>
                <w:sz w:val="19"/>
              </w:rPr>
              <w:t>Software</w:t>
            </w:r>
          </w:p>
        </w:tc>
        <w:tc>
          <w:tcPr>
            <w:tcW w:type="dxa" w:w="7344"/>
            <w:vAlign w:val="center"/>
            <w:shd w:fill="FFFFFF"/>
            <w:tcMar>
              <w:top w:w="65" w:type="dxa"/>
              <w:bottom w:w="65" w:type="dxa"/>
              <w:left w:w="95" w:type="dxa"/>
              <w:right w:w="95" w:type="dxa"/>
            </w:tcMar>
          </w:tcPr>
          <w:p>
            <w:pPr>
              <w:spacing w:after="0" w:before="0" w:line="252" w:lineRule="auto"/>
            </w:pPr>
            <w:r>
              <w:rPr>
                <w:b w:val="0"/>
                <w:color w:val="000000"/>
                <w:sz w:val="19"/>
              </w:rPr>
              <w:t>Application installation, updates, and access</w:t>
            </w:r>
          </w:p>
        </w:tc>
      </w:tr>
      <w:tr>
        <w:trPr>
          <w:cantSplit/>
        </w:trPr>
        <w:tc>
          <w:tcPr>
            <w:tcW w:type="dxa" w:w="2448"/>
            <w:vAlign w:val="center"/>
            <w:shd w:fill="F7F9FB"/>
            <w:tcMar>
              <w:top w:w="65" w:type="dxa"/>
              <w:bottom w:w="65" w:type="dxa"/>
              <w:left w:w="95" w:type="dxa"/>
              <w:right w:w="95" w:type="dxa"/>
            </w:tcMar>
          </w:tcPr>
          <w:p>
            <w:pPr>
              <w:spacing w:after="0" w:before="0" w:line="252" w:lineRule="auto"/>
            </w:pPr>
            <w:r>
              <w:rPr>
                <w:b w:val="0"/>
                <w:color w:val="000000"/>
                <w:sz w:val="19"/>
              </w:rPr>
              <w:t>Computer-Services</w:t>
            </w:r>
          </w:p>
        </w:tc>
        <w:tc>
          <w:tcPr>
            <w:tcW w:type="dxa" w:w="7344"/>
            <w:vAlign w:val="center"/>
            <w:shd w:fill="F7F9FB"/>
            <w:tcMar>
              <w:top w:w="65" w:type="dxa"/>
              <w:bottom w:w="65" w:type="dxa"/>
              <w:left w:w="95" w:type="dxa"/>
              <w:right w:w="95" w:type="dxa"/>
            </w:tcMar>
          </w:tcPr>
          <w:p>
            <w:pPr>
              <w:spacing w:after="0" w:before="0" w:line="252" w:lineRule="auto"/>
            </w:pPr>
            <w:r>
              <w:rPr>
                <w:b w:val="0"/>
                <w:color w:val="000000"/>
                <w:sz w:val="19"/>
              </w:rPr>
              <w:t>Printers, scanners, drivers, and device support</w:t>
            </w:r>
          </w:p>
        </w:tc>
      </w:tr>
      <w:tr>
        <w:trPr>
          <w:cantSplit/>
        </w:trPr>
        <w:tc>
          <w:tcPr>
            <w:tcW w:type="dxa" w:w="2448"/>
            <w:vAlign w:val="center"/>
            <w:shd w:fill="FFFFFF"/>
            <w:tcMar>
              <w:top w:w="65" w:type="dxa"/>
              <w:bottom w:w="65" w:type="dxa"/>
              <w:left w:w="95" w:type="dxa"/>
              <w:right w:w="95" w:type="dxa"/>
            </w:tcMar>
          </w:tcPr>
          <w:p>
            <w:pPr>
              <w:spacing w:after="0" w:before="0" w:line="252" w:lineRule="auto"/>
            </w:pPr>
            <w:r>
              <w:rPr>
                <w:b w:val="0"/>
                <w:color w:val="000000"/>
                <w:sz w:val="19"/>
              </w:rPr>
              <w:t>Support general</w:t>
            </w:r>
          </w:p>
        </w:tc>
        <w:tc>
          <w:tcPr>
            <w:tcW w:type="dxa" w:w="7344"/>
            <w:vAlign w:val="center"/>
            <w:shd w:fill="FFFFFF"/>
            <w:tcMar>
              <w:top w:w="65" w:type="dxa"/>
              <w:bottom w:w="65" w:type="dxa"/>
              <w:left w:w="95" w:type="dxa"/>
              <w:right w:w="95" w:type="dxa"/>
            </w:tcMar>
          </w:tcPr>
          <w:p>
            <w:pPr>
              <w:spacing w:after="0" w:before="0" w:line="252" w:lineRule="auto"/>
            </w:pPr>
            <w:r>
              <w:rPr>
                <w:b w:val="0"/>
                <w:color w:val="000000"/>
                <w:sz w:val="19"/>
              </w:rPr>
              <w:t>General requests needing triage</w:t>
            </w:r>
          </w:p>
        </w:tc>
      </w:tr>
    </w:tbl>
    <w:p>
      <w:pPr>
        <w:widowControl/>
        <w:spacing w:after="20"/>
      </w:pPr>
    </w:p>
    <w:p>
      <w:pPr>
        <w:widowControl/>
      </w:pPr>
      <w:r>
        <w:t>These descriptions explain the intended taxonomy. A formal labeling policy, including boundaries between overlapping queues, is not available.</w:t>
      </w:r>
    </w:p>
    <w:p>
      <w:pPr>
        <w:pStyle w:val="Heading1"/>
        <w:widowControl/>
      </w:pPr>
      <w:r>
        <w:t>2 Technical background and design rationale</w:t>
      </w:r>
    </w:p>
    <w:p>
      <w:pPr>
        <w:widowControl/>
      </w:pPr>
      <w:r>
        <w:t xml:space="preserve">The selected checkpoint is </w:t>
      </w:r>
      <w:r>
        <w:rPr>
          <w:rFonts w:ascii="Consolas" w:hAnsi="Consolas"/>
          <w:sz w:val="18"/>
        </w:rPr>
        <w:t>Qwen/Qwen3-1.7B-Base</w:t>
      </w:r>
      <w:r>
        <w:t xml:space="preserve">. The notebook uses it as a causal language model whose output is a queue name. Its official model card supplies checkpoint identity and model details. See the </w:t>
      </w:r>
      <w:hyperlink r:id="rId14">
        <w:r>
          <w:rPr>
            <w:color w:val="175C97"/>
          </w:rPr>
          <w:t>Qwen model card</w:t>
        </w:r>
      </w:hyperlink>
      <w:r>
        <w:t>.</w:t>
      </w:r>
    </w:p>
    <w:p>
      <w:pPr>
        <w:widowControl/>
      </w:pPr>
      <w:r>
        <w:t xml:space="preserve">LoRA freezes pretrained weights and learns a low-rank update. For a weight matrix W of dimensions d by k, the conventional update is W_new = W + (alpha / r) BA. Here A has dimensions r by k, B has dimensions d by r, and r is the adapter rank. For each adapted matrix, r × (d + k) adapter entries are optimized instead of d × k base entries. The exact trainable-parameter count in this run cannot be calculated without its rank and target modules. See </w:t>
      </w:r>
      <w:hyperlink r:id="rId15">
        <w:r>
          <w:rPr>
            <w:color w:val="175C97"/>
          </w:rPr>
          <w:t>Hu et al., LoRA</w:t>
        </w:r>
      </w:hyperlink>
      <w:r>
        <w:t>.</w:t>
      </w:r>
    </w:p>
    <w:p>
      <w:pPr>
        <w:widowControl/>
      </w:pPr>
      <w:r>
        <w:t xml:space="preserve">LLaMA-Factory supplies dataset formatting and supervised training, while its LLaMA Board interface exposes training controls. The notebook registers ShareGPT-style message records using the conventions described in the </w:t>
      </w:r>
      <w:hyperlink r:id="rId16">
        <w:r>
          <w:rPr>
            <w:color w:val="175C97"/>
          </w:rPr>
          <w:t>LLaMA-Factory data documentation</w:t>
        </w:r>
      </w:hyperlink>
      <w:r>
        <w:t>.</w:t>
      </w:r>
    </w:p>
    <w:p>
      <w:pPr>
        <w:widowControl/>
      </w:pPr>
      <w:r>
        <w:t>A compact model may offer deployment flexibility, but the repository has no latency, memory, energy, or cost benchmark. TF-IDF classifiers, encoder classifiers, rules, and prompted instruction-tuned models are relevant comparisons that have not been evaluated.</w:t>
      </w:r>
    </w:p>
    <w:p>
      <w:pPr>
        <w:pStyle w:val="Heading1"/>
        <w:widowControl/>
      </w:pPr>
      <w:r>
        <w:t>3 Dataset and quality audit</w:t>
      </w:r>
    </w:p>
    <w:p>
      <w:pPr>
        <w:pStyle w:val="Heading2"/>
        <w:widowControl/>
      </w:pPr>
      <w:r>
        <w:t>3 1 Schema and observed properties</w:t>
      </w:r>
    </w:p>
    <w:p>
      <w:pPr>
        <w:widowControl/>
      </w:pPr>
      <w:r>
        <w:t xml:space="preserve">The supplied </w:t>
      </w:r>
      <w:r>
        <w:rPr>
          <w:rFonts w:ascii="Consolas" w:hAnsi="Consolas"/>
          <w:sz w:val="18"/>
        </w:rPr>
        <w:t>support_tickets.csv</w:t>
      </w:r>
      <w:r>
        <w:t xml:space="preserve"> has columns </w:t>
      </w:r>
      <w:r>
        <w:rPr>
          <w:rFonts w:ascii="Consolas" w:hAnsi="Consolas"/>
          <w:sz w:val="18"/>
        </w:rPr>
        <w:t>category_truth</w:t>
      </w:r>
      <w:r>
        <w:t xml:space="preserve">, the reference class, and </w:t>
      </w:r>
      <w:r>
        <w:rPr>
          <w:rFonts w:ascii="Consolas" w:hAnsi="Consolas"/>
          <w:sz w:val="18"/>
        </w:rPr>
        <w:t>text</w:t>
      </w:r>
      <w:r>
        <w:t xml:space="preserve">, the ticket description. The notebook renames the first column to </w:t>
      </w:r>
      <w:r>
        <w:rPr>
          <w:rFonts w:ascii="Consolas" w:hAnsi="Consolas"/>
          <w:sz w:val="18"/>
        </w:rPr>
        <w:t>label</w:t>
      </w:r>
      <w:r>
        <w:t>, filters to seven recognized labels, shuffles, and splits the rows.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5040"/>
      </w:tblGrid>
      <w:tr>
        <w:trPr>
          <w:cantSplit/>
          <w:tblHeader/>
        </w:trPr>
        <w:tc>
          <w:tcPr>
            <w:tcW w:type="dxa" w:w="4752"/>
            <w:vAlign w:val="center"/>
            <w:shd w:fill="E8EEF4"/>
            <w:tcMar>
              <w:top w:w="65" w:type="dxa"/>
              <w:bottom w:w="65" w:type="dxa"/>
              <w:left w:w="95" w:type="dxa"/>
              <w:right w:w="95" w:type="dxa"/>
            </w:tcMar>
          </w:tcPr>
          <w:p>
            <w:pPr>
              <w:keepNext/>
              <w:spacing w:after="0" w:before="0" w:line="252" w:lineRule="auto"/>
            </w:pPr>
            <w:r>
              <w:rPr>
                <w:b/>
                <w:color w:val="000000"/>
                <w:sz w:val="19"/>
              </w:rPr>
              <w:t>Property</w:t>
            </w:r>
          </w:p>
        </w:tc>
        <w:tc>
          <w:tcPr>
            <w:tcW w:type="dxa" w:w="5040"/>
            <w:vAlign w:val="center"/>
            <w:shd w:fill="E8EEF4"/>
            <w:tcMar>
              <w:top w:w="65" w:type="dxa"/>
              <w:bottom w:w="65" w:type="dxa"/>
              <w:left w:w="95" w:type="dxa"/>
              <w:right w:w="95" w:type="dxa"/>
            </w:tcMar>
          </w:tcPr>
          <w:p>
            <w:pPr>
              <w:keepNext/>
              <w:spacing w:after="0" w:before="0" w:line="252" w:lineRule="auto"/>
              <w:jc w:val="center"/>
            </w:pPr>
            <w:r>
              <w:rPr>
                <w:b/>
                <w:color w:val="000000"/>
                <w:sz w:val="19"/>
              </w:rPr>
              <w:t>Repository audit result</w:t>
            </w:r>
          </w:p>
        </w:tc>
      </w:tr>
      <w:tr>
        <w:trPr>
          <w:cantSplit/>
        </w:trPr>
        <w:tc>
          <w:tcPr>
            <w:tcW w:type="dxa" w:w="4752"/>
            <w:vAlign w:val="center"/>
            <w:shd w:fill="FFFFFF"/>
            <w:tcMar>
              <w:top w:w="65" w:type="dxa"/>
              <w:bottom w:w="65" w:type="dxa"/>
              <w:left w:w="95" w:type="dxa"/>
              <w:right w:w="95" w:type="dxa"/>
            </w:tcMar>
          </w:tcPr>
          <w:p>
            <w:pPr>
              <w:spacing w:after="0" w:before="0" w:line="252" w:lineRule="auto"/>
            </w:pPr>
            <w:r>
              <w:rPr>
                <w:b w:val="0"/>
                <w:color w:val="000000"/>
                <w:sz w:val="19"/>
              </w:rPr>
              <w:t>Rows</w:t>
            </w:r>
          </w:p>
        </w:tc>
        <w:tc>
          <w:tcPr>
            <w:tcW w:type="dxa" w:w="5040"/>
            <w:vAlign w:val="center"/>
            <w:shd w:fill="FFFFFF"/>
            <w:tcMar>
              <w:top w:w="65" w:type="dxa"/>
              <w:bottom w:w="65" w:type="dxa"/>
              <w:left w:w="95" w:type="dxa"/>
              <w:right w:w="95" w:type="dxa"/>
            </w:tcMar>
          </w:tcPr>
          <w:p>
            <w:pPr>
              <w:spacing w:after="0" w:before="0" w:line="252" w:lineRule="auto"/>
              <w:jc w:val="center"/>
            </w:pPr>
            <w:r>
              <w:rPr>
                <w:b w:val="0"/>
                <w:color w:val="000000"/>
                <w:sz w:val="19"/>
              </w:rPr>
              <w:t>5,000</w:t>
            </w:r>
          </w:p>
        </w:tc>
      </w:tr>
      <w:tr>
        <w:trPr>
          <w:cantSplit/>
        </w:trPr>
        <w:tc>
          <w:tcPr>
            <w:tcW w:type="dxa" w:w="4752"/>
            <w:vAlign w:val="center"/>
            <w:shd w:fill="F7F9FB"/>
            <w:tcMar>
              <w:top w:w="65" w:type="dxa"/>
              <w:bottom w:w="65" w:type="dxa"/>
              <w:left w:w="95" w:type="dxa"/>
              <w:right w:w="95" w:type="dxa"/>
            </w:tcMar>
          </w:tcPr>
          <w:p>
            <w:pPr>
              <w:spacing w:after="0" w:before="0" w:line="252" w:lineRule="auto"/>
            </w:pPr>
            <w:r>
              <w:rPr>
                <w:b w:val="0"/>
                <w:color w:val="000000"/>
                <w:sz w:val="19"/>
              </w:rPr>
              <w:t>Classes</w:t>
            </w:r>
          </w:p>
        </w:tc>
        <w:tc>
          <w:tcPr>
            <w:tcW w:type="dxa" w:w="5040"/>
            <w:vAlign w:val="center"/>
            <w:shd w:fill="F7F9FB"/>
            <w:tcMar>
              <w:top w:w="65" w:type="dxa"/>
              <w:bottom w:w="65" w:type="dxa"/>
              <w:left w:w="95" w:type="dxa"/>
              <w:right w:w="95" w:type="dxa"/>
            </w:tcMar>
          </w:tcPr>
          <w:p>
            <w:pPr>
              <w:spacing w:after="0" w:before="0" w:line="252" w:lineRule="auto"/>
              <w:jc w:val="center"/>
            </w:pPr>
            <w:r>
              <w:rPr>
                <w:b w:val="0"/>
                <w:color w:val="000000"/>
                <w:sz w:val="19"/>
              </w:rPr>
              <w:t>7</w:t>
            </w:r>
          </w:p>
        </w:tc>
      </w:tr>
      <w:tr>
        <w:trPr>
          <w:cantSplit/>
        </w:trPr>
        <w:tc>
          <w:tcPr>
            <w:tcW w:type="dxa" w:w="4752"/>
            <w:vAlign w:val="center"/>
            <w:shd w:fill="FFFFFF"/>
            <w:tcMar>
              <w:top w:w="65" w:type="dxa"/>
              <w:bottom w:w="65" w:type="dxa"/>
              <w:left w:w="95" w:type="dxa"/>
              <w:right w:w="95" w:type="dxa"/>
            </w:tcMar>
          </w:tcPr>
          <w:p>
            <w:pPr>
              <w:spacing w:after="0" w:before="0" w:line="252" w:lineRule="auto"/>
            </w:pPr>
            <w:r>
              <w:rPr>
                <w:b w:val="0"/>
                <w:color w:val="000000"/>
                <w:sz w:val="19"/>
              </w:rPr>
              <w:t>Empty or whitespace-only texts</w:t>
            </w:r>
          </w:p>
        </w:tc>
        <w:tc>
          <w:tcPr>
            <w:tcW w:type="dxa" w:w="5040"/>
            <w:vAlign w:val="center"/>
            <w:shd w:fill="FFFFFF"/>
            <w:tcMar>
              <w:top w:w="65" w:type="dxa"/>
              <w:bottom w:w="65" w:type="dxa"/>
              <w:left w:w="95" w:type="dxa"/>
              <w:right w:w="95" w:type="dxa"/>
            </w:tcMar>
          </w:tcPr>
          <w:p>
            <w:pPr>
              <w:spacing w:after="0" w:before="0" w:line="252" w:lineRule="auto"/>
              <w:jc w:val="center"/>
            </w:pPr>
            <w:r>
              <w:rPr>
                <w:b w:val="0"/>
                <w:color w:val="000000"/>
                <w:sz w:val="19"/>
              </w:rPr>
              <w:t>0</w:t>
            </w:r>
          </w:p>
        </w:tc>
      </w:tr>
      <w:tr>
        <w:trPr>
          <w:cantSplit/>
        </w:trPr>
        <w:tc>
          <w:tcPr>
            <w:tcW w:type="dxa" w:w="4752"/>
            <w:vAlign w:val="center"/>
            <w:shd w:fill="F7F9FB"/>
            <w:tcMar>
              <w:top w:w="65" w:type="dxa"/>
              <w:bottom w:w="65" w:type="dxa"/>
              <w:left w:w="95" w:type="dxa"/>
              <w:right w:w="95" w:type="dxa"/>
            </w:tcMar>
          </w:tcPr>
          <w:p>
            <w:pPr>
              <w:spacing w:after="0" w:before="0" w:line="252" w:lineRule="auto"/>
            </w:pPr>
            <w:r>
              <w:rPr>
                <w:b w:val="0"/>
                <w:color w:val="000000"/>
                <w:sz w:val="19"/>
              </w:rPr>
              <w:t>Unique exact texts</w:t>
            </w:r>
          </w:p>
        </w:tc>
        <w:tc>
          <w:tcPr>
            <w:tcW w:type="dxa" w:w="5040"/>
            <w:vAlign w:val="center"/>
            <w:shd w:fill="F7F9FB"/>
            <w:tcMar>
              <w:top w:w="65" w:type="dxa"/>
              <w:bottom w:w="65" w:type="dxa"/>
              <w:left w:w="95" w:type="dxa"/>
              <w:right w:w="95" w:type="dxa"/>
            </w:tcMar>
          </w:tcPr>
          <w:p>
            <w:pPr>
              <w:spacing w:after="0" w:before="0" w:line="252" w:lineRule="auto"/>
              <w:jc w:val="center"/>
            </w:pPr>
            <w:r>
              <w:rPr>
                <w:b w:val="0"/>
                <w:color w:val="000000"/>
                <w:sz w:val="19"/>
              </w:rPr>
              <w:t>5,000</w:t>
            </w:r>
          </w:p>
        </w:tc>
      </w:tr>
      <w:tr>
        <w:trPr>
          <w:cantSplit/>
        </w:trPr>
        <w:tc>
          <w:tcPr>
            <w:tcW w:type="dxa" w:w="4752"/>
            <w:vAlign w:val="center"/>
            <w:shd w:fill="FFFFFF"/>
            <w:tcMar>
              <w:top w:w="65" w:type="dxa"/>
              <w:bottom w:w="65" w:type="dxa"/>
              <w:left w:w="95" w:type="dxa"/>
              <w:right w:w="95" w:type="dxa"/>
            </w:tcMar>
          </w:tcPr>
          <w:p>
            <w:pPr>
              <w:spacing w:after="0" w:before="0" w:line="252" w:lineRule="auto"/>
            </w:pPr>
            <w:r>
              <w:rPr>
                <w:b w:val="0"/>
                <w:color w:val="000000"/>
                <w:sz w:val="19"/>
              </w:rPr>
              <w:t>Unique texts after lowercasing and collapsing whitespace</w:t>
            </w:r>
          </w:p>
        </w:tc>
        <w:tc>
          <w:tcPr>
            <w:tcW w:type="dxa" w:w="5040"/>
            <w:vAlign w:val="center"/>
            <w:shd w:fill="FFFFFF"/>
            <w:tcMar>
              <w:top w:w="65" w:type="dxa"/>
              <w:bottom w:w="65" w:type="dxa"/>
              <w:left w:w="95" w:type="dxa"/>
              <w:right w:w="95" w:type="dxa"/>
            </w:tcMar>
          </w:tcPr>
          <w:p>
            <w:pPr>
              <w:spacing w:after="0" w:before="0" w:line="252" w:lineRule="auto"/>
              <w:jc w:val="center"/>
            </w:pPr>
            <w:r>
              <w:rPr>
                <w:b w:val="0"/>
                <w:color w:val="000000"/>
                <w:sz w:val="19"/>
              </w:rPr>
              <w:t>5,000</w:t>
            </w:r>
          </w:p>
        </w:tc>
      </w:tr>
      <w:tr>
        <w:trPr>
          <w:cantSplit/>
        </w:trPr>
        <w:tc>
          <w:tcPr>
            <w:tcW w:type="dxa" w:w="4752"/>
            <w:vAlign w:val="center"/>
            <w:shd w:fill="F7F9FB"/>
            <w:tcMar>
              <w:top w:w="65" w:type="dxa"/>
              <w:bottom w:w="65" w:type="dxa"/>
              <w:left w:w="95" w:type="dxa"/>
              <w:right w:w="95" w:type="dxa"/>
            </w:tcMar>
          </w:tcPr>
          <w:p>
            <w:pPr>
              <w:spacing w:after="0" w:before="0" w:line="252" w:lineRule="auto"/>
            </w:pPr>
            <w:r>
              <w:rPr>
                <w:b w:val="0"/>
                <w:color w:val="000000"/>
                <w:sz w:val="19"/>
              </w:rPr>
              <w:t>Mean length in characters</w:t>
            </w:r>
          </w:p>
        </w:tc>
        <w:tc>
          <w:tcPr>
            <w:tcW w:type="dxa" w:w="5040"/>
            <w:vAlign w:val="center"/>
            <w:shd w:fill="F7F9FB"/>
            <w:tcMar>
              <w:top w:w="65" w:type="dxa"/>
              <w:bottom w:w="65" w:type="dxa"/>
              <w:left w:w="95" w:type="dxa"/>
              <w:right w:w="95" w:type="dxa"/>
            </w:tcMar>
          </w:tcPr>
          <w:p>
            <w:pPr>
              <w:spacing w:after="0" w:before="0" w:line="252" w:lineRule="auto"/>
              <w:jc w:val="center"/>
            </w:pPr>
            <w:r>
              <w:rPr>
                <w:b w:val="0"/>
                <w:color w:val="000000"/>
                <w:sz w:val="19"/>
              </w:rPr>
              <w:t>175.7894</w:t>
            </w:r>
          </w:p>
        </w:tc>
      </w:tr>
      <w:tr>
        <w:trPr>
          <w:cantSplit/>
        </w:trPr>
        <w:tc>
          <w:tcPr>
            <w:tcW w:type="dxa" w:w="4752"/>
            <w:vAlign w:val="center"/>
            <w:shd w:fill="FFFFFF"/>
            <w:tcMar>
              <w:top w:w="65" w:type="dxa"/>
              <w:bottom w:w="65" w:type="dxa"/>
              <w:left w:w="95" w:type="dxa"/>
              <w:right w:w="95" w:type="dxa"/>
            </w:tcMar>
          </w:tcPr>
          <w:p>
            <w:pPr>
              <w:spacing w:after="0" w:before="0" w:line="252" w:lineRule="auto"/>
            </w:pPr>
            <w:r>
              <w:rPr>
                <w:b w:val="0"/>
                <w:color w:val="000000"/>
                <w:sz w:val="19"/>
              </w:rPr>
              <w:t>Minimum length in characters</w:t>
            </w:r>
          </w:p>
        </w:tc>
        <w:tc>
          <w:tcPr>
            <w:tcW w:type="dxa" w:w="5040"/>
            <w:vAlign w:val="center"/>
            <w:shd w:fill="FFFFFF"/>
            <w:tcMar>
              <w:top w:w="65" w:type="dxa"/>
              <w:bottom w:w="65" w:type="dxa"/>
              <w:left w:w="95" w:type="dxa"/>
              <w:right w:w="95" w:type="dxa"/>
            </w:tcMar>
          </w:tcPr>
          <w:p>
            <w:pPr>
              <w:spacing w:after="0" w:before="0" w:line="252" w:lineRule="auto"/>
              <w:jc w:val="center"/>
            </w:pPr>
            <w:r>
              <w:rPr>
                <w:b w:val="0"/>
                <w:color w:val="000000"/>
                <w:sz w:val="19"/>
              </w:rPr>
              <w:t>72</w:t>
            </w:r>
          </w:p>
        </w:tc>
      </w:tr>
      <w:tr>
        <w:trPr>
          <w:cantSplit/>
        </w:trPr>
        <w:tc>
          <w:tcPr>
            <w:tcW w:type="dxa" w:w="4752"/>
            <w:vAlign w:val="center"/>
            <w:shd w:fill="F7F9FB"/>
            <w:tcMar>
              <w:top w:w="65" w:type="dxa"/>
              <w:bottom w:w="65" w:type="dxa"/>
              <w:left w:w="95" w:type="dxa"/>
              <w:right w:w="95" w:type="dxa"/>
            </w:tcMar>
          </w:tcPr>
          <w:p>
            <w:pPr>
              <w:spacing w:after="0" w:before="0" w:line="252" w:lineRule="auto"/>
            </w:pPr>
            <w:r>
              <w:rPr>
                <w:b w:val="0"/>
                <w:color w:val="000000"/>
                <w:sz w:val="19"/>
              </w:rPr>
              <w:t>Maximum length in characters</w:t>
            </w:r>
          </w:p>
        </w:tc>
        <w:tc>
          <w:tcPr>
            <w:tcW w:type="dxa" w:w="5040"/>
            <w:vAlign w:val="center"/>
            <w:shd w:fill="F7F9FB"/>
            <w:tcMar>
              <w:top w:w="65" w:type="dxa"/>
              <w:bottom w:w="65" w:type="dxa"/>
              <w:left w:w="95" w:type="dxa"/>
              <w:right w:w="95" w:type="dxa"/>
            </w:tcMar>
          </w:tcPr>
          <w:p>
            <w:pPr>
              <w:spacing w:after="0" w:before="0" w:line="252" w:lineRule="auto"/>
              <w:jc w:val="center"/>
            </w:pPr>
            <w:r>
              <w:rPr>
                <w:b w:val="0"/>
                <w:color w:val="000000"/>
                <w:sz w:val="19"/>
              </w:rPr>
              <w:t>492</w:t>
            </w:r>
          </w:p>
        </w:tc>
      </w:tr>
    </w:tbl>
    <w:p>
      <w:pPr>
        <w:widowControl/>
        <w:spacing w:after="20"/>
      </w:pPr>
    </w:p>
    <w:p>
      <w:pPr>
        <w:widowControl/>
      </w:pPr>
      <w:r>
        <w:t xml:space="preserve">Texts include placeholders such as </w:t>
      </w:r>
      <w:r>
        <w:rPr>
          <w:rFonts w:ascii="Consolas" w:hAnsi="Consolas"/>
          <w:sz w:val="18"/>
        </w:rPr>
        <w:t>[NAME]</w:t>
      </w:r>
      <w:r>
        <w:t xml:space="preserve">, </w:t>
      </w:r>
      <w:r>
        <w:rPr>
          <w:rFonts w:ascii="Consolas" w:hAnsi="Consolas"/>
          <w:sz w:val="18"/>
        </w:rPr>
        <w:t>[LOCATION]</w:t>
      </w:r>
      <w:r>
        <w:t xml:space="preserve">, </w:t>
      </w:r>
      <w:r>
        <w:rPr>
          <w:rFonts w:ascii="Consolas" w:hAnsi="Consolas"/>
          <w:sz w:val="18"/>
        </w:rPr>
        <w:t>[TICKET ID]</w:t>
      </w:r>
      <w:r>
        <w:t xml:space="preserve">, </w:t>
      </w:r>
      <w:r>
        <w:rPr>
          <w:rFonts w:ascii="Consolas" w:hAnsi="Consolas"/>
          <w:sz w:val="18"/>
        </w:rPr>
        <w:t>[SERVER]</w:t>
      </w:r>
      <w:r>
        <w:t xml:space="preserve">, and </w:t>
      </w:r>
      <w:r>
        <w:rPr>
          <w:rFonts w:ascii="Consolas" w:hAnsi="Consolas"/>
          <w:sz w:val="18"/>
        </w:rPr>
        <w:t>[USERNAME]</w:t>
      </w:r>
      <w:r>
        <w:t>. These suggest some identifiers were replaced, but do not establish complete anonymization. The repository does not document the original source, collection dates, annotation process, annotator agreement, or whether texts were generated, rewritten, or collected from operational tickets. No dataset license is supplied.</w:t>
      </w:r>
    </w:p>
    <w:p>
      <w:pPr>
        <w:widowControl/>
      </w:pPr>
      <w:r>
        <w:t>Exact and simple normalized uniqueness do not establish semantic independence. Different phrasings of the same template or incident may occur across partitions. Source, user, incident, and timestamp fields are unavailable for a grouped or temporal split.</w:t>
      </w:r>
    </w:p>
    <w:p>
      <w:pPr>
        <w:pStyle w:val="Heading2"/>
        <w:widowControl/>
      </w:pPr>
      <w:r>
        <w:t>3 2 Class distribution and partitioning</w:t>
      </w:r>
    </w:p>
    <w:p>
      <w:pPr>
        <w:widowControl/>
      </w:pPr>
      <w:r>
        <w:t xml:space="preserve">The code first calls </w:t>
      </w:r>
      <w:r>
        <w:rPr>
          <w:rFonts w:ascii="Consolas" w:hAnsi="Consolas"/>
          <w:sz w:val="18"/>
        </w:rPr>
        <w:t>sample(frac=1, random_state=42)</w:t>
      </w:r>
      <w:r>
        <w:t xml:space="preserve">, then </w:t>
      </w:r>
      <w:r>
        <w:rPr>
          <w:rFonts w:ascii="Consolas" w:hAnsi="Consolas"/>
          <w:sz w:val="18"/>
        </w:rPr>
        <w:t>train_test_split(test_size=0.2, stratify=df["label"], random_state=42)</w:t>
      </w:r>
      <w:r>
        <w:t>. Both operations matter when reconstructing the same partition. The split counts are recorded in the notebook and agree with dataset totals and evaluation supports.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800"/>
        <w:gridCol w:w="2016"/>
        <w:gridCol w:w="2376"/>
      </w:tblGrid>
      <w:tr>
        <w:trPr>
          <w:cantSplit/>
          <w:tblHeader/>
        </w:trPr>
        <w:tc>
          <w:tcPr>
            <w:tcW w:type="dxa" w:w="3600"/>
            <w:vAlign w:val="center"/>
            <w:shd w:fill="E8EEF4"/>
            <w:tcMar>
              <w:top w:w="65" w:type="dxa"/>
              <w:bottom w:w="65" w:type="dxa"/>
              <w:left w:w="95" w:type="dxa"/>
              <w:right w:w="95" w:type="dxa"/>
            </w:tcMar>
          </w:tcPr>
          <w:p>
            <w:pPr>
              <w:keepNext/>
              <w:spacing w:after="0" w:before="0" w:line="252" w:lineRule="auto"/>
            </w:pPr>
            <w:r>
              <w:rPr>
                <w:b/>
                <w:color w:val="000000"/>
                <w:sz w:val="19"/>
              </w:rPr>
              <w:t>Class</w:t>
            </w:r>
          </w:p>
        </w:tc>
        <w:tc>
          <w:tcPr>
            <w:tcW w:type="dxa" w:w="1800"/>
            <w:vAlign w:val="center"/>
            <w:shd w:fill="E8EEF4"/>
            <w:tcMar>
              <w:top w:w="65" w:type="dxa"/>
              <w:bottom w:w="65" w:type="dxa"/>
              <w:left w:w="95" w:type="dxa"/>
              <w:right w:w="95" w:type="dxa"/>
            </w:tcMar>
          </w:tcPr>
          <w:p>
            <w:pPr>
              <w:keepNext/>
              <w:spacing w:after="0" w:before="0" w:line="252" w:lineRule="auto"/>
              <w:jc w:val="center"/>
            </w:pPr>
            <w:r>
              <w:rPr>
                <w:b/>
                <w:color w:val="000000"/>
                <w:sz w:val="19"/>
              </w:rPr>
              <w:t>Full dataset</w:t>
            </w:r>
          </w:p>
        </w:tc>
        <w:tc>
          <w:tcPr>
            <w:tcW w:type="dxa" w:w="2016"/>
            <w:vAlign w:val="center"/>
            <w:shd w:fill="E8EEF4"/>
            <w:tcMar>
              <w:top w:w="65" w:type="dxa"/>
              <w:bottom w:w="65" w:type="dxa"/>
              <w:left w:w="95" w:type="dxa"/>
              <w:right w:w="95" w:type="dxa"/>
            </w:tcMar>
          </w:tcPr>
          <w:p>
            <w:pPr>
              <w:keepNext/>
              <w:spacing w:after="0" w:before="0" w:line="252" w:lineRule="auto"/>
              <w:jc w:val="center"/>
            </w:pPr>
            <w:r>
              <w:rPr>
                <w:b/>
                <w:color w:val="000000"/>
                <w:sz w:val="19"/>
              </w:rPr>
              <w:t>Training pool</w:t>
            </w:r>
          </w:p>
        </w:tc>
        <w:tc>
          <w:tcPr>
            <w:tcW w:type="dxa" w:w="2376"/>
            <w:vAlign w:val="center"/>
            <w:shd w:fill="E8EEF4"/>
            <w:tcMar>
              <w:top w:w="65" w:type="dxa"/>
              <w:bottom w:w="65" w:type="dxa"/>
              <w:left w:w="95" w:type="dxa"/>
              <w:right w:w="95" w:type="dxa"/>
            </w:tcMar>
          </w:tcPr>
          <w:p>
            <w:pPr>
              <w:keepNext/>
              <w:spacing w:after="0" w:before="0" w:line="252" w:lineRule="auto"/>
              <w:jc w:val="center"/>
            </w:pPr>
            <w:r>
              <w:rPr>
                <w:b/>
                <w:color w:val="000000"/>
                <w:sz w:val="19"/>
              </w:rPr>
              <w:t>Held-out evaluation</w:t>
            </w:r>
          </w:p>
        </w:tc>
      </w:tr>
      <w:tr>
        <w:trPr>
          <w:cantSplit/>
        </w:trPr>
        <w:tc>
          <w:tcPr>
            <w:tcW w:type="dxa" w:w="3600"/>
            <w:vAlign w:val="center"/>
            <w:shd w:fill="FFFFFF"/>
            <w:tcMar>
              <w:top w:w="65" w:type="dxa"/>
              <w:bottom w:w="65" w:type="dxa"/>
              <w:left w:w="95" w:type="dxa"/>
              <w:right w:w="95" w:type="dxa"/>
            </w:tcMar>
          </w:tcPr>
          <w:p>
            <w:pPr>
              <w:spacing w:after="0" w:before="0" w:line="252" w:lineRule="auto"/>
            </w:pPr>
            <w:r>
              <w:rPr>
                <w:b w:val="0"/>
                <w:color w:val="000000"/>
                <w:sz w:val="19"/>
              </w:rPr>
              <w:t>Active Directory</w:t>
            </w:r>
          </w:p>
        </w:tc>
        <w:tc>
          <w:tcPr>
            <w:tcW w:type="dxa" w:w="1800"/>
            <w:vAlign w:val="center"/>
            <w:shd w:fill="FFFFFF"/>
            <w:tcMar>
              <w:top w:w="65" w:type="dxa"/>
              <w:bottom w:w="65" w:type="dxa"/>
              <w:left w:w="95" w:type="dxa"/>
              <w:right w:w="95" w:type="dxa"/>
            </w:tcMar>
          </w:tcPr>
          <w:p>
            <w:pPr>
              <w:spacing w:after="0" w:before="0" w:line="252" w:lineRule="auto"/>
              <w:jc w:val="center"/>
            </w:pPr>
            <w:r>
              <w:rPr>
                <w:b w:val="0"/>
                <w:color w:val="000000"/>
                <w:sz w:val="19"/>
              </w:rPr>
              <w:t>715</w:t>
            </w:r>
          </w:p>
        </w:tc>
        <w:tc>
          <w:tcPr>
            <w:tcW w:type="dxa" w:w="2016"/>
            <w:vAlign w:val="center"/>
            <w:shd w:fill="FFFFFF"/>
            <w:tcMar>
              <w:top w:w="65" w:type="dxa"/>
              <w:bottom w:w="65" w:type="dxa"/>
              <w:left w:w="95" w:type="dxa"/>
              <w:right w:w="95" w:type="dxa"/>
            </w:tcMar>
          </w:tcPr>
          <w:p>
            <w:pPr>
              <w:spacing w:after="0" w:before="0" w:line="252" w:lineRule="auto"/>
              <w:jc w:val="center"/>
            </w:pPr>
            <w:r>
              <w:rPr>
                <w:b w:val="0"/>
                <w:color w:val="000000"/>
                <w:sz w:val="19"/>
              </w:rPr>
              <w:t>572</w:t>
            </w:r>
          </w:p>
        </w:tc>
        <w:tc>
          <w:tcPr>
            <w:tcW w:type="dxa" w:w="2376"/>
            <w:vAlign w:val="center"/>
            <w:shd w:fill="FFFFFF"/>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600"/>
            <w:vAlign w:val="center"/>
            <w:shd w:fill="F7F9FB"/>
            <w:tcMar>
              <w:top w:w="65" w:type="dxa"/>
              <w:bottom w:w="65" w:type="dxa"/>
              <w:left w:w="95" w:type="dxa"/>
              <w:right w:w="95" w:type="dxa"/>
            </w:tcMar>
          </w:tcPr>
          <w:p>
            <w:pPr>
              <w:spacing w:after="0" w:before="0" w:line="252" w:lineRule="auto"/>
            </w:pPr>
            <w:r>
              <w:rPr>
                <w:b w:val="0"/>
                <w:color w:val="000000"/>
                <w:sz w:val="19"/>
              </w:rPr>
              <w:t>Computer-Services</w:t>
            </w:r>
          </w:p>
        </w:tc>
        <w:tc>
          <w:tcPr>
            <w:tcW w:type="dxa" w:w="1800"/>
            <w:vAlign w:val="center"/>
            <w:shd w:fill="F7F9FB"/>
            <w:tcMar>
              <w:top w:w="65" w:type="dxa"/>
              <w:bottom w:w="65" w:type="dxa"/>
              <w:left w:w="95" w:type="dxa"/>
              <w:right w:w="95" w:type="dxa"/>
            </w:tcMar>
          </w:tcPr>
          <w:p>
            <w:pPr>
              <w:spacing w:after="0" w:before="0" w:line="252" w:lineRule="auto"/>
              <w:jc w:val="center"/>
            </w:pPr>
            <w:r>
              <w:rPr>
                <w:b w:val="0"/>
                <w:color w:val="000000"/>
                <w:sz w:val="19"/>
              </w:rPr>
              <w:t>714</w:t>
            </w:r>
          </w:p>
        </w:tc>
        <w:tc>
          <w:tcPr>
            <w:tcW w:type="dxa" w:w="2016"/>
            <w:vAlign w:val="center"/>
            <w:shd w:fill="F7F9FB"/>
            <w:tcMar>
              <w:top w:w="65" w:type="dxa"/>
              <w:bottom w:w="65" w:type="dxa"/>
              <w:left w:w="95" w:type="dxa"/>
              <w:right w:w="95" w:type="dxa"/>
            </w:tcMar>
          </w:tcPr>
          <w:p>
            <w:pPr>
              <w:spacing w:after="0" w:before="0" w:line="252" w:lineRule="auto"/>
              <w:jc w:val="center"/>
            </w:pPr>
            <w:r>
              <w:rPr>
                <w:b w:val="0"/>
                <w:color w:val="000000"/>
                <w:sz w:val="19"/>
              </w:rPr>
              <w:t>571</w:t>
            </w:r>
          </w:p>
        </w:tc>
        <w:tc>
          <w:tcPr>
            <w:tcW w:type="dxa" w:w="2376"/>
            <w:vAlign w:val="center"/>
            <w:shd w:fill="F7F9FB"/>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600"/>
            <w:vAlign w:val="center"/>
            <w:shd w:fill="FFFFFF"/>
            <w:tcMar>
              <w:top w:w="65" w:type="dxa"/>
              <w:bottom w:w="65" w:type="dxa"/>
              <w:left w:w="95" w:type="dxa"/>
              <w:right w:w="95" w:type="dxa"/>
            </w:tcMar>
          </w:tcPr>
          <w:p>
            <w:pPr>
              <w:spacing w:after="0" w:before="0" w:line="252" w:lineRule="auto"/>
            </w:pPr>
            <w:r>
              <w:rPr>
                <w:b w:val="0"/>
                <w:color w:val="000000"/>
                <w:sz w:val="19"/>
              </w:rPr>
              <w:t>EOL</w:t>
            </w:r>
          </w:p>
        </w:tc>
        <w:tc>
          <w:tcPr>
            <w:tcW w:type="dxa" w:w="1800"/>
            <w:vAlign w:val="center"/>
            <w:shd w:fill="FFFFFF"/>
            <w:tcMar>
              <w:top w:w="65" w:type="dxa"/>
              <w:bottom w:w="65" w:type="dxa"/>
              <w:left w:w="95" w:type="dxa"/>
              <w:right w:w="95" w:type="dxa"/>
            </w:tcMar>
          </w:tcPr>
          <w:p>
            <w:pPr>
              <w:spacing w:after="0" w:before="0" w:line="252" w:lineRule="auto"/>
              <w:jc w:val="center"/>
            </w:pPr>
            <w:r>
              <w:rPr>
                <w:b w:val="0"/>
                <w:color w:val="000000"/>
                <w:sz w:val="19"/>
              </w:rPr>
              <w:t>714</w:t>
            </w:r>
          </w:p>
        </w:tc>
        <w:tc>
          <w:tcPr>
            <w:tcW w:type="dxa" w:w="2016"/>
            <w:vAlign w:val="center"/>
            <w:shd w:fill="FFFFFF"/>
            <w:tcMar>
              <w:top w:w="65" w:type="dxa"/>
              <w:bottom w:w="65" w:type="dxa"/>
              <w:left w:w="95" w:type="dxa"/>
              <w:right w:w="95" w:type="dxa"/>
            </w:tcMar>
          </w:tcPr>
          <w:p>
            <w:pPr>
              <w:spacing w:after="0" w:before="0" w:line="252" w:lineRule="auto"/>
              <w:jc w:val="center"/>
            </w:pPr>
            <w:r>
              <w:rPr>
                <w:b w:val="0"/>
                <w:color w:val="000000"/>
                <w:sz w:val="19"/>
              </w:rPr>
              <w:t>572</w:t>
            </w:r>
          </w:p>
        </w:tc>
        <w:tc>
          <w:tcPr>
            <w:tcW w:type="dxa" w:w="2376"/>
            <w:vAlign w:val="center"/>
            <w:shd w:fill="FFFFFF"/>
            <w:tcMar>
              <w:top w:w="65" w:type="dxa"/>
              <w:bottom w:w="65" w:type="dxa"/>
              <w:left w:w="95" w:type="dxa"/>
              <w:right w:w="95" w:type="dxa"/>
            </w:tcMar>
          </w:tcPr>
          <w:p>
            <w:pPr>
              <w:spacing w:after="0" w:before="0" w:line="252" w:lineRule="auto"/>
              <w:jc w:val="center"/>
            </w:pPr>
            <w:r>
              <w:rPr>
                <w:b w:val="0"/>
                <w:color w:val="000000"/>
                <w:sz w:val="19"/>
              </w:rPr>
              <w:t>142</w:t>
            </w:r>
          </w:p>
        </w:tc>
      </w:tr>
      <w:tr>
        <w:trPr>
          <w:cantSplit/>
        </w:trPr>
        <w:tc>
          <w:tcPr>
            <w:tcW w:type="dxa" w:w="3600"/>
            <w:vAlign w:val="center"/>
            <w:shd w:fill="F7F9FB"/>
            <w:tcMar>
              <w:top w:w="65" w:type="dxa"/>
              <w:bottom w:w="65" w:type="dxa"/>
              <w:left w:w="95" w:type="dxa"/>
              <w:right w:w="95" w:type="dxa"/>
            </w:tcMar>
          </w:tcPr>
          <w:p>
            <w:pPr>
              <w:spacing w:after="0" w:before="0" w:line="252" w:lineRule="auto"/>
            </w:pPr>
            <w:r>
              <w:rPr>
                <w:b w:val="0"/>
                <w:color w:val="000000"/>
                <w:sz w:val="19"/>
              </w:rPr>
              <w:t>Fileservice</w:t>
            </w:r>
          </w:p>
        </w:tc>
        <w:tc>
          <w:tcPr>
            <w:tcW w:type="dxa" w:w="1800"/>
            <w:vAlign w:val="center"/>
            <w:shd w:fill="F7F9FB"/>
            <w:tcMar>
              <w:top w:w="65" w:type="dxa"/>
              <w:bottom w:w="65" w:type="dxa"/>
              <w:left w:w="95" w:type="dxa"/>
              <w:right w:w="95" w:type="dxa"/>
            </w:tcMar>
          </w:tcPr>
          <w:p>
            <w:pPr>
              <w:spacing w:after="0" w:before="0" w:line="252" w:lineRule="auto"/>
              <w:jc w:val="center"/>
            </w:pPr>
            <w:r>
              <w:rPr>
                <w:b w:val="0"/>
                <w:color w:val="000000"/>
                <w:sz w:val="19"/>
              </w:rPr>
              <w:t>714</w:t>
            </w:r>
          </w:p>
        </w:tc>
        <w:tc>
          <w:tcPr>
            <w:tcW w:type="dxa" w:w="2016"/>
            <w:vAlign w:val="center"/>
            <w:shd w:fill="F7F9FB"/>
            <w:tcMar>
              <w:top w:w="65" w:type="dxa"/>
              <w:bottom w:w="65" w:type="dxa"/>
              <w:left w:w="95" w:type="dxa"/>
              <w:right w:w="95" w:type="dxa"/>
            </w:tcMar>
          </w:tcPr>
          <w:p>
            <w:pPr>
              <w:spacing w:after="0" w:before="0" w:line="252" w:lineRule="auto"/>
              <w:jc w:val="center"/>
            </w:pPr>
            <w:r>
              <w:rPr>
                <w:b w:val="0"/>
                <w:color w:val="000000"/>
                <w:sz w:val="19"/>
              </w:rPr>
              <w:t>571</w:t>
            </w:r>
          </w:p>
        </w:tc>
        <w:tc>
          <w:tcPr>
            <w:tcW w:type="dxa" w:w="2376"/>
            <w:vAlign w:val="center"/>
            <w:shd w:fill="F7F9FB"/>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600"/>
            <w:vAlign w:val="center"/>
            <w:shd w:fill="FFFFFF"/>
            <w:tcMar>
              <w:top w:w="65" w:type="dxa"/>
              <w:bottom w:w="65" w:type="dxa"/>
              <w:left w:w="95" w:type="dxa"/>
              <w:right w:w="95" w:type="dxa"/>
            </w:tcMar>
          </w:tcPr>
          <w:p>
            <w:pPr>
              <w:spacing w:after="0" w:before="0" w:line="252" w:lineRule="auto"/>
            </w:pPr>
            <w:r>
              <w:rPr>
                <w:b w:val="0"/>
                <w:color w:val="000000"/>
                <w:sz w:val="19"/>
              </w:rPr>
              <w:t>O365</w:t>
            </w:r>
          </w:p>
        </w:tc>
        <w:tc>
          <w:tcPr>
            <w:tcW w:type="dxa" w:w="1800"/>
            <w:vAlign w:val="center"/>
            <w:shd w:fill="FFFFFF"/>
            <w:tcMar>
              <w:top w:w="65" w:type="dxa"/>
              <w:bottom w:w="65" w:type="dxa"/>
              <w:left w:w="95" w:type="dxa"/>
              <w:right w:w="95" w:type="dxa"/>
            </w:tcMar>
          </w:tcPr>
          <w:p>
            <w:pPr>
              <w:spacing w:after="0" w:before="0" w:line="252" w:lineRule="auto"/>
              <w:jc w:val="center"/>
            </w:pPr>
            <w:r>
              <w:rPr>
                <w:b w:val="0"/>
                <w:color w:val="000000"/>
                <w:sz w:val="19"/>
              </w:rPr>
              <w:t>714</w:t>
            </w:r>
          </w:p>
        </w:tc>
        <w:tc>
          <w:tcPr>
            <w:tcW w:type="dxa" w:w="2016"/>
            <w:vAlign w:val="center"/>
            <w:shd w:fill="FFFFFF"/>
            <w:tcMar>
              <w:top w:w="65" w:type="dxa"/>
              <w:bottom w:w="65" w:type="dxa"/>
              <w:left w:w="95" w:type="dxa"/>
              <w:right w:w="95" w:type="dxa"/>
            </w:tcMar>
          </w:tcPr>
          <w:p>
            <w:pPr>
              <w:spacing w:after="0" w:before="0" w:line="252" w:lineRule="auto"/>
              <w:jc w:val="center"/>
            </w:pPr>
            <w:r>
              <w:rPr>
                <w:b w:val="0"/>
                <w:color w:val="000000"/>
                <w:sz w:val="19"/>
              </w:rPr>
              <w:t>571</w:t>
            </w:r>
          </w:p>
        </w:tc>
        <w:tc>
          <w:tcPr>
            <w:tcW w:type="dxa" w:w="2376"/>
            <w:vAlign w:val="center"/>
            <w:shd w:fill="FFFFFF"/>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600"/>
            <w:vAlign w:val="center"/>
            <w:shd w:fill="F7F9FB"/>
            <w:tcMar>
              <w:top w:w="65" w:type="dxa"/>
              <w:bottom w:w="65" w:type="dxa"/>
              <w:left w:w="95" w:type="dxa"/>
              <w:right w:w="95" w:type="dxa"/>
            </w:tcMar>
          </w:tcPr>
          <w:p>
            <w:pPr>
              <w:spacing w:after="0" w:before="0" w:line="252" w:lineRule="auto"/>
            </w:pPr>
            <w:r>
              <w:rPr>
                <w:b w:val="0"/>
                <w:color w:val="000000"/>
                <w:sz w:val="19"/>
              </w:rPr>
              <w:t>Software</w:t>
            </w:r>
          </w:p>
        </w:tc>
        <w:tc>
          <w:tcPr>
            <w:tcW w:type="dxa" w:w="1800"/>
            <w:vAlign w:val="center"/>
            <w:shd w:fill="F7F9FB"/>
            <w:tcMar>
              <w:top w:w="65" w:type="dxa"/>
              <w:bottom w:w="65" w:type="dxa"/>
              <w:left w:w="95" w:type="dxa"/>
              <w:right w:w="95" w:type="dxa"/>
            </w:tcMar>
          </w:tcPr>
          <w:p>
            <w:pPr>
              <w:spacing w:after="0" w:before="0" w:line="252" w:lineRule="auto"/>
              <w:jc w:val="center"/>
            </w:pPr>
            <w:r>
              <w:rPr>
                <w:b w:val="0"/>
                <w:color w:val="000000"/>
                <w:sz w:val="19"/>
              </w:rPr>
              <w:t>714</w:t>
            </w:r>
          </w:p>
        </w:tc>
        <w:tc>
          <w:tcPr>
            <w:tcW w:type="dxa" w:w="2016"/>
            <w:vAlign w:val="center"/>
            <w:shd w:fill="F7F9FB"/>
            <w:tcMar>
              <w:top w:w="65" w:type="dxa"/>
              <w:bottom w:w="65" w:type="dxa"/>
              <w:left w:w="95" w:type="dxa"/>
              <w:right w:w="95" w:type="dxa"/>
            </w:tcMar>
          </w:tcPr>
          <w:p>
            <w:pPr>
              <w:spacing w:after="0" w:before="0" w:line="252" w:lineRule="auto"/>
              <w:jc w:val="center"/>
            </w:pPr>
            <w:r>
              <w:rPr>
                <w:b w:val="0"/>
                <w:color w:val="000000"/>
                <w:sz w:val="19"/>
              </w:rPr>
              <w:t>571</w:t>
            </w:r>
          </w:p>
        </w:tc>
        <w:tc>
          <w:tcPr>
            <w:tcW w:type="dxa" w:w="2376"/>
            <w:vAlign w:val="center"/>
            <w:shd w:fill="F7F9FB"/>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600"/>
            <w:vAlign w:val="center"/>
            <w:shd w:fill="FFFFFF"/>
            <w:tcMar>
              <w:top w:w="65" w:type="dxa"/>
              <w:bottom w:w="65" w:type="dxa"/>
              <w:left w:w="95" w:type="dxa"/>
              <w:right w:w="95" w:type="dxa"/>
            </w:tcMar>
          </w:tcPr>
          <w:p>
            <w:pPr>
              <w:spacing w:after="0" w:before="0" w:line="252" w:lineRule="auto"/>
            </w:pPr>
            <w:r>
              <w:rPr>
                <w:b w:val="0"/>
                <w:color w:val="000000"/>
                <w:sz w:val="19"/>
              </w:rPr>
              <w:t>Support general</w:t>
            </w:r>
          </w:p>
        </w:tc>
        <w:tc>
          <w:tcPr>
            <w:tcW w:type="dxa" w:w="1800"/>
            <w:vAlign w:val="center"/>
            <w:shd w:fill="FFFFFF"/>
            <w:tcMar>
              <w:top w:w="65" w:type="dxa"/>
              <w:bottom w:w="65" w:type="dxa"/>
              <w:left w:w="95" w:type="dxa"/>
              <w:right w:w="95" w:type="dxa"/>
            </w:tcMar>
          </w:tcPr>
          <w:p>
            <w:pPr>
              <w:spacing w:after="0" w:before="0" w:line="252" w:lineRule="auto"/>
              <w:jc w:val="center"/>
            </w:pPr>
            <w:r>
              <w:rPr>
                <w:b w:val="0"/>
                <w:color w:val="000000"/>
                <w:sz w:val="19"/>
              </w:rPr>
              <w:t>715</w:t>
            </w:r>
          </w:p>
        </w:tc>
        <w:tc>
          <w:tcPr>
            <w:tcW w:type="dxa" w:w="2016"/>
            <w:vAlign w:val="center"/>
            <w:shd w:fill="FFFFFF"/>
            <w:tcMar>
              <w:top w:w="65" w:type="dxa"/>
              <w:bottom w:w="65" w:type="dxa"/>
              <w:left w:w="95" w:type="dxa"/>
              <w:right w:w="95" w:type="dxa"/>
            </w:tcMar>
          </w:tcPr>
          <w:p>
            <w:pPr>
              <w:spacing w:after="0" w:before="0" w:line="252" w:lineRule="auto"/>
              <w:jc w:val="center"/>
            </w:pPr>
            <w:r>
              <w:rPr>
                <w:b w:val="0"/>
                <w:color w:val="000000"/>
                <w:sz w:val="19"/>
              </w:rPr>
              <w:t>572</w:t>
            </w:r>
          </w:p>
        </w:tc>
        <w:tc>
          <w:tcPr>
            <w:tcW w:type="dxa" w:w="2376"/>
            <w:vAlign w:val="center"/>
            <w:shd w:fill="FFFFFF"/>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600"/>
            <w:vAlign w:val="center"/>
            <w:shd w:fill="F7F9FB"/>
            <w:tcMar>
              <w:top w:w="65" w:type="dxa"/>
              <w:bottom w:w="65" w:type="dxa"/>
              <w:left w:w="95" w:type="dxa"/>
              <w:right w:w="95" w:type="dxa"/>
            </w:tcMar>
          </w:tcPr>
          <w:p>
            <w:pPr>
              <w:spacing w:after="0" w:before="0" w:line="252" w:lineRule="auto"/>
            </w:pPr>
            <w:r>
              <w:rPr>
                <w:b w:val="0"/>
                <w:color w:val="000000"/>
                <w:sz w:val="19"/>
              </w:rPr>
              <w:t>Total</w:t>
            </w:r>
          </w:p>
        </w:tc>
        <w:tc>
          <w:tcPr>
            <w:tcW w:type="dxa" w:w="1800"/>
            <w:vAlign w:val="center"/>
            <w:shd w:fill="F7F9FB"/>
            <w:tcMar>
              <w:top w:w="65" w:type="dxa"/>
              <w:bottom w:w="65" w:type="dxa"/>
              <w:left w:w="95" w:type="dxa"/>
              <w:right w:w="95" w:type="dxa"/>
            </w:tcMar>
          </w:tcPr>
          <w:p>
            <w:pPr>
              <w:spacing w:after="0" w:before="0" w:line="252" w:lineRule="auto"/>
              <w:jc w:val="center"/>
            </w:pPr>
            <w:r>
              <w:rPr>
                <w:b w:val="0"/>
                <w:color w:val="000000"/>
                <w:sz w:val="19"/>
              </w:rPr>
              <w:t>5,000</w:t>
            </w:r>
          </w:p>
        </w:tc>
        <w:tc>
          <w:tcPr>
            <w:tcW w:type="dxa" w:w="2016"/>
            <w:vAlign w:val="center"/>
            <w:shd w:fill="F7F9FB"/>
            <w:tcMar>
              <w:top w:w="65" w:type="dxa"/>
              <w:bottom w:w="65" w:type="dxa"/>
              <w:left w:w="95" w:type="dxa"/>
              <w:right w:w="95" w:type="dxa"/>
            </w:tcMar>
          </w:tcPr>
          <w:p>
            <w:pPr>
              <w:spacing w:after="0" w:before="0" w:line="252" w:lineRule="auto"/>
              <w:jc w:val="center"/>
            </w:pPr>
            <w:r>
              <w:rPr>
                <w:b w:val="0"/>
                <w:color w:val="000000"/>
                <w:sz w:val="19"/>
              </w:rPr>
              <w:t>4,000</w:t>
            </w:r>
          </w:p>
        </w:tc>
        <w:tc>
          <w:tcPr>
            <w:tcW w:type="dxa" w:w="2376"/>
            <w:vAlign w:val="center"/>
            <w:shd w:fill="F7F9FB"/>
            <w:tcMar>
              <w:top w:w="65" w:type="dxa"/>
              <w:bottom w:w="65" w:type="dxa"/>
              <w:left w:w="95" w:type="dxa"/>
              <w:right w:w="95" w:type="dxa"/>
            </w:tcMar>
          </w:tcPr>
          <w:p>
            <w:pPr>
              <w:spacing w:after="0" w:before="0" w:line="252" w:lineRule="auto"/>
              <w:jc w:val="center"/>
            </w:pPr>
            <w:r>
              <w:rPr>
                <w:b w:val="0"/>
                <w:color w:val="000000"/>
                <w:sz w:val="19"/>
              </w:rPr>
              <w:t>1,000</w:t>
            </w:r>
          </w:p>
        </w:tc>
      </w:tr>
    </w:tbl>
    <w:p>
      <w:pPr>
        <w:widowControl/>
        <w:spacing w:after="20"/>
      </w:pPr>
    </w:p>
    <w:p>
      <w:pPr>
        <w:widowControl/>
      </w:pPr>
      <w:r>
        <w:t xml:space="preserve">The notebook names the held-out file </w:t>
      </w:r>
      <w:r>
        <w:rPr>
          <w:rFonts w:ascii="Consolas" w:hAnsi="Consolas"/>
          <w:sz w:val="18"/>
        </w:rPr>
        <w:t>/content/val_split.csv</w:t>
      </w:r>
      <w:r>
        <w:t xml:space="preserve">. This paper calls it the held-out evaluation set because it supplies the final scores. It is excluded from </w:t>
      </w:r>
      <w:r>
        <w:rPr>
          <w:rFonts w:ascii="Consolas" w:hAnsi="Consolas"/>
          <w:sz w:val="18"/>
        </w:rPr>
        <w:t>TRAIN.json</w:t>
      </w:r>
      <w:r>
        <w:t>. Since all full-dataset texts are unique, there can be no exact ticket-text overlap across this partition; semantic overlap remains unaudited.</w:t>
      </w:r>
    </w:p>
    <w:p>
      <w:pPr>
        <w:widowControl/>
      </w:pPr>
      <w:r>
        <w:t xml:space="preserve">Internal training validation is a separate issue. The notebook suggests </w:t>
      </w:r>
      <w:r>
        <w:rPr>
          <w:rFonts w:ascii="Consolas" w:hAnsi="Consolas"/>
          <w:sz w:val="18"/>
        </w:rPr>
        <w:t>val_size=0.1</w:t>
      </w:r>
      <w:r>
        <w:t xml:space="preserve"> in LLaMA Board, which would divide the training pool into approximately 3,600 optimization examples and 400 validation examples. Historical step counts instead fit three epochs over all 4,000 examples at effective batch size 16. The original YAML is absent, so the actual internal validation setting is unresolved. The external 1,000-row partition is separate from this uncertainty.</w:t>
      </w:r>
    </w:p>
    <w:p>
      <w:pPr>
        <w:pStyle w:val="Heading1"/>
        <w:widowControl/>
      </w:pPr>
      <w:r>
        <w:t>4 Architecture and implementation</w:t>
      </w:r>
    </w:p>
    <w:p>
      <w:pPr>
        <w:widowControl/>
      </w:pPr>
      <w:r>
        <w:t>The notebook is the executable application. Its implemented data flow is:</w:t>
      </w:r>
    </w:p>
    <w:p>
      <w:pPr>
        <w:widowControl/>
        <w:spacing w:line="240" w:lineRule="auto"/>
      </w:pPr>
      <w:r>
        <w:rPr>
          <w:rFonts w:ascii="Consolas" w:hAnsi="Consolas"/>
          <w:sz w:val="16"/>
        </w:rPr>
        <w:t>support_tickets.csv</w:t>
        <w:br/>
        <w:t xml:space="preserve">  -&gt; filter labels and shuffle with seed 42</w:t>
        <w:br/>
        <w:t xml:space="preserve">  -&gt; stratified split</w:t>
        <w:br/>
        <w:t xml:space="preserve">       -&gt; 4,000-row pool -&gt; TRAIN.json -&gt; LLaMA Board -&gt; LoRA adapter</w:t>
        <w:br/>
        <w:t xml:space="preserve">       -&gt; 1,000 held-out rows -&gt; val_split.csv</w:t>
        <w:br/>
        <w:br/>
        <w:t>Base model + held-out tickets -&gt; multiple-choice baseline predictions</w:t>
        <w:br/>
        <w:t>Base model + LoRA adapter -&gt; merged model -&gt; generated queue predictions</w:t>
        <w:br/>
        <w:t>Both prediction lists + reference labels -&gt; reports and charts</w:t>
      </w:r>
    </w:p>
    <w:p>
      <w:pPr>
        <w:keepNext/>
        <w:widowControl/>
        <w:jc w:val="center"/>
      </w:pPr>
      <w:r>
        <w:drawing>
          <wp:inline xmlns:a="http://schemas.openxmlformats.org/drawingml/2006/main" xmlns:pic="http://schemas.openxmlformats.org/drawingml/2006/picture">
            <wp:extent cx="6080760" cy="3422246"/>
            <wp:docPr id="1" name="Picture 1" descr="Support ticket router architecture"/>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080760" cy="3422246"/>
                    </a:xfrm>
                    <a:prstGeom prst="rect"/>
                  </pic:spPr>
                </pic:pic>
              </a:graphicData>
            </a:graphic>
          </wp:inline>
        </w:drawing>
      </w:r>
    </w:p>
    <w:p>
      <w:pPr>
        <w:pStyle w:val="Caption"/>
        <w:widowControl/>
      </w:pPr>
      <w:r>
        <w:t>Figure 1. Supplied architecture diagram. The supplied diagram summarizes training and the intended routing workflow. Email/chat/portal ingestion, queue dispatch, and confidence-based human triage are proposed extensions, not implemented integrations. The 4,000 rows form a training pool; the internal validation setting and reconstructed three-epoch schedule are unresolved. “No leakage” means the held-out rows are excluded from TRAIN.json; semantic overlap has not been audited. Confidence is an uncalibrated first-token score, and the two reported accuracies use different decision rules.</w:t>
      </w:r>
    </w:p>
    <w:p>
      <w:pPr>
        <w:pStyle w:val="Heading2"/>
        <w:widowControl/>
      </w:pPr>
      <w:r>
        <w:t>4 1 Training records and prompt</w:t>
      </w:r>
    </w:p>
    <w:p>
      <w:pPr>
        <w:widowControl/>
      </w:pPr>
      <w:r>
        <w:t xml:space="preserve">Each training record has a </w:t>
      </w:r>
      <w:r>
        <w:rPr>
          <w:rFonts w:ascii="Consolas" w:hAnsi="Consolas"/>
          <w:sz w:val="18"/>
        </w:rPr>
        <w:t>messages</w:t>
      </w:r>
      <w:r>
        <w:t xml:space="preserve"> array with system, user, and assistant roles. The user content is </w:t>
      </w:r>
      <w:r>
        <w:rPr>
          <w:rFonts w:ascii="Consolas" w:hAnsi="Consolas"/>
          <w:sz w:val="18"/>
        </w:rPr>
        <w:t xml:space="preserve">Support Ticket: </w:t>
      </w:r>
      <w:r>
        <w:t xml:space="preserve"> followed by the text; the assistant content is the reference label. </w:t>
      </w:r>
      <w:r>
        <w:rPr>
          <w:rFonts w:ascii="Consolas" w:hAnsi="Consolas"/>
          <w:sz w:val="18"/>
        </w:rPr>
        <w:t>dataset_info.json</w:t>
      </w:r>
      <w:r>
        <w:t xml:space="preserve"> registers these records as </w:t>
      </w:r>
      <w:r>
        <w:rPr>
          <w:rFonts w:ascii="Consolas" w:hAnsi="Consolas"/>
          <w:sz w:val="18"/>
        </w:rPr>
        <w:t>support_tickets</w:t>
      </w:r>
      <w:r>
        <w:t>, with ShareGPT formatting and explicit role/content tags.</w:t>
      </w:r>
    </w:p>
    <w:p>
      <w:pPr>
        <w:widowControl/>
      </w:pPr>
      <w:r>
        <w:t>The dataset-preparation and fine-tuned inference cells use this system instruction:</w:t>
      </w:r>
    </w:p>
    <w:p>
      <w:pPr>
        <w:widowControl/>
        <w:ind w:left="259"/>
      </w:pPr>
      <w:r>
        <w:t>You are an IT helpdesk ticket routing assistant. Given a support ticket, respond with exactly one of the following categories: Support general, Fileservice, O365, EOL, Software, Active Directory, Computer-Services.</w:t>
      </w:r>
    </w:p>
    <w:p>
      <w:pPr>
        <w:widowControl/>
      </w:pPr>
      <w:r>
        <w:t>This structure teaches label generation after reading a ticket. The exact training template and loss-masking settings must be recovered from the missing configuration; message structure alone does not establish them.</w:t>
      </w:r>
    </w:p>
    <w:p>
      <w:pPr>
        <w:pStyle w:val="Heading2"/>
        <w:widowControl/>
      </w:pPr>
      <w:r>
        <w:t>4 2 Adapter loading and merging</w:t>
      </w:r>
    </w:p>
    <w:p>
      <w:pPr>
        <w:widowControl/>
      </w:pPr>
      <w:r>
        <w:t xml:space="preserve">The notebook validates the adapter directory, loads the base model, and loads a tokenizer from the adapter directory when </w:t>
      </w:r>
      <w:r>
        <w:rPr>
          <w:rFonts w:ascii="Consolas" w:hAnsi="Consolas"/>
          <w:sz w:val="18"/>
        </w:rPr>
        <w:t>tokenizer.json</w:t>
      </w:r>
      <w:r>
        <w:t xml:space="preserve"> exists there; otherwise it uses the base checkpoint. After baseline evaluation, it constructs the PEFT model, loads adapter weights, and calls </w:t>
      </w:r>
      <w:r>
        <w:rPr>
          <w:rFonts w:ascii="Consolas" w:hAnsi="Consolas"/>
          <w:sz w:val="18"/>
        </w:rPr>
        <w:t>merge_and_unload()</w:t>
      </w:r>
      <w:r>
        <w:t xml:space="preserve">. The merged model and tokenizer are saved to </w:t>
      </w:r>
      <w:r>
        <w:rPr>
          <w:rFonts w:ascii="Consolas" w:hAnsi="Consolas"/>
          <w:sz w:val="18"/>
        </w:rPr>
        <w:t>/content/qwen3_merged</w:t>
      </w:r>
      <w:r>
        <w:t>.</w:t>
      </w:r>
    </w:p>
    <w:p>
      <w:pPr>
        <w:widowControl/>
      </w:pPr>
      <w:r>
        <w:t>The inference stage selects CUDA, then Apple MPS, then CPU. It uses float16 on CUDA or MPS and float32 on CPU. These are inference settings, not evidence of the historical training precision. The full workflow still assumes Colab paths and its upload interface.</w:t>
      </w:r>
    </w:p>
    <w:p>
      <w:pPr>
        <w:pStyle w:val="Heading2"/>
        <w:widowControl/>
      </w:pPr>
      <w:r>
        <w:t>4 3 Classification and output handling</w:t>
      </w:r>
    </w:p>
    <w:p>
      <w:pPr>
        <w:widowControl/>
      </w:pPr>
      <w:r>
        <w:rPr>
          <w:rFonts w:ascii="Consolas" w:hAnsi="Consolas"/>
          <w:sz w:val="18"/>
        </w:rPr>
        <w:t>classify(ticket_text, compute_confidence=True)</w:t>
      </w:r>
      <w:r>
        <w:t xml:space="preserve"> applies the tokenizer's chat template and generates at most 10 new tokens with </w:t>
      </w:r>
      <w:r>
        <w:rPr>
          <w:rFonts w:ascii="Consolas" w:hAnsi="Consolas"/>
          <w:sz w:val="18"/>
        </w:rPr>
        <w:t>do_sample=False</w:t>
      </w:r>
      <w:r>
        <w:t xml:space="preserve">. It decodes the continuation, strips whitespace, and finds the first label whose lowercase spelling is a prefix of the generated text. If none matches, it returns </w:t>
      </w:r>
      <w:r>
        <w:rPr>
          <w:rFonts w:ascii="Consolas" w:hAnsi="Consolas"/>
          <w:sz w:val="18"/>
        </w:rPr>
        <w:t>Support general</w:t>
      </w:r>
      <w:r>
        <w:t>.</w:t>
      </w:r>
    </w:p>
    <w:p>
      <w:pPr>
        <w:widowControl/>
      </w:pPr>
      <w:r>
        <w:t xml:space="preserve">Prefix matching accepts extra text after a valid label and does not enforce exact-output compliance. Unmatched generations are indistinguishable from ordinary Support general predictions in the saved evaluation. The function returns </w:t>
      </w:r>
      <w:r>
        <w:rPr>
          <w:rFonts w:ascii="Consolas" w:hAnsi="Consolas"/>
          <w:sz w:val="18"/>
        </w:rPr>
        <w:t>(label, confidence)</w:t>
      </w:r>
      <w:r>
        <w:t xml:space="preserve">; if confidence is disabled or generation scores are unavailable, the second value is the placeholder </w:t>
      </w:r>
      <w:r>
        <w:rPr>
          <w:rFonts w:ascii="Consolas" w:hAnsi="Consolas"/>
          <w:sz w:val="18"/>
        </w:rPr>
        <w:t>1.0</w:t>
      </w:r>
      <w:r>
        <w:t>.</w:t>
      </w:r>
    </w:p>
    <w:p>
      <w:pPr>
        <w:pStyle w:val="Heading2"/>
        <w:widowControl/>
      </w:pPr>
      <w:r>
        <w:t>4 4 Confidence calculation</w:t>
      </w:r>
    </w:p>
    <w:p>
      <w:pPr>
        <w:widowControl/>
      </w:pPr>
      <w:r>
        <w:t>The function takes the first token ID of each label, reads the first generation step's scores for those IDs, applies a softmax over those seven scores, and returns the value for the matched class. This is a restricted first-token preference, not the likelihood of the complete multi-token label or a calibrated probability of correctness.</w:t>
      </w:r>
    </w:p>
    <w:p>
      <w:pPr>
        <w:widowControl/>
      </w:pPr>
      <w:r>
        <w:t>Shared first tokens or differences between isolated-label tokenization and generation context can affect this score. The notebook does not test these properties, record calibration metrics, or implement a human-review threshold. Thresholds require separate validation with explicit fallback handling.</w:t>
      </w:r>
    </w:p>
    <w:p>
      <w:pPr>
        <w:pStyle w:val="Heading1"/>
        <w:widowControl/>
      </w:pPr>
      <w:r>
        <w:t>5 Experimental setup and training evidence</w:t>
      </w:r>
    </w:p>
    <w:p>
      <w:pPr>
        <w:widowControl/>
      </w:pPr>
      <w:r>
        <w:t xml:space="preserve">The reference directory is </w:t>
      </w:r>
      <w:r>
        <w:rPr>
          <w:rFonts w:ascii="Consolas" w:hAnsi="Consolas"/>
          <w:sz w:val="18"/>
        </w:rPr>
        <w:t>/content/LLaMA-Factory/saves/Qwen3-1.7B-Base/lora/train_2026-09-11-17-48-28</w:t>
      </w:r>
      <w:r>
        <w:t>. The repository retains notebook outputs and a transcribed log excerpt, but not the adapter, original YAML, or full trainer log. Observations and reconstructions therefore need different levels of confidence.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528"/>
        <w:gridCol w:w="3672"/>
      </w:tblGrid>
      <w:tr>
        <w:trPr>
          <w:cantSplit/>
          <w:tblHeader/>
        </w:trPr>
        <w:tc>
          <w:tcPr>
            <w:tcW w:type="dxa" w:w="2592"/>
            <w:vAlign w:val="center"/>
            <w:shd w:fill="E8EEF4"/>
            <w:tcMar>
              <w:top w:w="65" w:type="dxa"/>
              <w:bottom w:w="65" w:type="dxa"/>
              <w:left w:w="95" w:type="dxa"/>
              <w:right w:w="95" w:type="dxa"/>
            </w:tcMar>
          </w:tcPr>
          <w:p>
            <w:pPr>
              <w:keepNext/>
              <w:spacing w:after="0" w:before="0" w:line="252" w:lineRule="auto"/>
            </w:pPr>
            <w:r>
              <w:rPr>
                <w:b/>
                <w:color w:val="000000"/>
                <w:sz w:val="19"/>
              </w:rPr>
              <w:t>Setting</w:t>
            </w:r>
          </w:p>
        </w:tc>
        <w:tc>
          <w:tcPr>
            <w:tcW w:type="dxa" w:w="3528"/>
            <w:vAlign w:val="center"/>
            <w:shd w:fill="E8EEF4"/>
            <w:tcMar>
              <w:top w:w="65" w:type="dxa"/>
              <w:bottom w:w="65" w:type="dxa"/>
              <w:left w:w="95" w:type="dxa"/>
              <w:right w:w="95" w:type="dxa"/>
            </w:tcMar>
          </w:tcPr>
          <w:p>
            <w:pPr>
              <w:keepNext/>
              <w:spacing w:after="0" w:before="0" w:line="252" w:lineRule="auto"/>
            </w:pPr>
            <w:r>
              <w:rPr>
                <w:b/>
                <w:color w:val="000000"/>
                <w:sz w:val="19"/>
              </w:rPr>
              <w:t>Value or status</w:t>
            </w:r>
          </w:p>
        </w:tc>
        <w:tc>
          <w:tcPr>
            <w:tcW w:type="dxa" w:w="3672"/>
            <w:vAlign w:val="center"/>
            <w:shd w:fill="E8EEF4"/>
            <w:tcMar>
              <w:top w:w="65" w:type="dxa"/>
              <w:bottom w:w="65" w:type="dxa"/>
              <w:left w:w="95" w:type="dxa"/>
              <w:right w:w="95" w:type="dxa"/>
            </w:tcMar>
          </w:tcPr>
          <w:p>
            <w:pPr>
              <w:keepNext/>
              <w:spacing w:after="0" w:before="0" w:line="252" w:lineRule="auto"/>
            </w:pPr>
            <w:r>
              <w:rPr>
                <w:b/>
                <w:color w:val="000000"/>
                <w:sz w:val="19"/>
              </w:rPr>
              <w:t>Evidence</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Base checkpoint</w:t>
            </w:r>
          </w:p>
        </w:tc>
        <w:tc>
          <w:tcPr>
            <w:tcW w:type="dxa" w:w="3528"/>
            <w:vAlign w:val="center"/>
            <w:shd w:fill="FFFFFF"/>
            <w:tcMar>
              <w:top w:w="65" w:type="dxa"/>
              <w:bottom w:w="65" w:type="dxa"/>
              <w:left w:w="95" w:type="dxa"/>
              <w:right w:w="95" w:type="dxa"/>
            </w:tcMar>
          </w:tcPr>
          <w:p>
            <w:pPr>
              <w:spacing w:after="0" w:before="0" w:line="252" w:lineRule="auto"/>
            </w:pPr>
            <w:r>
              <w:rPr>
                <w:b w:val="0"/>
                <w:color w:val="000000"/>
                <w:sz w:val="19"/>
              </w:rPr>
              <w:t>Qwen/Qwen3-1.7B-Base</w:t>
            </w:r>
          </w:p>
        </w:tc>
        <w:tc>
          <w:tcPr>
            <w:tcW w:type="dxa" w:w="3672"/>
            <w:vAlign w:val="center"/>
            <w:shd w:fill="FFFFFF"/>
            <w:tcMar>
              <w:top w:w="65" w:type="dxa"/>
              <w:bottom w:w="65" w:type="dxa"/>
              <w:left w:w="95" w:type="dxa"/>
              <w:right w:w="95" w:type="dxa"/>
            </w:tcMar>
          </w:tcPr>
          <w:p>
            <w:pPr>
              <w:spacing w:after="0" w:before="0" w:line="252" w:lineRule="auto"/>
            </w:pPr>
            <w:r>
              <w:rPr>
                <w:b w:val="0"/>
                <w:color w:val="000000"/>
                <w:sz w:val="19"/>
              </w:rPr>
              <w:t>Source and saved path</w:t>
            </w:r>
          </w:p>
        </w:tc>
      </w:tr>
      <w:tr>
        <w:trPr>
          <w:cantSplit/>
        </w:trPr>
        <w:tc>
          <w:tcPr>
            <w:tcW w:type="dxa" w:w="2592"/>
            <w:vAlign w:val="center"/>
            <w:shd w:fill="F7F9FB"/>
            <w:tcMar>
              <w:top w:w="65" w:type="dxa"/>
              <w:bottom w:w="65" w:type="dxa"/>
              <w:left w:w="95" w:type="dxa"/>
              <w:right w:w="95" w:type="dxa"/>
            </w:tcMar>
          </w:tcPr>
          <w:p>
            <w:pPr>
              <w:spacing w:after="0" w:before="0" w:line="252" w:lineRule="auto"/>
            </w:pPr>
            <w:r>
              <w:rPr>
                <w:b w:val="0"/>
                <w:color w:val="000000"/>
                <w:sz w:val="19"/>
              </w:rPr>
              <w:t>Method</w:t>
            </w:r>
          </w:p>
        </w:tc>
        <w:tc>
          <w:tcPr>
            <w:tcW w:type="dxa" w:w="3528"/>
            <w:vAlign w:val="center"/>
            <w:shd w:fill="F7F9FB"/>
            <w:tcMar>
              <w:top w:w="65" w:type="dxa"/>
              <w:bottom w:w="65" w:type="dxa"/>
              <w:left w:w="95" w:type="dxa"/>
              <w:right w:w="95" w:type="dxa"/>
            </w:tcMar>
          </w:tcPr>
          <w:p>
            <w:pPr>
              <w:spacing w:after="0" w:before="0" w:line="252" w:lineRule="auto"/>
            </w:pPr>
            <w:r>
              <w:rPr>
                <w:b w:val="0"/>
                <w:color w:val="000000"/>
                <w:sz w:val="19"/>
              </w:rPr>
              <w:t>Supervised fine-tuning with LoRA</w:t>
            </w:r>
          </w:p>
        </w:tc>
        <w:tc>
          <w:tcPr>
            <w:tcW w:type="dxa" w:w="3672"/>
            <w:vAlign w:val="center"/>
            <w:shd w:fill="F7F9FB"/>
            <w:tcMar>
              <w:top w:w="65" w:type="dxa"/>
              <w:bottom w:w="65" w:type="dxa"/>
              <w:left w:w="95" w:type="dxa"/>
              <w:right w:w="95" w:type="dxa"/>
            </w:tcMar>
          </w:tcPr>
          <w:p>
            <w:pPr>
              <w:spacing w:after="0" w:before="0" w:line="252" w:lineRule="auto"/>
            </w:pPr>
            <w:r>
              <w:rPr>
                <w:b w:val="0"/>
                <w:color w:val="000000"/>
                <w:sz w:val="19"/>
              </w:rPr>
              <w:t>Workflow and adapter path</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External split</w:t>
            </w:r>
          </w:p>
        </w:tc>
        <w:tc>
          <w:tcPr>
            <w:tcW w:type="dxa" w:w="3528"/>
            <w:vAlign w:val="center"/>
            <w:shd w:fill="FFFFFF"/>
            <w:tcMar>
              <w:top w:w="65" w:type="dxa"/>
              <w:bottom w:w="65" w:type="dxa"/>
              <w:left w:w="95" w:type="dxa"/>
              <w:right w:w="95" w:type="dxa"/>
            </w:tcMar>
          </w:tcPr>
          <w:p>
            <w:pPr>
              <w:spacing w:after="0" w:before="0" w:line="252" w:lineRule="auto"/>
            </w:pPr>
            <w:r>
              <w:rPr>
                <w:b w:val="0"/>
                <w:color w:val="000000"/>
                <w:sz w:val="19"/>
              </w:rPr>
              <w:t>4,000 / 1,000</w:t>
            </w:r>
          </w:p>
        </w:tc>
        <w:tc>
          <w:tcPr>
            <w:tcW w:type="dxa" w:w="3672"/>
            <w:vAlign w:val="center"/>
            <w:shd w:fill="FFFFFF"/>
            <w:tcMar>
              <w:top w:w="65" w:type="dxa"/>
              <w:bottom w:w="65" w:type="dxa"/>
              <w:left w:w="95" w:type="dxa"/>
              <w:right w:w="95" w:type="dxa"/>
            </w:tcMar>
          </w:tcPr>
          <w:p>
            <w:pPr>
              <w:spacing w:after="0" w:before="0" w:line="252" w:lineRule="auto"/>
            </w:pPr>
            <w:r>
              <w:rPr>
                <w:b w:val="0"/>
                <w:color w:val="000000"/>
                <w:sz w:val="19"/>
              </w:rPr>
              <w:t>Preparation output</w:t>
            </w:r>
          </w:p>
        </w:tc>
      </w:tr>
      <w:tr>
        <w:trPr>
          <w:cantSplit/>
        </w:trPr>
        <w:tc>
          <w:tcPr>
            <w:tcW w:type="dxa" w:w="2592"/>
            <w:vAlign w:val="center"/>
            <w:shd w:fill="F7F9FB"/>
            <w:tcMar>
              <w:top w:w="65" w:type="dxa"/>
              <w:bottom w:w="65" w:type="dxa"/>
              <w:left w:w="95" w:type="dxa"/>
              <w:right w:w="95" w:type="dxa"/>
            </w:tcMar>
          </w:tcPr>
          <w:p>
            <w:pPr>
              <w:spacing w:after="0" w:before="0" w:line="252" w:lineRule="auto"/>
            </w:pPr>
            <w:r>
              <w:rPr>
                <w:b w:val="0"/>
                <w:color w:val="000000"/>
                <w:sz w:val="19"/>
              </w:rPr>
              <w:t>Data shuffle and split seed</w:t>
            </w:r>
          </w:p>
        </w:tc>
        <w:tc>
          <w:tcPr>
            <w:tcW w:type="dxa" w:w="3528"/>
            <w:vAlign w:val="center"/>
            <w:shd w:fill="F7F9FB"/>
            <w:tcMar>
              <w:top w:w="65" w:type="dxa"/>
              <w:bottom w:w="65" w:type="dxa"/>
              <w:left w:w="95" w:type="dxa"/>
              <w:right w:w="95" w:type="dxa"/>
            </w:tcMar>
          </w:tcPr>
          <w:p>
            <w:pPr>
              <w:spacing w:after="0" w:before="0" w:line="252" w:lineRule="auto"/>
            </w:pPr>
            <w:r>
              <w:rPr>
                <w:b w:val="0"/>
                <w:color w:val="000000"/>
                <w:sz w:val="19"/>
              </w:rPr>
              <w:t>42</w:t>
            </w:r>
          </w:p>
        </w:tc>
        <w:tc>
          <w:tcPr>
            <w:tcW w:type="dxa" w:w="3672"/>
            <w:vAlign w:val="center"/>
            <w:shd w:fill="F7F9FB"/>
            <w:tcMar>
              <w:top w:w="65" w:type="dxa"/>
              <w:bottom w:w="65" w:type="dxa"/>
              <w:left w:w="95" w:type="dxa"/>
              <w:right w:w="95" w:type="dxa"/>
            </w:tcMar>
          </w:tcPr>
          <w:p>
            <w:pPr>
              <w:spacing w:after="0" w:before="0" w:line="252" w:lineRule="auto"/>
            </w:pPr>
            <w:r>
              <w:rPr>
                <w:b w:val="0"/>
                <w:color w:val="000000"/>
                <w:sz w:val="19"/>
              </w:rPr>
              <w:t>Source code</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Device</w:t>
            </w:r>
          </w:p>
        </w:tc>
        <w:tc>
          <w:tcPr>
            <w:tcW w:type="dxa" w:w="3528"/>
            <w:vAlign w:val="center"/>
            <w:shd w:fill="FFFFFF"/>
            <w:tcMar>
              <w:top w:w="65" w:type="dxa"/>
              <w:bottom w:w="65" w:type="dxa"/>
              <w:left w:w="95" w:type="dxa"/>
              <w:right w:w="95" w:type="dxa"/>
            </w:tcMar>
          </w:tcPr>
          <w:p>
            <w:pPr>
              <w:spacing w:after="0" w:before="0" w:line="252" w:lineRule="auto"/>
            </w:pPr>
            <w:r>
              <w:rPr>
                <w:b w:val="0"/>
                <w:color w:val="000000"/>
                <w:sz w:val="19"/>
              </w:rPr>
              <w:t>One Colab T4, as reported</w:t>
            </w:r>
          </w:p>
        </w:tc>
        <w:tc>
          <w:tcPr>
            <w:tcW w:type="dxa" w:w="3672"/>
            <w:vAlign w:val="center"/>
            <w:shd w:fill="FFFFFF"/>
            <w:tcMar>
              <w:top w:w="65" w:type="dxa"/>
              <w:bottom w:w="65" w:type="dxa"/>
              <w:left w:w="95" w:type="dxa"/>
              <w:right w:w="95" w:type="dxa"/>
            </w:tcMar>
          </w:tcPr>
          <w:p>
            <w:pPr>
              <w:spacing w:after="0" w:before="0" w:line="252" w:lineRule="auto"/>
            </w:pPr>
            <w:r>
              <w:rPr>
                <w:b w:val="0"/>
                <w:color w:val="000000"/>
                <w:sz w:val="19"/>
              </w:rPr>
              <w:t>Run notes; inference output says CUDA</w:t>
            </w:r>
          </w:p>
        </w:tc>
      </w:tr>
      <w:tr>
        <w:trPr>
          <w:cantSplit/>
        </w:trPr>
        <w:tc>
          <w:tcPr>
            <w:tcW w:type="dxa" w:w="2592"/>
            <w:vAlign w:val="center"/>
            <w:shd w:fill="F7F9FB"/>
            <w:tcMar>
              <w:top w:w="65" w:type="dxa"/>
              <w:bottom w:w="65" w:type="dxa"/>
              <w:left w:w="95" w:type="dxa"/>
              <w:right w:w="95" w:type="dxa"/>
            </w:tcMar>
          </w:tcPr>
          <w:p>
            <w:pPr>
              <w:spacing w:after="0" w:before="0" w:line="252" w:lineRule="auto"/>
            </w:pPr>
            <w:r>
              <w:rPr>
                <w:b w:val="0"/>
                <w:color w:val="000000"/>
                <w:sz w:val="19"/>
              </w:rPr>
              <w:t>Optimizer steps</w:t>
            </w:r>
          </w:p>
        </w:tc>
        <w:tc>
          <w:tcPr>
            <w:tcW w:type="dxa" w:w="3528"/>
            <w:vAlign w:val="center"/>
            <w:shd w:fill="F7F9FB"/>
            <w:tcMar>
              <w:top w:w="65" w:type="dxa"/>
              <w:bottom w:w="65" w:type="dxa"/>
              <w:left w:w="95" w:type="dxa"/>
              <w:right w:w="95" w:type="dxa"/>
            </w:tcMar>
          </w:tcPr>
          <w:p>
            <w:pPr>
              <w:spacing w:after="0" w:before="0" w:line="252" w:lineRule="auto"/>
            </w:pPr>
            <w:r>
              <w:rPr>
                <w:b w:val="0"/>
                <w:color w:val="000000"/>
                <w:sz w:val="19"/>
              </w:rPr>
              <w:t>Approximately 750</w:t>
            </w:r>
          </w:p>
        </w:tc>
        <w:tc>
          <w:tcPr>
            <w:tcW w:type="dxa" w:w="3672"/>
            <w:vAlign w:val="center"/>
            <w:shd w:fill="F7F9FB"/>
            <w:tcMar>
              <w:top w:w="65" w:type="dxa"/>
              <w:bottom w:w="65" w:type="dxa"/>
              <w:left w:w="95" w:type="dxa"/>
              <w:right w:w="95" w:type="dxa"/>
            </w:tcMar>
          </w:tcPr>
          <w:p>
            <w:pPr>
              <w:spacing w:after="0" w:before="0" w:line="252" w:lineRule="auto"/>
            </w:pPr>
            <w:r>
              <w:rPr>
                <w:b w:val="0"/>
                <w:color w:val="000000"/>
                <w:sz w:val="19"/>
              </w:rPr>
              <w:t>Saved training plot</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Epochs</w:t>
            </w:r>
          </w:p>
        </w:tc>
        <w:tc>
          <w:tcPr>
            <w:tcW w:type="dxa" w:w="3528"/>
            <w:vAlign w:val="center"/>
            <w:shd w:fill="FFFFFF"/>
            <w:tcMar>
              <w:top w:w="65" w:type="dxa"/>
              <w:bottom w:w="65" w:type="dxa"/>
              <w:left w:w="95" w:type="dxa"/>
              <w:right w:w="95" w:type="dxa"/>
            </w:tcMar>
          </w:tcPr>
          <w:p>
            <w:pPr>
              <w:spacing w:after="0" w:before="0" w:line="252" w:lineRule="auto"/>
            </w:pPr>
            <w:r>
              <w:rPr>
                <w:b w:val="0"/>
                <w:color w:val="000000"/>
                <w:sz w:val="19"/>
              </w:rPr>
              <w:t>3, inferred</w:t>
            </w:r>
          </w:p>
        </w:tc>
        <w:tc>
          <w:tcPr>
            <w:tcW w:type="dxa" w:w="3672"/>
            <w:vAlign w:val="center"/>
            <w:shd w:fill="FFFFFF"/>
            <w:tcMar>
              <w:top w:w="65" w:type="dxa"/>
              <w:bottom w:w="65" w:type="dxa"/>
              <w:left w:w="95" w:type="dxa"/>
              <w:right w:w="95" w:type="dxa"/>
            </w:tcMar>
          </w:tcPr>
          <w:p>
            <w:pPr>
              <w:spacing w:after="0" w:before="0" w:line="252" w:lineRule="auto"/>
            </w:pPr>
            <w:r>
              <w:rPr>
                <w:b w:val="0"/>
                <w:color w:val="000000"/>
                <w:sz w:val="19"/>
              </w:rPr>
              <w:t>Step and epoch reconstruction</w:t>
            </w:r>
          </w:p>
        </w:tc>
      </w:tr>
      <w:tr>
        <w:trPr>
          <w:cantSplit/>
        </w:trPr>
        <w:tc>
          <w:tcPr>
            <w:tcW w:type="dxa" w:w="2592"/>
            <w:vAlign w:val="center"/>
            <w:shd w:fill="F7F9FB"/>
            <w:tcMar>
              <w:top w:w="65" w:type="dxa"/>
              <w:bottom w:w="65" w:type="dxa"/>
              <w:left w:w="95" w:type="dxa"/>
              <w:right w:w="95" w:type="dxa"/>
            </w:tcMar>
          </w:tcPr>
          <w:p>
            <w:pPr>
              <w:spacing w:after="0" w:before="0" w:line="252" w:lineRule="auto"/>
            </w:pPr>
            <w:r>
              <w:rPr>
                <w:b w:val="0"/>
                <w:color w:val="000000"/>
                <w:sz w:val="19"/>
              </w:rPr>
              <w:t>Effective batch size</w:t>
            </w:r>
          </w:p>
        </w:tc>
        <w:tc>
          <w:tcPr>
            <w:tcW w:type="dxa" w:w="3528"/>
            <w:vAlign w:val="center"/>
            <w:shd w:fill="F7F9FB"/>
            <w:tcMar>
              <w:top w:w="65" w:type="dxa"/>
              <w:bottom w:w="65" w:type="dxa"/>
              <w:left w:w="95" w:type="dxa"/>
              <w:right w:w="95" w:type="dxa"/>
            </w:tcMar>
          </w:tcPr>
          <w:p>
            <w:pPr>
              <w:spacing w:after="0" w:before="0" w:line="252" w:lineRule="auto"/>
            </w:pPr>
            <w:r>
              <w:rPr>
                <w:b w:val="0"/>
                <w:color w:val="000000"/>
                <w:sz w:val="19"/>
              </w:rPr>
              <w:t>16, inferred</w:t>
            </w:r>
          </w:p>
        </w:tc>
        <w:tc>
          <w:tcPr>
            <w:tcW w:type="dxa" w:w="3672"/>
            <w:vAlign w:val="center"/>
            <w:shd w:fill="F7F9FB"/>
            <w:tcMar>
              <w:top w:w="65" w:type="dxa"/>
              <w:bottom w:w="65" w:type="dxa"/>
              <w:left w:w="95" w:type="dxa"/>
              <w:right w:w="95" w:type="dxa"/>
            </w:tcMar>
          </w:tcPr>
          <w:p>
            <w:pPr>
              <w:spacing w:after="0" w:before="0" w:line="252" w:lineRule="auto"/>
            </w:pPr>
            <w:r>
              <w:rPr>
                <w:b w:val="0"/>
                <w:color w:val="000000"/>
                <w:sz w:val="19"/>
              </w:rPr>
              <w:t>4,000 / 250 steps per epoch</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Microbatch and accumulation</w:t>
            </w:r>
          </w:p>
        </w:tc>
        <w:tc>
          <w:tcPr>
            <w:tcW w:type="dxa" w:w="3528"/>
            <w:vAlign w:val="center"/>
            <w:shd w:fill="FFFFFF"/>
            <w:tcMar>
              <w:top w:w="65" w:type="dxa"/>
              <w:bottom w:w="65" w:type="dxa"/>
              <w:left w:w="95" w:type="dxa"/>
              <w:right w:w="95" w:type="dxa"/>
            </w:tcMar>
          </w:tcPr>
          <w:p>
            <w:pPr>
              <w:spacing w:after="0" w:before="0" w:line="252" w:lineRule="auto"/>
            </w:pPr>
            <w:r>
              <w:rPr>
                <w:b w:val="0"/>
                <w:color w:val="000000"/>
                <w:sz w:val="19"/>
              </w:rPr>
              <w:t>2 × 8, reported defaults</w:t>
            </w:r>
          </w:p>
        </w:tc>
        <w:tc>
          <w:tcPr>
            <w:tcW w:type="dxa" w:w="3672"/>
            <w:vAlign w:val="center"/>
            <w:shd w:fill="FFFFFF"/>
            <w:tcMar>
              <w:top w:w="65" w:type="dxa"/>
              <w:bottom w:w="65" w:type="dxa"/>
              <w:left w:w="95" w:type="dxa"/>
              <w:right w:w="95" w:type="dxa"/>
            </w:tcMar>
          </w:tcPr>
          <w:p>
            <w:pPr>
              <w:spacing w:after="0" w:before="0" w:line="252" w:lineRule="auto"/>
            </w:pPr>
            <w:r>
              <w:rPr>
                <w:b w:val="0"/>
                <w:color w:val="000000"/>
                <w:sz w:val="19"/>
              </w:rPr>
              <w:t>Original configuration absent</w:t>
            </w:r>
          </w:p>
        </w:tc>
      </w:tr>
      <w:tr>
        <w:trPr>
          <w:cantSplit/>
        </w:trPr>
        <w:tc>
          <w:tcPr>
            <w:tcW w:type="dxa" w:w="2592"/>
            <w:vAlign w:val="center"/>
            <w:shd w:fill="F7F9FB"/>
            <w:tcMar>
              <w:top w:w="65" w:type="dxa"/>
              <w:bottom w:w="65" w:type="dxa"/>
              <w:left w:w="95" w:type="dxa"/>
              <w:right w:w="95" w:type="dxa"/>
            </w:tcMar>
          </w:tcPr>
          <w:p>
            <w:pPr>
              <w:spacing w:after="0" w:before="0" w:line="252" w:lineRule="auto"/>
            </w:pPr>
            <w:r>
              <w:rPr>
                <w:b w:val="0"/>
                <w:color w:val="000000"/>
                <w:sz w:val="19"/>
              </w:rPr>
              <w:t>Initial learning rate</w:t>
            </w:r>
          </w:p>
        </w:tc>
        <w:tc>
          <w:tcPr>
            <w:tcW w:type="dxa" w:w="3528"/>
            <w:vAlign w:val="center"/>
            <w:shd w:fill="F7F9FB"/>
            <w:tcMar>
              <w:top w:w="65" w:type="dxa"/>
              <w:bottom w:w="65" w:type="dxa"/>
              <w:left w:w="95" w:type="dxa"/>
              <w:right w:w="95" w:type="dxa"/>
            </w:tcMar>
          </w:tcPr>
          <w:p>
            <w:pPr>
              <w:spacing w:after="0" w:before="0" w:line="252" w:lineRule="auto"/>
            </w:pPr>
            <w:r>
              <w:rPr>
                <w:b w:val="0"/>
                <w:color w:val="000000"/>
                <w:sz w:val="19"/>
              </w:rPr>
              <w:t>Approximately 5e-5, inferred</w:t>
            </w:r>
          </w:p>
        </w:tc>
        <w:tc>
          <w:tcPr>
            <w:tcW w:type="dxa" w:w="3672"/>
            <w:vAlign w:val="center"/>
            <w:shd w:fill="F7F9FB"/>
            <w:tcMar>
              <w:top w:w="65" w:type="dxa"/>
              <w:bottom w:w="65" w:type="dxa"/>
              <w:left w:w="95" w:type="dxa"/>
              <w:right w:w="95" w:type="dxa"/>
            </w:tcMar>
          </w:tcPr>
          <w:p>
            <w:pPr>
              <w:spacing w:after="0" w:before="0" w:line="252" w:lineRule="auto"/>
            </w:pPr>
            <w:r>
              <w:rPr>
                <w:b w:val="0"/>
                <w:color w:val="000000"/>
                <w:sz w:val="19"/>
              </w:rPr>
              <w:t>Late-run rates under cosine decay</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Scheduler</w:t>
            </w:r>
          </w:p>
        </w:tc>
        <w:tc>
          <w:tcPr>
            <w:tcW w:type="dxa" w:w="3528"/>
            <w:vAlign w:val="center"/>
            <w:shd w:fill="FFFFFF"/>
            <w:tcMar>
              <w:top w:w="65" w:type="dxa"/>
              <w:bottom w:w="65" w:type="dxa"/>
              <w:left w:w="95" w:type="dxa"/>
              <w:right w:w="95" w:type="dxa"/>
            </w:tcMar>
          </w:tcPr>
          <w:p>
            <w:pPr>
              <w:spacing w:after="0" w:before="0" w:line="252" w:lineRule="auto"/>
            </w:pPr>
            <w:r>
              <w:rPr>
                <w:b w:val="0"/>
                <w:color w:val="000000"/>
                <w:sz w:val="19"/>
              </w:rPr>
              <w:t>Cosine, inferred</w:t>
            </w:r>
          </w:p>
        </w:tc>
        <w:tc>
          <w:tcPr>
            <w:tcW w:type="dxa" w:w="3672"/>
            <w:vAlign w:val="center"/>
            <w:shd w:fill="FFFFFF"/>
            <w:tcMar>
              <w:top w:w="65" w:type="dxa"/>
              <w:bottom w:w="65" w:type="dxa"/>
              <w:left w:w="95" w:type="dxa"/>
              <w:right w:w="95" w:type="dxa"/>
            </w:tcMar>
          </w:tcPr>
          <w:p>
            <w:pPr>
              <w:spacing w:after="0" w:before="0" w:line="252" w:lineRule="auto"/>
            </w:pPr>
            <w:r>
              <w:rPr>
                <w:b w:val="0"/>
                <w:color w:val="000000"/>
                <w:sz w:val="19"/>
              </w:rPr>
              <w:t>Learning-rate decline</w:t>
            </w:r>
          </w:p>
        </w:tc>
      </w:tr>
      <w:tr>
        <w:trPr>
          <w:cantSplit/>
        </w:trPr>
        <w:tc>
          <w:tcPr>
            <w:tcW w:type="dxa" w:w="2592"/>
            <w:vAlign w:val="center"/>
            <w:shd w:fill="F7F9FB"/>
            <w:tcMar>
              <w:top w:w="65" w:type="dxa"/>
              <w:bottom w:w="65" w:type="dxa"/>
              <w:left w:w="95" w:type="dxa"/>
              <w:right w:w="95" w:type="dxa"/>
            </w:tcMar>
          </w:tcPr>
          <w:p>
            <w:pPr>
              <w:spacing w:after="0" w:before="0" w:line="252" w:lineRule="auto"/>
            </w:pPr>
            <w:r>
              <w:rPr>
                <w:b w:val="0"/>
                <w:color w:val="000000"/>
                <w:sz w:val="19"/>
              </w:rPr>
              <w:t>Internal validation fraction</w:t>
            </w:r>
          </w:p>
        </w:tc>
        <w:tc>
          <w:tcPr>
            <w:tcW w:type="dxa" w:w="3528"/>
            <w:vAlign w:val="center"/>
            <w:shd w:fill="F7F9FB"/>
            <w:tcMar>
              <w:top w:w="65" w:type="dxa"/>
              <w:bottom w:w="65" w:type="dxa"/>
              <w:left w:w="95" w:type="dxa"/>
              <w:right w:w="95" w:type="dxa"/>
            </w:tcMar>
          </w:tcPr>
          <w:p>
            <w:pPr>
              <w:spacing w:after="0" w:before="0" w:line="252" w:lineRule="auto"/>
            </w:pPr>
            <w:r>
              <w:rPr>
                <w:b w:val="0"/>
                <w:color w:val="000000"/>
                <w:sz w:val="19"/>
              </w:rPr>
              <w:t>Unresolved</w:t>
            </w:r>
          </w:p>
        </w:tc>
        <w:tc>
          <w:tcPr>
            <w:tcW w:type="dxa" w:w="3672"/>
            <w:vAlign w:val="center"/>
            <w:shd w:fill="F7F9FB"/>
            <w:tcMar>
              <w:top w:w="65" w:type="dxa"/>
              <w:bottom w:w="65" w:type="dxa"/>
              <w:left w:w="95" w:type="dxa"/>
              <w:right w:w="95" w:type="dxa"/>
            </w:tcMar>
          </w:tcPr>
          <w:p>
            <w:pPr>
              <w:spacing w:after="0" w:before="0" w:line="252" w:lineRule="auto"/>
            </w:pPr>
            <w:r>
              <w:rPr>
                <w:b w:val="0"/>
                <w:color w:val="000000"/>
                <w:sz w:val="19"/>
              </w:rPr>
              <w:t>Suggested 0.1 conflicts with step reconstruction</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Rank, alpha, dropout, target modules</w:t>
            </w:r>
          </w:p>
        </w:tc>
        <w:tc>
          <w:tcPr>
            <w:tcW w:type="dxa" w:w="3528"/>
            <w:vAlign w:val="center"/>
            <w:shd w:fill="FFFFFF"/>
            <w:tcMar>
              <w:top w:w="65" w:type="dxa"/>
              <w:bottom w:w="65" w:type="dxa"/>
              <w:left w:w="95" w:type="dxa"/>
              <w:right w:w="95" w:type="dxa"/>
            </w:tcMar>
          </w:tcPr>
          <w:p>
            <w:pPr>
              <w:spacing w:after="0" w:before="0" w:line="252" w:lineRule="auto"/>
            </w:pPr>
            <w:r>
              <w:rPr>
                <w:b w:val="0"/>
                <w:color w:val="000000"/>
                <w:sz w:val="19"/>
              </w:rPr>
              <w:t>Unknown</w:t>
            </w:r>
          </w:p>
        </w:tc>
        <w:tc>
          <w:tcPr>
            <w:tcW w:type="dxa" w:w="3672"/>
            <w:vAlign w:val="center"/>
            <w:shd w:fill="FFFFFF"/>
            <w:tcMar>
              <w:top w:w="65" w:type="dxa"/>
              <w:bottom w:w="65" w:type="dxa"/>
              <w:left w:w="95" w:type="dxa"/>
              <w:right w:w="95" w:type="dxa"/>
            </w:tcMar>
          </w:tcPr>
          <w:p>
            <w:pPr>
              <w:spacing w:after="0" w:before="0" w:line="252" w:lineRule="auto"/>
            </w:pPr>
            <w:r>
              <w:rPr>
                <w:b w:val="0"/>
                <w:color w:val="000000"/>
                <w:sz w:val="19"/>
              </w:rPr>
              <w:t>Adapter configuration absent</w:t>
            </w:r>
          </w:p>
        </w:tc>
      </w:tr>
      <w:tr>
        <w:trPr>
          <w:cantSplit/>
        </w:trPr>
        <w:tc>
          <w:tcPr>
            <w:tcW w:type="dxa" w:w="2592"/>
            <w:vAlign w:val="center"/>
            <w:shd w:fill="F7F9FB"/>
            <w:tcMar>
              <w:top w:w="65" w:type="dxa"/>
              <w:bottom w:w="65" w:type="dxa"/>
              <w:left w:w="95" w:type="dxa"/>
              <w:right w:w="95" w:type="dxa"/>
            </w:tcMar>
          </w:tcPr>
          <w:p>
            <w:pPr>
              <w:spacing w:after="0" w:before="0" w:line="252" w:lineRule="auto"/>
            </w:pPr>
            <w:r>
              <w:rPr>
                <w:b w:val="0"/>
                <w:color w:val="000000"/>
                <w:sz w:val="19"/>
              </w:rPr>
              <w:t>Training precision, cutoff, optimizer, seed</w:t>
            </w:r>
          </w:p>
        </w:tc>
        <w:tc>
          <w:tcPr>
            <w:tcW w:type="dxa" w:w="3528"/>
            <w:vAlign w:val="center"/>
            <w:shd w:fill="F7F9FB"/>
            <w:tcMar>
              <w:top w:w="65" w:type="dxa"/>
              <w:bottom w:w="65" w:type="dxa"/>
              <w:left w:w="95" w:type="dxa"/>
              <w:right w:w="95" w:type="dxa"/>
            </w:tcMar>
          </w:tcPr>
          <w:p>
            <w:pPr>
              <w:spacing w:after="0" w:before="0" w:line="252" w:lineRule="auto"/>
            </w:pPr>
            <w:r>
              <w:rPr>
                <w:b w:val="0"/>
                <w:color w:val="000000"/>
                <w:sz w:val="19"/>
              </w:rPr>
              <w:t>Not fully recorded</w:t>
            </w:r>
          </w:p>
        </w:tc>
        <w:tc>
          <w:tcPr>
            <w:tcW w:type="dxa" w:w="3672"/>
            <w:vAlign w:val="center"/>
            <w:shd w:fill="F7F9FB"/>
            <w:tcMar>
              <w:top w:w="65" w:type="dxa"/>
              <w:bottom w:w="65" w:type="dxa"/>
              <w:left w:w="95" w:type="dxa"/>
              <w:right w:w="95" w:type="dxa"/>
            </w:tcMar>
          </w:tcPr>
          <w:p>
            <w:pPr>
              <w:spacing w:after="0" w:before="0" w:line="252" w:lineRule="auto"/>
            </w:pPr>
            <w:r>
              <w:rPr>
                <w:b w:val="0"/>
                <w:color w:val="000000"/>
                <w:sz w:val="19"/>
              </w:rPr>
              <w:t>Original YAML absent</w:t>
            </w:r>
          </w:p>
        </w:tc>
      </w:tr>
    </w:tbl>
    <w:p>
      <w:pPr>
        <w:widowControl/>
        <w:spacing w:after="20"/>
      </w:pPr>
    </w:p>
    <w:p>
      <w:pPr>
        <w:widowControl/>
      </w:pPr>
      <w:r>
        <w:t xml:space="preserve">Saved installation output lists LLaMA-Factory </w:t>
      </w:r>
      <w:r>
        <w:rPr>
          <w:rFonts w:ascii="Consolas" w:hAnsi="Consolas"/>
          <w:sz w:val="18"/>
        </w:rPr>
        <w:t>0.9.6.dev0</w:t>
      </w:r>
      <w:r>
        <w:t xml:space="preserve">, Transformers </w:t>
      </w:r>
      <w:r>
        <w:rPr>
          <w:rFonts w:ascii="Consolas" w:hAnsi="Consolas"/>
          <w:sz w:val="18"/>
        </w:rPr>
        <w:t>5.8.0</w:t>
      </w:r>
      <w:r>
        <w:t xml:space="preserve">, PEFT </w:t>
      </w:r>
      <w:r>
        <w:rPr>
          <w:rFonts w:ascii="Consolas" w:hAnsi="Consolas"/>
          <w:sz w:val="18"/>
        </w:rPr>
        <w:t>0.18.1</w:t>
      </w:r>
      <w:r>
        <w:t xml:space="preserve">, Accelerate </w:t>
      </w:r>
      <w:r>
        <w:rPr>
          <w:rFonts w:ascii="Consolas" w:hAnsi="Consolas"/>
          <w:sz w:val="18"/>
        </w:rPr>
        <w:t>1.11.0</w:t>
      </w:r>
      <w:r>
        <w:t xml:space="preserve">, Datasets </w:t>
      </w:r>
      <w:r>
        <w:rPr>
          <w:rFonts w:ascii="Consolas" w:hAnsi="Consolas"/>
          <w:sz w:val="18"/>
        </w:rPr>
        <w:t>4.0.0</w:t>
      </w:r>
      <w:r>
        <w:t xml:space="preserve">, TRL </w:t>
      </w:r>
      <w:r>
        <w:rPr>
          <w:rFonts w:ascii="Consolas" w:hAnsi="Consolas"/>
          <w:sz w:val="18"/>
        </w:rPr>
        <w:t>0.24.0</w:t>
      </w:r>
      <w:r>
        <w:t xml:space="preserve">, Gradio </w:t>
      </w:r>
      <w:r>
        <w:rPr>
          <w:rFonts w:ascii="Consolas" w:hAnsi="Consolas"/>
          <w:sz w:val="18"/>
        </w:rPr>
        <w:t>5.50.0</w:t>
      </w:r>
      <w:r>
        <w:t xml:space="preserve">, and Tokenizers </w:t>
      </w:r>
      <w:r>
        <w:rPr>
          <w:rFonts w:ascii="Consolas" w:hAnsi="Consolas"/>
          <w:sz w:val="18"/>
        </w:rPr>
        <w:t>0.22.2</w:t>
      </w:r>
      <w:r>
        <w:t>. This is a partial historical record, not a tested dependency lock. Installation clones LLaMA-Factory without pinning a commit, so future executions can resolve different versions.</w:t>
      </w:r>
    </w:p>
    <w:p>
      <w:pPr>
        <w:pStyle w:val="Heading2"/>
        <w:widowControl/>
      </w:pPr>
      <w:r>
        <w:t>5 1 Training behavior</w:t>
      </w:r>
    </w:p>
    <w:p>
      <w:pPr>
        <w:keepNext/>
        <w:widowControl/>
        <w:jc w:val="center"/>
      </w:pPr>
      <w:r>
        <w:drawing>
          <wp:inline xmlns:a="http://schemas.openxmlformats.org/drawingml/2006/main" xmlns:pic="http://schemas.openxmlformats.org/drawingml/2006/picture">
            <wp:extent cx="6080760" cy="2397873"/>
            <wp:docPr id="2" name="Picture 2" descr="Training loss from the saved reference run"/>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80760" cy="2397873"/>
                    </a:xfrm>
                    <a:prstGeom prst="rect"/>
                  </pic:spPr>
                </pic:pic>
              </a:graphicData>
            </a:graphic>
          </wp:inline>
        </w:drawing>
      </w:r>
    </w:p>
    <w:p>
      <w:pPr>
        <w:pStyle w:val="Caption"/>
        <w:widowControl/>
      </w:pPr>
      <w:r>
        <w:t>Figure 2. Historical loss curve. The starting logged loss is 7.0881 and the final logged loss is 0.0028; the plot extends to approximately 750 optimizer steps.</w:t>
      </w:r>
    </w:p>
    <w:p>
      <w:pPr>
        <w:widowControl/>
      </w:pPr>
      <w:r>
        <w:t>Loss drops sharply early in training. Learning a small set of output strings is one possible contributor, but the curve cannot separate format learning, routing skill, memorization, or effects of loss masking. The final point is a logged training loss, not a held-out error rate or internal validation loss.</w:t>
      </w:r>
    </w:p>
    <w:p>
      <w:pPr>
        <w:widowControl/>
      </w:pPr>
      <w:r>
        <w:t>The transcribed log spans epoch 1.72 at 19:32:12 to epoch 2.00 at 19:46:00 and includes throughput of about 140 tokens per second. The directory name supplies a nominal start of 17:48:28. Partial observations suggest a training budget of roughly two to three hours; an exact finish timestamp and peak GPU memory are absent. Equivalent accuracy after fewer epochs has not been demonstrated.</w:t>
      </w:r>
    </w:p>
    <w:p>
      <w:pPr>
        <w:pStyle w:val="Heading1"/>
        <w:widowControl/>
      </w:pPr>
      <w:r>
        <w:t>6 Evaluation methodology</w:t>
      </w:r>
    </w:p>
    <w:p>
      <w:pPr>
        <w:pStyle w:val="Heading2"/>
        <w:widowControl/>
      </w:pPr>
      <w:r>
        <w:t>6 1 Base model decision rule</w:t>
      </w:r>
    </w:p>
    <w:p>
      <w:pPr>
        <w:widowControl/>
      </w:pPr>
      <w:r>
        <w:t xml:space="preserve">Before attaching the adapter, </w:t>
      </w:r>
      <w:r>
        <w:rPr>
          <w:rFonts w:ascii="Consolas" w:hAnsi="Consolas"/>
          <w:sz w:val="18"/>
        </w:rPr>
        <w:t>classify_base()</w:t>
      </w:r>
      <w:r>
        <w:t xml:space="preserve"> assigns labels to letters: A = Support general, B = Fileservice, C = O365, D = EOL, E = Software, F = Active Directory, and G = Computer-Services. The prompt asks for one letter. A single forward pass supplies next-token logits, and the highest-scoring candidate determines the class.</w:t>
      </w:r>
    </w:p>
    <w:p>
      <w:pPr>
        <w:widowControl/>
      </w:pPr>
      <w:r>
        <w:t>For each letter, the code prefers its spaced encoding if that is one token; otherwise it takes the first token of the unspaced encoding without asserting that it is a single token. Predictions are valid categories by construction. This is one prompt and fixed option order, not a search for the strongest possible base-model baseline.</w:t>
      </w:r>
    </w:p>
    <w:p>
      <w:pPr>
        <w:pStyle w:val="Heading2"/>
        <w:widowControl/>
      </w:pPr>
      <w:r>
        <w:t>6 2 Fine Tuned decision rule and comparability</w:t>
      </w:r>
    </w:p>
    <w:p>
      <w:pPr>
        <w:widowControl/>
      </w:pPr>
      <w:r>
        <w:t>The fine-tuned model uses the category-list instruction and greedy generation in Section 4. Both pipelines use the same held-out rows, but different prompt wording, output vocabulary, and decoding. The comparison measures those complete pipelines. A controlled experiment would use identical candidate-label scoring, prompt content, and tokenizer/template treatment for both checkpoints, and measure unconstrained generation compliance separately.</w:t>
      </w:r>
    </w:p>
    <w:p>
      <w:pPr>
        <w:pStyle w:val="Heading2"/>
        <w:widowControl/>
      </w:pPr>
      <w:r>
        <w:t>6 3 Metrics</w:t>
      </w:r>
    </w:p>
    <w:p>
      <w:pPr>
        <w:widowControl/>
      </w:pPr>
      <w:r>
        <w:t>Accuracy is the number of correct predictions divided by 1,000. For each class, precision is TP / (TP + FP), recall is TP / (TP + FN), and F1 is 2PR / (P + R). Macro F1 averages classes equally; weighted F1 weights them by support. The nearly balanced classes make these averages similar here. Uniform random guessing has expected accuracy 1/7, approximately 14.3%; this is an analytical reference, not an executed baseline.</w:t>
      </w:r>
    </w:p>
    <w:p>
      <w:pPr>
        <w:widowControl/>
      </w:pPr>
      <w:r>
        <w:t xml:space="preserve">Reports specify matching </w:t>
      </w:r>
      <w:r>
        <w:rPr>
          <w:rFonts w:ascii="Consolas" w:hAnsi="Consolas"/>
          <w:sz w:val="18"/>
        </w:rPr>
        <w:t>labels</w:t>
      </w:r>
      <w:r>
        <w:t xml:space="preserve"> and </w:t>
      </w:r>
      <w:r>
        <w:rPr>
          <w:rFonts w:ascii="Consolas" w:hAnsi="Consolas"/>
          <w:sz w:val="18"/>
        </w:rPr>
        <w:t>target_names</w:t>
      </w:r>
      <w:r>
        <w:t xml:space="preserve"> sequences. The confusion matrix uses true classes as rows and predictions as columns. Printed entries are counts; color is normalized within each row. Report metrics are rounded to three decimals, and accuracies to one decimal percent.</w:t>
      </w:r>
    </w:p>
    <w:p>
      <w:pPr>
        <w:widowControl/>
      </w:pPr>
      <w:r>
        <w:t>Only one recorded run and one external split are available. There are no repeated-seed results, calibration study, external-domain test, or complete per-ticket prediction export.</w:t>
      </w:r>
    </w:p>
    <w:p>
      <w:pPr>
        <w:pStyle w:val="Heading1"/>
        <w:widowControl/>
      </w:pPr>
      <w:r>
        <w:t>7 Results and metric provenance</w:t>
      </w:r>
    </w:p>
    <w:p>
      <w:pPr>
        <w:pStyle w:val="Heading2"/>
        <w:widowControl/>
      </w:pPr>
      <w:r>
        <w:t>7 1 Aggregate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00"/>
        <w:gridCol w:w="2016"/>
        <w:gridCol w:w="3096"/>
      </w:tblGrid>
      <w:tr>
        <w:trPr>
          <w:cantSplit/>
          <w:tblHeader/>
        </w:trPr>
        <w:tc>
          <w:tcPr>
            <w:tcW w:type="dxa" w:w="2880"/>
            <w:vAlign w:val="center"/>
            <w:shd w:fill="E8EEF4"/>
            <w:tcMar>
              <w:top w:w="65" w:type="dxa"/>
              <w:bottom w:w="65" w:type="dxa"/>
              <w:left w:w="95" w:type="dxa"/>
              <w:right w:w="95" w:type="dxa"/>
            </w:tcMar>
          </w:tcPr>
          <w:p>
            <w:pPr>
              <w:keepNext/>
              <w:spacing w:after="0" w:before="0" w:line="252" w:lineRule="auto"/>
            </w:pPr>
            <w:r>
              <w:rPr>
                <w:b/>
                <w:color w:val="000000"/>
                <w:sz w:val="19"/>
              </w:rPr>
              <w:t>Metric</w:t>
            </w:r>
          </w:p>
        </w:tc>
        <w:tc>
          <w:tcPr>
            <w:tcW w:type="dxa" w:w="1800"/>
            <w:vAlign w:val="center"/>
            <w:shd w:fill="E8EEF4"/>
            <w:tcMar>
              <w:top w:w="65" w:type="dxa"/>
              <w:bottom w:w="65" w:type="dxa"/>
              <w:left w:w="95" w:type="dxa"/>
              <w:right w:w="95" w:type="dxa"/>
            </w:tcMar>
          </w:tcPr>
          <w:p>
            <w:pPr>
              <w:keepNext/>
              <w:spacing w:after="0" w:before="0" w:line="252" w:lineRule="auto"/>
              <w:jc w:val="center"/>
            </w:pPr>
            <w:r>
              <w:rPr>
                <w:b/>
                <w:color w:val="000000"/>
                <w:sz w:val="19"/>
              </w:rPr>
              <w:t>Base model</w:t>
            </w:r>
          </w:p>
        </w:tc>
        <w:tc>
          <w:tcPr>
            <w:tcW w:type="dxa" w:w="2016"/>
            <w:vAlign w:val="center"/>
            <w:shd w:fill="E8EEF4"/>
            <w:tcMar>
              <w:top w:w="65" w:type="dxa"/>
              <w:bottom w:w="65" w:type="dxa"/>
              <w:left w:w="95" w:type="dxa"/>
              <w:right w:w="95" w:type="dxa"/>
            </w:tcMar>
          </w:tcPr>
          <w:p>
            <w:pPr>
              <w:keepNext/>
              <w:spacing w:after="0" w:before="0" w:line="252" w:lineRule="auto"/>
              <w:jc w:val="center"/>
            </w:pPr>
            <w:r>
              <w:rPr>
                <w:b/>
                <w:color w:val="000000"/>
                <w:sz w:val="19"/>
              </w:rPr>
              <w:t>Fine-tuned model</w:t>
            </w:r>
          </w:p>
        </w:tc>
        <w:tc>
          <w:tcPr>
            <w:tcW w:type="dxa" w:w="3096"/>
            <w:vAlign w:val="center"/>
            <w:shd w:fill="E8EEF4"/>
            <w:tcMar>
              <w:top w:w="65" w:type="dxa"/>
              <w:bottom w:w="65" w:type="dxa"/>
              <w:left w:w="95" w:type="dxa"/>
              <w:right w:w="95" w:type="dxa"/>
            </w:tcMar>
          </w:tcPr>
          <w:p>
            <w:pPr>
              <w:keepNext/>
              <w:spacing w:after="0" w:before="0" w:line="252" w:lineRule="auto"/>
              <w:jc w:val="center"/>
            </w:pPr>
            <w:r>
              <w:rPr>
                <w:b/>
                <w:color w:val="000000"/>
                <w:sz w:val="19"/>
              </w:rPr>
              <w:t>Difference</w:t>
            </w:r>
          </w:p>
        </w:tc>
      </w:tr>
      <w:tr>
        <w:trPr>
          <w:cantSplit/>
        </w:trPr>
        <w:tc>
          <w:tcPr>
            <w:tcW w:type="dxa" w:w="2880"/>
            <w:vAlign w:val="center"/>
            <w:shd w:fill="FFFFFF"/>
            <w:tcMar>
              <w:top w:w="65" w:type="dxa"/>
              <w:bottom w:w="65" w:type="dxa"/>
              <w:left w:w="95" w:type="dxa"/>
              <w:right w:w="95" w:type="dxa"/>
            </w:tcMar>
          </w:tcPr>
          <w:p>
            <w:pPr>
              <w:spacing w:after="0" w:before="0" w:line="252" w:lineRule="auto"/>
            </w:pPr>
            <w:r>
              <w:rPr>
                <w:b w:val="0"/>
                <w:color w:val="000000"/>
                <w:sz w:val="19"/>
              </w:rPr>
              <w:t>Accuracy</w:t>
            </w:r>
          </w:p>
        </w:tc>
        <w:tc>
          <w:tcPr>
            <w:tcW w:type="dxa" w:w="1800"/>
            <w:vAlign w:val="center"/>
            <w:shd w:fill="FFFFFF"/>
            <w:tcMar>
              <w:top w:w="65" w:type="dxa"/>
              <w:bottom w:w="65" w:type="dxa"/>
              <w:left w:w="95" w:type="dxa"/>
              <w:right w:w="95" w:type="dxa"/>
            </w:tcMar>
          </w:tcPr>
          <w:p>
            <w:pPr>
              <w:spacing w:after="0" w:before="0" w:line="252" w:lineRule="auto"/>
              <w:jc w:val="center"/>
            </w:pPr>
            <w:r>
              <w:rPr>
                <w:b w:val="0"/>
                <w:color w:val="000000"/>
                <w:sz w:val="19"/>
              </w:rPr>
              <w:t>20.9%</w:t>
            </w:r>
          </w:p>
        </w:tc>
        <w:tc>
          <w:tcPr>
            <w:tcW w:type="dxa" w:w="2016"/>
            <w:vAlign w:val="center"/>
            <w:shd w:fill="FFFFFF"/>
            <w:tcMar>
              <w:top w:w="65" w:type="dxa"/>
              <w:bottom w:w="65" w:type="dxa"/>
              <w:left w:w="95" w:type="dxa"/>
              <w:right w:w="95" w:type="dxa"/>
            </w:tcMar>
          </w:tcPr>
          <w:p>
            <w:pPr>
              <w:spacing w:after="0" w:before="0" w:line="252" w:lineRule="auto"/>
              <w:jc w:val="center"/>
            </w:pPr>
            <w:r>
              <w:rPr>
                <w:b w:val="0"/>
                <w:color w:val="000000"/>
                <w:sz w:val="19"/>
              </w:rPr>
              <w:t>98.1%</w:t>
            </w:r>
          </w:p>
        </w:tc>
        <w:tc>
          <w:tcPr>
            <w:tcW w:type="dxa" w:w="3096"/>
            <w:vAlign w:val="center"/>
            <w:shd w:fill="FFFFFF"/>
            <w:tcMar>
              <w:top w:w="65" w:type="dxa"/>
              <w:bottom w:w="65" w:type="dxa"/>
              <w:left w:w="95" w:type="dxa"/>
              <w:right w:w="95" w:type="dxa"/>
            </w:tcMar>
          </w:tcPr>
          <w:p>
            <w:pPr>
              <w:spacing w:after="0" w:before="0" w:line="252" w:lineRule="auto"/>
              <w:jc w:val="center"/>
            </w:pPr>
            <w:r>
              <w:rPr>
                <w:b w:val="0"/>
                <w:color w:val="000000"/>
                <w:sz w:val="19"/>
              </w:rPr>
              <w:t>+77.2 percentage points</w:t>
            </w:r>
          </w:p>
        </w:tc>
      </w:tr>
      <w:tr>
        <w:trPr>
          <w:cantSplit/>
        </w:trPr>
        <w:tc>
          <w:tcPr>
            <w:tcW w:type="dxa" w:w="2880"/>
            <w:vAlign w:val="center"/>
            <w:shd w:fill="F7F9FB"/>
            <w:tcMar>
              <w:top w:w="65" w:type="dxa"/>
              <w:bottom w:w="65" w:type="dxa"/>
              <w:left w:w="95" w:type="dxa"/>
              <w:right w:w="95" w:type="dxa"/>
            </w:tcMar>
          </w:tcPr>
          <w:p>
            <w:pPr>
              <w:spacing w:after="0" w:before="0" w:line="252" w:lineRule="auto"/>
            </w:pPr>
            <w:r>
              <w:rPr>
                <w:b w:val="0"/>
                <w:color w:val="000000"/>
                <w:sz w:val="19"/>
              </w:rPr>
              <w:t>Correct predictions</w:t>
            </w:r>
          </w:p>
        </w:tc>
        <w:tc>
          <w:tcPr>
            <w:tcW w:type="dxa" w:w="1800"/>
            <w:vAlign w:val="center"/>
            <w:shd w:fill="F7F9FB"/>
            <w:tcMar>
              <w:top w:w="65" w:type="dxa"/>
              <w:bottom w:w="65" w:type="dxa"/>
              <w:left w:w="95" w:type="dxa"/>
              <w:right w:w="95" w:type="dxa"/>
            </w:tcMar>
          </w:tcPr>
          <w:p>
            <w:pPr>
              <w:spacing w:after="0" w:before="0" w:line="252" w:lineRule="auto"/>
              <w:jc w:val="center"/>
            </w:pPr>
            <w:r>
              <w:rPr>
                <w:b w:val="0"/>
                <w:color w:val="000000"/>
                <w:sz w:val="19"/>
              </w:rPr>
              <w:t>209</w:t>
            </w:r>
          </w:p>
        </w:tc>
        <w:tc>
          <w:tcPr>
            <w:tcW w:type="dxa" w:w="2016"/>
            <w:vAlign w:val="center"/>
            <w:shd w:fill="F7F9FB"/>
            <w:tcMar>
              <w:top w:w="65" w:type="dxa"/>
              <w:bottom w:w="65" w:type="dxa"/>
              <w:left w:w="95" w:type="dxa"/>
              <w:right w:w="95" w:type="dxa"/>
            </w:tcMar>
          </w:tcPr>
          <w:p>
            <w:pPr>
              <w:spacing w:after="0" w:before="0" w:line="252" w:lineRule="auto"/>
              <w:jc w:val="center"/>
            </w:pPr>
            <w:r>
              <w:rPr>
                <w:b w:val="0"/>
                <w:color w:val="000000"/>
                <w:sz w:val="19"/>
              </w:rPr>
              <w:t>981</w:t>
            </w:r>
          </w:p>
        </w:tc>
        <w:tc>
          <w:tcPr>
            <w:tcW w:type="dxa" w:w="3096"/>
            <w:vAlign w:val="center"/>
            <w:shd w:fill="F7F9FB"/>
            <w:tcMar>
              <w:top w:w="65" w:type="dxa"/>
              <w:bottom w:w="65" w:type="dxa"/>
              <w:left w:w="95" w:type="dxa"/>
              <w:right w:w="95" w:type="dxa"/>
            </w:tcMar>
          </w:tcPr>
          <w:p>
            <w:pPr>
              <w:spacing w:after="0" w:before="0" w:line="252" w:lineRule="auto"/>
              <w:jc w:val="center"/>
            </w:pPr>
            <w:r>
              <w:rPr>
                <w:b w:val="0"/>
                <w:color w:val="000000"/>
                <w:sz w:val="19"/>
              </w:rPr>
              <w:t>+772</w:t>
            </w:r>
          </w:p>
        </w:tc>
      </w:tr>
      <w:tr>
        <w:trPr>
          <w:cantSplit/>
        </w:trPr>
        <w:tc>
          <w:tcPr>
            <w:tcW w:type="dxa" w:w="2880"/>
            <w:vAlign w:val="center"/>
            <w:shd w:fill="FFFFFF"/>
            <w:tcMar>
              <w:top w:w="65" w:type="dxa"/>
              <w:bottom w:w="65" w:type="dxa"/>
              <w:left w:w="95" w:type="dxa"/>
              <w:right w:w="95" w:type="dxa"/>
            </w:tcMar>
          </w:tcPr>
          <w:p>
            <w:pPr>
              <w:spacing w:after="0" w:before="0" w:line="252" w:lineRule="auto"/>
            </w:pPr>
            <w:r>
              <w:rPr>
                <w:b w:val="0"/>
                <w:color w:val="000000"/>
                <w:sz w:val="19"/>
              </w:rPr>
              <w:t>Errors</w:t>
            </w:r>
          </w:p>
        </w:tc>
        <w:tc>
          <w:tcPr>
            <w:tcW w:type="dxa" w:w="1800"/>
            <w:vAlign w:val="center"/>
            <w:shd w:fill="FFFFFF"/>
            <w:tcMar>
              <w:top w:w="65" w:type="dxa"/>
              <w:bottom w:w="65" w:type="dxa"/>
              <w:left w:w="95" w:type="dxa"/>
              <w:right w:w="95" w:type="dxa"/>
            </w:tcMar>
          </w:tcPr>
          <w:p>
            <w:pPr>
              <w:spacing w:after="0" w:before="0" w:line="252" w:lineRule="auto"/>
              <w:jc w:val="center"/>
            </w:pPr>
            <w:r>
              <w:rPr>
                <w:b w:val="0"/>
                <w:color w:val="000000"/>
                <w:sz w:val="19"/>
              </w:rPr>
              <w:t>791</w:t>
            </w:r>
          </w:p>
        </w:tc>
        <w:tc>
          <w:tcPr>
            <w:tcW w:type="dxa" w:w="2016"/>
            <w:vAlign w:val="center"/>
            <w:shd w:fill="FFFFFF"/>
            <w:tcMar>
              <w:top w:w="65" w:type="dxa"/>
              <w:bottom w:w="65" w:type="dxa"/>
              <w:left w:w="95" w:type="dxa"/>
              <w:right w:w="95" w:type="dxa"/>
            </w:tcMar>
          </w:tcPr>
          <w:p>
            <w:pPr>
              <w:spacing w:after="0" w:before="0" w:line="252" w:lineRule="auto"/>
              <w:jc w:val="center"/>
            </w:pPr>
            <w:r>
              <w:rPr>
                <w:b w:val="0"/>
                <w:color w:val="000000"/>
                <w:sz w:val="19"/>
              </w:rPr>
              <w:t>19</w:t>
            </w:r>
          </w:p>
        </w:tc>
        <w:tc>
          <w:tcPr>
            <w:tcW w:type="dxa" w:w="3096"/>
            <w:vAlign w:val="center"/>
            <w:shd w:fill="FFFFFF"/>
            <w:tcMar>
              <w:top w:w="65" w:type="dxa"/>
              <w:bottom w:w="65" w:type="dxa"/>
              <w:left w:w="95" w:type="dxa"/>
              <w:right w:w="95" w:type="dxa"/>
            </w:tcMar>
          </w:tcPr>
          <w:p>
            <w:pPr>
              <w:spacing w:after="0" w:before="0" w:line="252" w:lineRule="auto"/>
              <w:jc w:val="center"/>
            </w:pPr>
            <w:r>
              <w:rPr>
                <w:b w:val="0"/>
                <w:color w:val="000000"/>
                <w:sz w:val="19"/>
              </w:rPr>
              <w:t>772 fewer</w:t>
            </w:r>
          </w:p>
        </w:tc>
      </w:tr>
      <w:tr>
        <w:trPr>
          <w:cantSplit/>
        </w:trPr>
        <w:tc>
          <w:tcPr>
            <w:tcW w:type="dxa" w:w="2880"/>
            <w:vAlign w:val="center"/>
            <w:shd w:fill="F7F9FB"/>
            <w:tcMar>
              <w:top w:w="65" w:type="dxa"/>
              <w:bottom w:w="65" w:type="dxa"/>
              <w:left w:w="95" w:type="dxa"/>
              <w:right w:w="95" w:type="dxa"/>
            </w:tcMar>
          </w:tcPr>
          <w:p>
            <w:pPr>
              <w:spacing w:after="0" w:before="0" w:line="252" w:lineRule="auto"/>
            </w:pPr>
            <w:r>
              <w:rPr>
                <w:b w:val="0"/>
                <w:color w:val="000000"/>
                <w:sz w:val="19"/>
              </w:rPr>
              <w:t>Macro F1</w:t>
            </w:r>
          </w:p>
        </w:tc>
        <w:tc>
          <w:tcPr>
            <w:tcW w:type="dxa" w:w="1800"/>
            <w:vAlign w:val="center"/>
            <w:shd w:fill="F7F9FB"/>
            <w:tcMar>
              <w:top w:w="65" w:type="dxa"/>
              <w:bottom w:w="65" w:type="dxa"/>
              <w:left w:w="95" w:type="dxa"/>
              <w:right w:w="95" w:type="dxa"/>
            </w:tcMar>
          </w:tcPr>
          <w:p>
            <w:pPr>
              <w:spacing w:after="0" w:before="0" w:line="252" w:lineRule="auto"/>
              <w:jc w:val="center"/>
            </w:pPr>
            <w:r>
              <w:rPr>
                <w:b w:val="0"/>
                <w:color w:val="000000"/>
                <w:sz w:val="19"/>
              </w:rPr>
              <w:t>0.151</w:t>
            </w:r>
          </w:p>
        </w:tc>
        <w:tc>
          <w:tcPr>
            <w:tcW w:type="dxa" w:w="2016"/>
            <w:vAlign w:val="center"/>
            <w:shd w:fill="F7F9FB"/>
            <w:tcMar>
              <w:top w:w="65" w:type="dxa"/>
              <w:bottom w:w="65" w:type="dxa"/>
              <w:left w:w="95" w:type="dxa"/>
              <w:right w:w="95" w:type="dxa"/>
            </w:tcMar>
          </w:tcPr>
          <w:p>
            <w:pPr>
              <w:spacing w:after="0" w:before="0" w:line="252" w:lineRule="auto"/>
              <w:jc w:val="center"/>
            </w:pPr>
            <w:r>
              <w:rPr>
                <w:b w:val="0"/>
                <w:color w:val="000000"/>
                <w:sz w:val="19"/>
              </w:rPr>
              <w:t>0.981</w:t>
            </w:r>
          </w:p>
        </w:tc>
        <w:tc>
          <w:tcPr>
            <w:tcW w:type="dxa" w:w="3096"/>
            <w:vAlign w:val="center"/>
            <w:shd w:fill="F7F9FB"/>
            <w:tcMar>
              <w:top w:w="65" w:type="dxa"/>
              <w:bottom w:w="65" w:type="dxa"/>
              <w:left w:w="95" w:type="dxa"/>
              <w:right w:w="95" w:type="dxa"/>
            </w:tcMar>
          </w:tcPr>
          <w:p>
            <w:pPr>
              <w:spacing w:after="0" w:before="0" w:line="252" w:lineRule="auto"/>
              <w:jc w:val="center"/>
            </w:pPr>
            <w:r>
              <w:rPr>
                <w:b w:val="0"/>
                <w:color w:val="000000"/>
                <w:sz w:val="19"/>
              </w:rPr>
              <w:t>+0.830</w:t>
            </w:r>
          </w:p>
        </w:tc>
      </w:tr>
      <w:tr>
        <w:trPr>
          <w:cantSplit/>
        </w:trPr>
        <w:tc>
          <w:tcPr>
            <w:tcW w:type="dxa" w:w="2880"/>
            <w:vAlign w:val="center"/>
            <w:shd w:fill="FFFFFF"/>
            <w:tcMar>
              <w:top w:w="65" w:type="dxa"/>
              <w:bottom w:w="65" w:type="dxa"/>
              <w:left w:w="95" w:type="dxa"/>
              <w:right w:w="95" w:type="dxa"/>
            </w:tcMar>
          </w:tcPr>
          <w:p>
            <w:pPr>
              <w:spacing w:after="0" w:before="0" w:line="252" w:lineRule="auto"/>
            </w:pPr>
            <w:r>
              <w:rPr>
                <w:b w:val="0"/>
                <w:color w:val="000000"/>
                <w:sz w:val="19"/>
              </w:rPr>
              <w:t>Active Directory recall</w:t>
            </w:r>
          </w:p>
        </w:tc>
        <w:tc>
          <w:tcPr>
            <w:tcW w:type="dxa" w:w="1800"/>
            <w:vAlign w:val="center"/>
            <w:shd w:fill="FFFFFF"/>
            <w:tcMar>
              <w:top w:w="65" w:type="dxa"/>
              <w:bottom w:w="65" w:type="dxa"/>
              <w:left w:w="95" w:type="dxa"/>
              <w:right w:w="95" w:type="dxa"/>
            </w:tcMar>
          </w:tcPr>
          <w:p>
            <w:pPr>
              <w:spacing w:after="0" w:before="0" w:line="252" w:lineRule="auto"/>
              <w:jc w:val="center"/>
            </w:pPr>
            <w:r>
              <w:rPr>
                <w:b w:val="0"/>
                <w:color w:val="000000"/>
                <w:sz w:val="19"/>
              </w:rPr>
              <w:t>0.7%</w:t>
            </w:r>
          </w:p>
        </w:tc>
        <w:tc>
          <w:tcPr>
            <w:tcW w:type="dxa" w:w="2016"/>
            <w:vAlign w:val="center"/>
            <w:shd w:fill="FFFFFF"/>
            <w:tcMar>
              <w:top w:w="65" w:type="dxa"/>
              <w:bottom w:w="65" w:type="dxa"/>
              <w:left w:w="95" w:type="dxa"/>
              <w:right w:w="95" w:type="dxa"/>
            </w:tcMar>
          </w:tcPr>
          <w:p>
            <w:pPr>
              <w:spacing w:after="0" w:before="0" w:line="252" w:lineRule="auto"/>
              <w:jc w:val="center"/>
            </w:pPr>
            <w:r>
              <w:rPr>
                <w:b w:val="0"/>
                <w:color w:val="000000"/>
                <w:sz w:val="19"/>
              </w:rPr>
              <w:t>97.2%</w:t>
            </w:r>
          </w:p>
        </w:tc>
        <w:tc>
          <w:tcPr>
            <w:tcW w:type="dxa" w:w="3096"/>
            <w:vAlign w:val="center"/>
            <w:shd w:fill="FFFFFF"/>
            <w:tcMar>
              <w:top w:w="65" w:type="dxa"/>
              <w:bottom w:w="65" w:type="dxa"/>
              <w:left w:w="95" w:type="dxa"/>
              <w:right w:w="95" w:type="dxa"/>
            </w:tcMar>
          </w:tcPr>
          <w:p>
            <w:pPr>
              <w:spacing w:after="0" w:before="0" w:line="252" w:lineRule="auto"/>
              <w:jc w:val="center"/>
            </w:pPr>
            <w:r>
              <w:rPr>
                <w:b w:val="0"/>
                <w:color w:val="000000"/>
                <w:sz w:val="19"/>
              </w:rPr>
              <w:t>+96.5 percentage points</w:t>
            </w:r>
          </w:p>
        </w:tc>
      </w:tr>
    </w:tbl>
    <w:p>
      <w:pPr>
        <w:widowControl/>
        <w:spacing w:after="20"/>
      </w:pPr>
    </w:p>
    <w:p>
      <w:pPr>
        <w:keepNext/>
        <w:widowControl/>
        <w:jc w:val="center"/>
      </w:pPr>
      <w:r>
        <w:drawing>
          <wp:inline xmlns:a="http://schemas.openxmlformats.org/drawingml/2006/main" xmlns:pic="http://schemas.openxmlformats.org/drawingml/2006/picture">
            <wp:extent cx="6080760" cy="2432304"/>
            <wp:docPr id="3" name="Picture 3" descr="Corrected per-class comparison"/>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080760" cy="2432304"/>
                    </a:xfrm>
                    <a:prstGeom prst="rect"/>
                  </pic:spPr>
                </pic:pic>
              </a:graphicData>
            </a:graphic>
          </wp:inline>
        </w:drawing>
      </w:r>
    </w:p>
    <w:p>
      <w:pPr>
        <w:pStyle w:val="Caption"/>
        <w:widowControl/>
      </w:pPr>
      <w:r>
        <w:t>Figure 3. Corrected class mapping. Baseline F1 values come from the remapped historical report, rounded to three decimals; fine-tuned F1 values are recomputed from the saved matrix counts. No model inference was rerun to produce this chart.</w:t>
      </w:r>
    </w:p>
    <w:p>
      <w:pPr>
        <w:pStyle w:val="Heading2"/>
        <w:widowControl/>
      </w:pPr>
      <w:r>
        <w:t>7 2 Fine Tuned results by class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12"/>
        <w:gridCol w:w="1512"/>
        <w:gridCol w:w="1512"/>
        <w:gridCol w:w="1512"/>
      </w:tblGrid>
      <w:tr>
        <w:trPr>
          <w:cantSplit/>
          <w:tblHeader/>
        </w:trPr>
        <w:tc>
          <w:tcPr>
            <w:tcW w:type="dxa" w:w="3744"/>
            <w:vAlign w:val="center"/>
            <w:shd w:fill="E8EEF4"/>
            <w:tcMar>
              <w:top w:w="65" w:type="dxa"/>
              <w:bottom w:w="65" w:type="dxa"/>
              <w:left w:w="95" w:type="dxa"/>
              <w:right w:w="95" w:type="dxa"/>
            </w:tcMar>
          </w:tcPr>
          <w:p>
            <w:pPr>
              <w:keepNext/>
              <w:spacing w:after="0" w:before="0" w:line="252" w:lineRule="auto"/>
            </w:pPr>
            <w:r>
              <w:rPr>
                <w:b/>
                <w:color w:val="000000"/>
                <w:sz w:val="19"/>
              </w:rPr>
              <w:t>Class</w:t>
            </w:r>
          </w:p>
        </w:tc>
        <w:tc>
          <w:tcPr>
            <w:tcW w:type="dxa" w:w="1512"/>
            <w:vAlign w:val="center"/>
            <w:shd w:fill="E8EEF4"/>
            <w:tcMar>
              <w:top w:w="65" w:type="dxa"/>
              <w:bottom w:w="65" w:type="dxa"/>
              <w:left w:w="95" w:type="dxa"/>
              <w:right w:w="95" w:type="dxa"/>
            </w:tcMar>
          </w:tcPr>
          <w:p>
            <w:pPr>
              <w:keepNext/>
              <w:spacing w:after="0" w:before="0" w:line="252" w:lineRule="auto"/>
              <w:jc w:val="center"/>
            </w:pPr>
            <w:r>
              <w:rPr>
                <w:b/>
                <w:color w:val="000000"/>
                <w:sz w:val="19"/>
              </w:rPr>
              <w:t>Precision</w:t>
            </w:r>
          </w:p>
        </w:tc>
        <w:tc>
          <w:tcPr>
            <w:tcW w:type="dxa" w:w="1512"/>
            <w:vAlign w:val="center"/>
            <w:shd w:fill="E8EEF4"/>
            <w:tcMar>
              <w:top w:w="65" w:type="dxa"/>
              <w:bottom w:w="65" w:type="dxa"/>
              <w:left w:w="95" w:type="dxa"/>
              <w:right w:w="95" w:type="dxa"/>
            </w:tcMar>
          </w:tcPr>
          <w:p>
            <w:pPr>
              <w:keepNext/>
              <w:spacing w:after="0" w:before="0" w:line="252" w:lineRule="auto"/>
              <w:jc w:val="center"/>
            </w:pPr>
            <w:r>
              <w:rPr>
                <w:b/>
                <w:color w:val="000000"/>
                <w:sz w:val="19"/>
              </w:rPr>
              <w:t>Recall</w:t>
            </w:r>
          </w:p>
        </w:tc>
        <w:tc>
          <w:tcPr>
            <w:tcW w:type="dxa" w:w="1512"/>
            <w:vAlign w:val="center"/>
            <w:shd w:fill="E8EEF4"/>
            <w:tcMar>
              <w:top w:w="65" w:type="dxa"/>
              <w:bottom w:w="65" w:type="dxa"/>
              <w:left w:w="95" w:type="dxa"/>
              <w:right w:w="95" w:type="dxa"/>
            </w:tcMar>
          </w:tcPr>
          <w:p>
            <w:pPr>
              <w:keepNext/>
              <w:spacing w:after="0" w:before="0" w:line="252" w:lineRule="auto"/>
              <w:jc w:val="center"/>
            </w:pPr>
            <w:r>
              <w:rPr>
                <w:b/>
                <w:color w:val="000000"/>
                <w:sz w:val="19"/>
              </w:rPr>
              <w:t>F1</w:t>
            </w:r>
          </w:p>
        </w:tc>
        <w:tc>
          <w:tcPr>
            <w:tcW w:type="dxa" w:w="1512"/>
            <w:vAlign w:val="center"/>
            <w:shd w:fill="E8EEF4"/>
            <w:tcMar>
              <w:top w:w="65" w:type="dxa"/>
              <w:bottom w:w="65" w:type="dxa"/>
              <w:left w:w="95" w:type="dxa"/>
              <w:right w:w="95" w:type="dxa"/>
            </w:tcMar>
          </w:tcPr>
          <w:p>
            <w:pPr>
              <w:keepNext/>
              <w:spacing w:after="0" w:before="0" w:line="252" w:lineRule="auto"/>
              <w:jc w:val="center"/>
            </w:pPr>
            <w:r>
              <w:rPr>
                <w:b/>
                <w:color w:val="000000"/>
                <w:sz w:val="19"/>
              </w:rPr>
              <w:t>Support</w:t>
            </w:r>
          </w:p>
        </w:tc>
      </w:tr>
      <w:tr>
        <w:trPr>
          <w:cantSplit/>
        </w:trPr>
        <w:tc>
          <w:tcPr>
            <w:tcW w:type="dxa" w:w="3744"/>
            <w:vAlign w:val="center"/>
            <w:shd w:fill="FFFFFF"/>
            <w:tcMar>
              <w:top w:w="65" w:type="dxa"/>
              <w:bottom w:w="65" w:type="dxa"/>
              <w:left w:w="95" w:type="dxa"/>
              <w:right w:w="95" w:type="dxa"/>
            </w:tcMar>
          </w:tcPr>
          <w:p>
            <w:pPr>
              <w:spacing w:after="0" w:before="0" w:line="252" w:lineRule="auto"/>
            </w:pPr>
            <w:r>
              <w:rPr>
                <w:b w:val="0"/>
                <w:color w:val="000000"/>
                <w:sz w:val="19"/>
              </w:rPr>
              <w:t>Active Directory</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0.986</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0.972</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0.979</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744"/>
            <w:vAlign w:val="center"/>
            <w:shd w:fill="F7F9FB"/>
            <w:tcMar>
              <w:top w:w="65" w:type="dxa"/>
              <w:bottom w:w="65" w:type="dxa"/>
              <w:left w:w="95" w:type="dxa"/>
              <w:right w:w="95" w:type="dxa"/>
            </w:tcMar>
          </w:tcPr>
          <w:p>
            <w:pPr>
              <w:spacing w:after="0" w:before="0" w:line="252" w:lineRule="auto"/>
            </w:pPr>
            <w:r>
              <w:rPr>
                <w:b w:val="0"/>
                <w:color w:val="000000"/>
                <w:sz w:val="19"/>
              </w:rPr>
              <w:t>Computer-Services</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1.000</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0.986</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0.993</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744"/>
            <w:vAlign w:val="center"/>
            <w:shd w:fill="FFFFFF"/>
            <w:tcMar>
              <w:top w:w="65" w:type="dxa"/>
              <w:bottom w:w="65" w:type="dxa"/>
              <w:left w:w="95" w:type="dxa"/>
              <w:right w:w="95" w:type="dxa"/>
            </w:tcMar>
          </w:tcPr>
          <w:p>
            <w:pPr>
              <w:spacing w:after="0" w:before="0" w:line="252" w:lineRule="auto"/>
            </w:pPr>
            <w:r>
              <w:rPr>
                <w:b w:val="0"/>
                <w:color w:val="000000"/>
                <w:sz w:val="19"/>
              </w:rPr>
              <w:t>EOL</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1.000</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0.993</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0.996</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142</w:t>
            </w:r>
          </w:p>
        </w:tc>
      </w:tr>
      <w:tr>
        <w:trPr>
          <w:cantSplit/>
        </w:trPr>
        <w:tc>
          <w:tcPr>
            <w:tcW w:type="dxa" w:w="3744"/>
            <w:vAlign w:val="center"/>
            <w:shd w:fill="F7F9FB"/>
            <w:tcMar>
              <w:top w:w="65" w:type="dxa"/>
              <w:bottom w:w="65" w:type="dxa"/>
              <w:left w:w="95" w:type="dxa"/>
              <w:right w:w="95" w:type="dxa"/>
            </w:tcMar>
          </w:tcPr>
          <w:p>
            <w:pPr>
              <w:spacing w:after="0" w:before="0" w:line="252" w:lineRule="auto"/>
            </w:pPr>
            <w:r>
              <w:rPr>
                <w:b w:val="0"/>
                <w:color w:val="000000"/>
                <w:sz w:val="19"/>
              </w:rPr>
              <w:t>Fileservice</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0.986</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0.979</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0.982</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744"/>
            <w:vAlign w:val="center"/>
            <w:shd w:fill="FFFFFF"/>
            <w:tcMar>
              <w:top w:w="65" w:type="dxa"/>
              <w:bottom w:w="65" w:type="dxa"/>
              <w:left w:w="95" w:type="dxa"/>
              <w:right w:w="95" w:type="dxa"/>
            </w:tcMar>
          </w:tcPr>
          <w:p>
            <w:pPr>
              <w:spacing w:after="0" w:before="0" w:line="252" w:lineRule="auto"/>
            </w:pPr>
            <w:r>
              <w:rPr>
                <w:b w:val="0"/>
                <w:color w:val="000000"/>
                <w:sz w:val="19"/>
              </w:rPr>
              <w:t>O365</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0.986</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0.986</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0.986</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744"/>
            <w:vAlign w:val="center"/>
            <w:shd w:fill="F7F9FB"/>
            <w:tcMar>
              <w:top w:w="65" w:type="dxa"/>
              <w:bottom w:w="65" w:type="dxa"/>
              <w:left w:w="95" w:type="dxa"/>
              <w:right w:w="95" w:type="dxa"/>
            </w:tcMar>
          </w:tcPr>
          <w:p>
            <w:pPr>
              <w:spacing w:after="0" w:before="0" w:line="252" w:lineRule="auto"/>
            </w:pPr>
            <w:r>
              <w:rPr>
                <w:b w:val="0"/>
                <w:color w:val="000000"/>
                <w:sz w:val="19"/>
              </w:rPr>
              <w:t>Software</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0.953</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0.993</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0.973</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744"/>
            <w:vAlign w:val="center"/>
            <w:shd w:fill="FFFFFF"/>
            <w:tcMar>
              <w:top w:w="65" w:type="dxa"/>
              <w:bottom w:w="65" w:type="dxa"/>
              <w:left w:w="95" w:type="dxa"/>
              <w:right w:w="95" w:type="dxa"/>
            </w:tcMar>
          </w:tcPr>
          <w:p>
            <w:pPr>
              <w:spacing w:after="0" w:before="0" w:line="252" w:lineRule="auto"/>
            </w:pPr>
            <w:r>
              <w:rPr>
                <w:b w:val="0"/>
                <w:color w:val="000000"/>
                <w:sz w:val="19"/>
              </w:rPr>
              <w:t>Support general</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0.958</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0.958</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0.958</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143</w:t>
            </w:r>
          </w:p>
        </w:tc>
      </w:tr>
    </w:tbl>
    <w:p>
      <w:pPr>
        <w:widowControl/>
        <w:spacing w:after="20"/>
      </w:pPr>
    </w:p>
    <w:p>
      <w:pPr>
        <w:widowControl/>
      </w:pPr>
      <w:r>
        <w:t>Support general has the lowest recall at 137/143. Software has the lowest precision at 142/149. Active Directory has four false negatives among 143 reference examples. These identify queues to inspect, but cannot establish business severity because urgency and handling cost are not annotated.</w:t>
      </w:r>
    </w:p>
    <w:p>
      <w:pPr>
        <w:pStyle w:val="Heading2"/>
        <w:widowControl/>
      </w:pPr>
      <w:r>
        <w:t>7 3 Baseline results by class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12"/>
        <w:gridCol w:w="1512"/>
        <w:gridCol w:w="1512"/>
        <w:gridCol w:w="1512"/>
      </w:tblGrid>
      <w:tr>
        <w:trPr>
          <w:cantSplit/>
          <w:tblHeader/>
        </w:trPr>
        <w:tc>
          <w:tcPr>
            <w:tcW w:type="dxa" w:w="3744"/>
            <w:vAlign w:val="center"/>
            <w:shd w:fill="E8EEF4"/>
            <w:tcMar>
              <w:top w:w="65" w:type="dxa"/>
              <w:bottom w:w="65" w:type="dxa"/>
              <w:left w:w="95" w:type="dxa"/>
              <w:right w:w="95" w:type="dxa"/>
            </w:tcMar>
          </w:tcPr>
          <w:p>
            <w:pPr>
              <w:keepNext/>
              <w:spacing w:after="0" w:before="0" w:line="252" w:lineRule="auto"/>
            </w:pPr>
            <w:r>
              <w:rPr>
                <w:b/>
                <w:color w:val="000000"/>
                <w:sz w:val="19"/>
              </w:rPr>
              <w:t>Class</w:t>
            </w:r>
          </w:p>
        </w:tc>
        <w:tc>
          <w:tcPr>
            <w:tcW w:type="dxa" w:w="1512"/>
            <w:vAlign w:val="center"/>
            <w:shd w:fill="E8EEF4"/>
            <w:tcMar>
              <w:top w:w="65" w:type="dxa"/>
              <w:bottom w:w="65" w:type="dxa"/>
              <w:left w:w="95" w:type="dxa"/>
              <w:right w:w="95" w:type="dxa"/>
            </w:tcMar>
          </w:tcPr>
          <w:p>
            <w:pPr>
              <w:keepNext/>
              <w:spacing w:after="0" w:before="0" w:line="252" w:lineRule="auto"/>
              <w:jc w:val="center"/>
            </w:pPr>
            <w:r>
              <w:rPr>
                <w:b/>
                <w:color w:val="000000"/>
                <w:sz w:val="19"/>
              </w:rPr>
              <w:t>Precision</w:t>
            </w:r>
          </w:p>
        </w:tc>
        <w:tc>
          <w:tcPr>
            <w:tcW w:type="dxa" w:w="1512"/>
            <w:vAlign w:val="center"/>
            <w:shd w:fill="E8EEF4"/>
            <w:tcMar>
              <w:top w:w="65" w:type="dxa"/>
              <w:bottom w:w="65" w:type="dxa"/>
              <w:left w:w="95" w:type="dxa"/>
              <w:right w:w="95" w:type="dxa"/>
            </w:tcMar>
          </w:tcPr>
          <w:p>
            <w:pPr>
              <w:keepNext/>
              <w:spacing w:after="0" w:before="0" w:line="252" w:lineRule="auto"/>
              <w:jc w:val="center"/>
            </w:pPr>
            <w:r>
              <w:rPr>
                <w:b/>
                <w:color w:val="000000"/>
                <w:sz w:val="19"/>
              </w:rPr>
              <w:t>Recall</w:t>
            </w:r>
          </w:p>
        </w:tc>
        <w:tc>
          <w:tcPr>
            <w:tcW w:type="dxa" w:w="1512"/>
            <w:vAlign w:val="center"/>
            <w:shd w:fill="E8EEF4"/>
            <w:tcMar>
              <w:top w:w="65" w:type="dxa"/>
              <w:bottom w:w="65" w:type="dxa"/>
              <w:left w:w="95" w:type="dxa"/>
              <w:right w:w="95" w:type="dxa"/>
            </w:tcMar>
          </w:tcPr>
          <w:p>
            <w:pPr>
              <w:keepNext/>
              <w:spacing w:after="0" w:before="0" w:line="252" w:lineRule="auto"/>
              <w:jc w:val="center"/>
            </w:pPr>
            <w:r>
              <w:rPr>
                <w:b/>
                <w:color w:val="000000"/>
                <w:sz w:val="19"/>
              </w:rPr>
              <w:t>F1</w:t>
            </w:r>
          </w:p>
        </w:tc>
        <w:tc>
          <w:tcPr>
            <w:tcW w:type="dxa" w:w="1512"/>
            <w:vAlign w:val="center"/>
            <w:shd w:fill="E8EEF4"/>
            <w:tcMar>
              <w:top w:w="65" w:type="dxa"/>
              <w:bottom w:w="65" w:type="dxa"/>
              <w:left w:w="95" w:type="dxa"/>
              <w:right w:w="95" w:type="dxa"/>
            </w:tcMar>
          </w:tcPr>
          <w:p>
            <w:pPr>
              <w:keepNext/>
              <w:spacing w:after="0" w:before="0" w:line="252" w:lineRule="auto"/>
              <w:jc w:val="center"/>
            </w:pPr>
            <w:r>
              <w:rPr>
                <w:b/>
                <w:color w:val="000000"/>
                <w:sz w:val="19"/>
              </w:rPr>
              <w:t>Support</w:t>
            </w:r>
          </w:p>
        </w:tc>
      </w:tr>
      <w:tr>
        <w:trPr>
          <w:cantSplit/>
        </w:trPr>
        <w:tc>
          <w:tcPr>
            <w:tcW w:type="dxa" w:w="3744"/>
            <w:vAlign w:val="center"/>
            <w:shd w:fill="FFFFFF"/>
            <w:tcMar>
              <w:top w:w="65" w:type="dxa"/>
              <w:bottom w:w="65" w:type="dxa"/>
              <w:left w:w="95" w:type="dxa"/>
              <w:right w:w="95" w:type="dxa"/>
            </w:tcMar>
          </w:tcPr>
          <w:p>
            <w:pPr>
              <w:spacing w:after="0" w:before="0" w:line="252" w:lineRule="auto"/>
            </w:pPr>
            <w:r>
              <w:rPr>
                <w:b w:val="0"/>
                <w:color w:val="000000"/>
                <w:sz w:val="19"/>
              </w:rPr>
              <w:t>Active Directory</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1.000</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0.007</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0.014</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744"/>
            <w:vAlign w:val="center"/>
            <w:shd w:fill="F7F9FB"/>
            <w:tcMar>
              <w:top w:w="65" w:type="dxa"/>
              <w:bottom w:w="65" w:type="dxa"/>
              <w:left w:w="95" w:type="dxa"/>
              <w:right w:w="95" w:type="dxa"/>
            </w:tcMar>
          </w:tcPr>
          <w:p>
            <w:pPr>
              <w:spacing w:after="0" w:before="0" w:line="252" w:lineRule="auto"/>
            </w:pPr>
            <w:r>
              <w:rPr>
                <w:b w:val="0"/>
                <w:color w:val="000000"/>
                <w:sz w:val="19"/>
              </w:rPr>
              <w:t>Computer-Services</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0.000</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0.000</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0.000</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744"/>
            <w:vAlign w:val="center"/>
            <w:shd w:fill="FFFFFF"/>
            <w:tcMar>
              <w:top w:w="65" w:type="dxa"/>
              <w:bottom w:w="65" w:type="dxa"/>
              <w:left w:w="95" w:type="dxa"/>
              <w:right w:w="95" w:type="dxa"/>
            </w:tcMar>
          </w:tcPr>
          <w:p>
            <w:pPr>
              <w:spacing w:after="0" w:before="0" w:line="252" w:lineRule="auto"/>
            </w:pPr>
            <w:r>
              <w:rPr>
                <w:b w:val="0"/>
                <w:color w:val="000000"/>
                <w:sz w:val="19"/>
              </w:rPr>
              <w:t>EOL</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0.929</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0.275</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0.424</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142</w:t>
            </w:r>
          </w:p>
        </w:tc>
      </w:tr>
      <w:tr>
        <w:trPr>
          <w:cantSplit/>
        </w:trPr>
        <w:tc>
          <w:tcPr>
            <w:tcW w:type="dxa" w:w="3744"/>
            <w:vAlign w:val="center"/>
            <w:shd w:fill="F7F9FB"/>
            <w:tcMar>
              <w:top w:w="65" w:type="dxa"/>
              <w:bottom w:w="65" w:type="dxa"/>
              <w:left w:w="95" w:type="dxa"/>
              <w:right w:w="95" w:type="dxa"/>
            </w:tcMar>
          </w:tcPr>
          <w:p>
            <w:pPr>
              <w:spacing w:after="0" w:before="0" w:line="252" w:lineRule="auto"/>
            </w:pPr>
            <w:r>
              <w:rPr>
                <w:b w:val="0"/>
                <w:color w:val="000000"/>
                <w:sz w:val="19"/>
              </w:rPr>
              <w:t>Fileservice</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1.000</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0.098</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0.178</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744"/>
            <w:vAlign w:val="center"/>
            <w:shd w:fill="FFFFFF"/>
            <w:tcMar>
              <w:top w:w="65" w:type="dxa"/>
              <w:bottom w:w="65" w:type="dxa"/>
              <w:left w:w="95" w:type="dxa"/>
              <w:right w:w="95" w:type="dxa"/>
            </w:tcMar>
          </w:tcPr>
          <w:p>
            <w:pPr>
              <w:spacing w:after="0" w:before="0" w:line="252" w:lineRule="auto"/>
            </w:pPr>
            <w:r>
              <w:rPr>
                <w:b w:val="0"/>
                <w:color w:val="000000"/>
                <w:sz w:val="19"/>
              </w:rPr>
              <w:t>O365</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0.333</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0.007</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0.014</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744"/>
            <w:vAlign w:val="center"/>
            <w:shd w:fill="F7F9FB"/>
            <w:tcMar>
              <w:top w:w="65" w:type="dxa"/>
              <w:bottom w:w="65" w:type="dxa"/>
              <w:left w:w="95" w:type="dxa"/>
              <w:right w:w="95" w:type="dxa"/>
            </w:tcMar>
          </w:tcPr>
          <w:p>
            <w:pPr>
              <w:spacing w:after="0" w:before="0" w:line="252" w:lineRule="auto"/>
            </w:pPr>
            <w:r>
              <w:rPr>
                <w:b w:val="0"/>
                <w:color w:val="000000"/>
                <w:sz w:val="19"/>
              </w:rPr>
              <w:t>Software</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0.867</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0.091</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0.165</w:t>
            </w:r>
          </w:p>
        </w:tc>
        <w:tc>
          <w:tcPr>
            <w:tcW w:type="dxa" w:w="1512"/>
            <w:vAlign w:val="center"/>
            <w:shd w:fill="F7F9FB"/>
            <w:tcMar>
              <w:top w:w="65" w:type="dxa"/>
              <w:bottom w:w="65" w:type="dxa"/>
              <w:left w:w="95" w:type="dxa"/>
              <w:right w:w="95" w:type="dxa"/>
            </w:tcMar>
          </w:tcPr>
          <w:p>
            <w:pPr>
              <w:spacing w:after="0" w:before="0" w:line="252" w:lineRule="auto"/>
              <w:jc w:val="center"/>
            </w:pPr>
            <w:r>
              <w:rPr>
                <w:b w:val="0"/>
                <w:color w:val="000000"/>
                <w:sz w:val="19"/>
              </w:rPr>
              <w:t>143</w:t>
            </w:r>
          </w:p>
        </w:tc>
      </w:tr>
      <w:tr>
        <w:trPr>
          <w:cantSplit/>
        </w:trPr>
        <w:tc>
          <w:tcPr>
            <w:tcW w:type="dxa" w:w="3744"/>
            <w:vAlign w:val="center"/>
            <w:shd w:fill="FFFFFF"/>
            <w:tcMar>
              <w:top w:w="65" w:type="dxa"/>
              <w:bottom w:w="65" w:type="dxa"/>
              <w:left w:w="95" w:type="dxa"/>
              <w:right w:w="95" w:type="dxa"/>
            </w:tcMar>
          </w:tcPr>
          <w:p>
            <w:pPr>
              <w:spacing w:after="0" w:before="0" w:line="252" w:lineRule="auto"/>
            </w:pPr>
            <w:r>
              <w:rPr>
                <w:b w:val="0"/>
                <w:color w:val="000000"/>
                <w:sz w:val="19"/>
              </w:rPr>
              <w:t>Support general</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0.152</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0.986</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0.264</w:t>
            </w:r>
          </w:p>
        </w:tc>
        <w:tc>
          <w:tcPr>
            <w:tcW w:type="dxa" w:w="1512"/>
            <w:vAlign w:val="center"/>
            <w:shd w:fill="FFFFFF"/>
            <w:tcMar>
              <w:top w:w="65" w:type="dxa"/>
              <w:bottom w:w="65" w:type="dxa"/>
              <w:left w:w="95" w:type="dxa"/>
              <w:right w:w="95" w:type="dxa"/>
            </w:tcMar>
          </w:tcPr>
          <w:p>
            <w:pPr>
              <w:spacing w:after="0" w:before="0" w:line="252" w:lineRule="auto"/>
              <w:jc w:val="center"/>
            </w:pPr>
            <w:r>
              <w:rPr>
                <w:b w:val="0"/>
                <w:color w:val="000000"/>
                <w:sz w:val="19"/>
              </w:rPr>
              <w:t>143</w:t>
            </w:r>
          </w:p>
        </w:tc>
      </w:tr>
    </w:tbl>
    <w:p>
      <w:pPr>
        <w:widowControl/>
        <w:spacing w:after="20"/>
      </w:pPr>
    </w:p>
    <w:p>
      <w:pPr>
        <w:widowControl/>
      </w:pPr>
      <w:r>
        <w:t>High Support general recall and low precision imply that roughly 925 of 1,000 baseline predictions went to the first option. This is consistent with option-position bias or a prompt-induced default, but one option order cannot establish the cause. Permuting answer order would test that explanation. Aggregate metrics cannot determine whether errors arise from language understanding, taxonomy ambiguity, or formatting.</w:t>
      </w:r>
    </w:p>
    <w:p>
      <w:pPr>
        <w:pStyle w:val="Heading2"/>
        <w:widowControl/>
      </w:pPr>
      <w:r>
        <w:t>7 4 Historical class name ordering defect</w:t>
      </w:r>
    </w:p>
    <w:p>
      <w:pPr>
        <w:widowControl/>
      </w:pPr>
      <w:r>
        <w:t xml:space="preserve">Originally, </w:t>
      </w:r>
      <w:r>
        <w:rPr>
          <w:rFonts w:ascii="Consolas" w:hAnsi="Consolas"/>
          <w:sz w:val="18"/>
        </w:rPr>
        <w:t>classification_report</w:t>
      </w:r>
      <w:r>
        <w:t xml:space="preserve"> received </w:t>
      </w:r>
      <w:r>
        <w:rPr>
          <w:rFonts w:ascii="Consolas" w:hAnsi="Consolas"/>
          <w:sz w:val="18"/>
        </w:rPr>
        <w:t>target_names=LABEL_TOKENS</w:t>
      </w:r>
      <w:r>
        <w:t xml:space="preserve"> without an explicit </w:t>
      </w:r>
      <w:r>
        <w:rPr>
          <w:rFonts w:ascii="Consolas" w:hAnsi="Consolas"/>
          <w:sz w:val="18"/>
        </w:rPr>
        <w:t>labels</w:t>
      </w:r>
      <w:r>
        <w:t xml:space="preserve"> sequence. The inferred class order was alphabetical, while display names followed the custom project order. Per-class values were therefore attached to incorrect names. The affected calls were the baseline report, fine-tuned report, and comparison-chart helper. The confusion matrix already specified </w:t>
      </w:r>
      <w:r>
        <w:rPr>
          <w:rFonts w:ascii="Consolas" w:hAnsi="Consolas"/>
          <w:sz w:val="18"/>
        </w:rPr>
        <w:t>labels=LABEL_TOKENS</w:t>
      </w:r>
      <w:r>
        <w:t xml:space="preserve">. See the </w:t>
      </w:r>
      <w:hyperlink r:id="rId18">
        <w:r>
          <w:rPr>
            <w:color w:val="175C97"/>
          </w:rPr>
          <w:t>scikit-learn parameter documentation</w:t>
        </w:r>
      </w:hyperlink>
      <w:r>
        <w:t>.</w:t>
      </w:r>
    </w:p>
    <w:p>
      <w:pPr>
        <w:widowControl/>
      </w:pPr>
      <w:r>
        <w:t>Current notebook source fixes all three calls; historical outputs predate the fix. This paper remaps baseline rows to their true alphabetical class names and recomputes fine-tuned metrics from the matrix. Accuracy and aggregate F1 were unaffected. The corrected standalone documentation chart replaces the stale chart; the embedded historical notebook chart remains unchanged.</w:t>
      </w:r>
    </w:p>
    <w:p>
      <w:pPr>
        <w:widowControl/>
      </w:pPr>
      <w:r>
        <w:t xml:space="preserve">The </w:t>
      </w:r>
      <w:hyperlink r:id="rId19">
        <w:r>
          <w:rPr>
            <w:color w:val="175C97"/>
          </w:rPr>
          <w:t>reference results</w:t>
        </w:r>
      </w:hyperlink>
      <w:r>
        <w:t xml:space="preserve"> preserve the transcribed matrix, remapped baseline report, and data audit. They are derived aggregate evidence, not a new experiment or a replacement for per-ticket predictions.</w:t>
      </w:r>
    </w:p>
    <w:p>
      <w:pPr>
        <w:pStyle w:val="Heading1"/>
        <w:widowControl/>
      </w:pPr>
      <w:r>
        <w:t>8 Error analysis and discussion</w:t>
      </w:r>
    </w:p>
    <w:p>
      <w:pPr>
        <w:keepNext/>
        <w:widowControl/>
        <w:jc w:val="center"/>
      </w:pPr>
      <w:r>
        <w:drawing>
          <wp:inline xmlns:a="http://schemas.openxmlformats.org/drawingml/2006/main" xmlns:pic="http://schemas.openxmlformats.org/drawingml/2006/picture">
            <wp:extent cx="4937760" cy="4046383"/>
            <wp:docPr id="4" name="Picture 4" descr="Fine-tuned confusion matrix"/>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4046383"/>
                    </a:xfrm>
                    <a:prstGeom prst="rect"/>
                  </pic:spPr>
                </pic:pic>
              </a:graphicData>
            </a:graphic>
          </wp:inline>
        </w:drawing>
      </w:r>
    </w:p>
    <w:p>
      <w:pPr>
        <w:pStyle w:val="Caption"/>
        <w:widowControl/>
      </w:pPr>
      <w:r>
        <w:t>Figure 4. Saved matrix with correct class ordering. The diagonal sums to 981; off-diagonal entries sum to 19.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584"/>
        <w:gridCol w:w="5616"/>
      </w:tblGrid>
      <w:tr>
        <w:trPr>
          <w:cantSplit/>
          <w:tblHeader/>
        </w:trPr>
        <w:tc>
          <w:tcPr>
            <w:tcW w:type="dxa" w:w="2592"/>
            <w:vAlign w:val="center"/>
            <w:shd w:fill="E8EEF4"/>
            <w:tcMar>
              <w:top w:w="65" w:type="dxa"/>
              <w:bottom w:w="65" w:type="dxa"/>
              <w:left w:w="95" w:type="dxa"/>
              <w:right w:w="95" w:type="dxa"/>
            </w:tcMar>
          </w:tcPr>
          <w:p>
            <w:pPr>
              <w:keepNext/>
              <w:spacing w:after="0" w:before="0" w:line="252" w:lineRule="auto"/>
            </w:pPr>
            <w:r>
              <w:rPr>
                <w:b/>
                <w:color w:val="000000"/>
                <w:sz w:val="19"/>
              </w:rPr>
              <w:t>True class</w:t>
            </w:r>
          </w:p>
        </w:tc>
        <w:tc>
          <w:tcPr>
            <w:tcW w:type="dxa" w:w="1584"/>
            <w:vAlign w:val="center"/>
            <w:shd w:fill="E8EEF4"/>
            <w:tcMar>
              <w:top w:w="65" w:type="dxa"/>
              <w:bottom w:w="65" w:type="dxa"/>
              <w:left w:w="95" w:type="dxa"/>
              <w:right w:w="95" w:type="dxa"/>
            </w:tcMar>
          </w:tcPr>
          <w:p>
            <w:pPr>
              <w:keepNext/>
              <w:spacing w:after="0" w:before="0" w:line="252" w:lineRule="auto"/>
              <w:jc w:val="center"/>
            </w:pPr>
            <w:r>
              <w:rPr>
                <w:b/>
                <w:color w:val="000000"/>
                <w:sz w:val="19"/>
              </w:rPr>
              <w:t>Correct</w:t>
            </w:r>
          </w:p>
        </w:tc>
        <w:tc>
          <w:tcPr>
            <w:tcW w:type="dxa" w:w="5616"/>
            <w:vAlign w:val="center"/>
            <w:shd w:fill="E8EEF4"/>
            <w:tcMar>
              <w:top w:w="65" w:type="dxa"/>
              <w:bottom w:w="65" w:type="dxa"/>
              <w:left w:w="95" w:type="dxa"/>
              <w:right w:w="95" w:type="dxa"/>
            </w:tcMar>
          </w:tcPr>
          <w:p>
            <w:pPr>
              <w:keepNext/>
              <w:spacing w:after="0" w:before="0" w:line="252" w:lineRule="auto"/>
            </w:pPr>
            <w:r>
              <w:rPr>
                <w:b/>
                <w:color w:val="000000"/>
                <w:sz w:val="19"/>
              </w:rPr>
              <w:t>Misrouted predictions</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Support general</w:t>
            </w:r>
          </w:p>
        </w:tc>
        <w:tc>
          <w:tcPr>
            <w:tcW w:type="dxa" w:w="1584"/>
            <w:vAlign w:val="center"/>
            <w:shd w:fill="FFFFFF"/>
            <w:tcMar>
              <w:top w:w="65" w:type="dxa"/>
              <w:bottom w:w="65" w:type="dxa"/>
              <w:left w:w="95" w:type="dxa"/>
              <w:right w:w="95" w:type="dxa"/>
            </w:tcMar>
          </w:tcPr>
          <w:p>
            <w:pPr>
              <w:spacing w:after="0" w:before="0" w:line="252" w:lineRule="auto"/>
              <w:jc w:val="center"/>
            </w:pPr>
            <w:r>
              <w:rPr>
                <w:b w:val="0"/>
                <w:color w:val="000000"/>
                <w:sz w:val="19"/>
              </w:rPr>
              <w:t>137 / 143</w:t>
            </w:r>
          </w:p>
        </w:tc>
        <w:tc>
          <w:tcPr>
            <w:tcW w:type="dxa" w:w="5616"/>
            <w:vAlign w:val="center"/>
            <w:shd w:fill="FFFFFF"/>
            <w:tcMar>
              <w:top w:w="65" w:type="dxa"/>
              <w:bottom w:w="65" w:type="dxa"/>
              <w:left w:w="95" w:type="dxa"/>
              <w:right w:w="95" w:type="dxa"/>
            </w:tcMar>
          </w:tcPr>
          <w:p>
            <w:pPr>
              <w:spacing w:after="0" w:before="0" w:line="252" w:lineRule="auto"/>
            </w:pPr>
            <w:r>
              <w:rPr>
                <w:b w:val="0"/>
                <w:color w:val="000000"/>
                <w:sz w:val="19"/>
              </w:rPr>
              <w:t>5 Software; 1 Active Directory</w:t>
            </w:r>
          </w:p>
        </w:tc>
      </w:tr>
      <w:tr>
        <w:trPr>
          <w:cantSplit/>
        </w:trPr>
        <w:tc>
          <w:tcPr>
            <w:tcW w:type="dxa" w:w="2592"/>
            <w:vAlign w:val="center"/>
            <w:shd w:fill="F7F9FB"/>
            <w:tcMar>
              <w:top w:w="65" w:type="dxa"/>
              <w:bottom w:w="65" w:type="dxa"/>
              <w:left w:w="95" w:type="dxa"/>
              <w:right w:w="95" w:type="dxa"/>
            </w:tcMar>
          </w:tcPr>
          <w:p>
            <w:pPr>
              <w:spacing w:after="0" w:before="0" w:line="252" w:lineRule="auto"/>
            </w:pPr>
            <w:r>
              <w:rPr>
                <w:b w:val="0"/>
                <w:color w:val="000000"/>
                <w:sz w:val="19"/>
              </w:rPr>
              <w:t>Fileservice</w:t>
            </w:r>
          </w:p>
        </w:tc>
        <w:tc>
          <w:tcPr>
            <w:tcW w:type="dxa" w:w="1584"/>
            <w:vAlign w:val="center"/>
            <w:shd w:fill="F7F9FB"/>
            <w:tcMar>
              <w:top w:w="65" w:type="dxa"/>
              <w:bottom w:w="65" w:type="dxa"/>
              <w:left w:w="95" w:type="dxa"/>
              <w:right w:w="95" w:type="dxa"/>
            </w:tcMar>
          </w:tcPr>
          <w:p>
            <w:pPr>
              <w:spacing w:after="0" w:before="0" w:line="252" w:lineRule="auto"/>
              <w:jc w:val="center"/>
            </w:pPr>
            <w:r>
              <w:rPr>
                <w:b w:val="0"/>
                <w:color w:val="000000"/>
                <w:sz w:val="19"/>
              </w:rPr>
              <w:t>140 / 143</w:t>
            </w:r>
          </w:p>
        </w:tc>
        <w:tc>
          <w:tcPr>
            <w:tcW w:type="dxa" w:w="5616"/>
            <w:vAlign w:val="center"/>
            <w:shd w:fill="F7F9FB"/>
            <w:tcMar>
              <w:top w:w="65" w:type="dxa"/>
              <w:bottom w:w="65" w:type="dxa"/>
              <w:left w:w="95" w:type="dxa"/>
              <w:right w:w="95" w:type="dxa"/>
            </w:tcMar>
          </w:tcPr>
          <w:p>
            <w:pPr>
              <w:spacing w:after="0" w:before="0" w:line="252" w:lineRule="auto"/>
            </w:pPr>
            <w:r>
              <w:rPr>
                <w:b w:val="0"/>
                <w:color w:val="000000"/>
                <w:sz w:val="19"/>
              </w:rPr>
              <w:t>2 Support general; 1 O365</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O365</w:t>
            </w:r>
          </w:p>
        </w:tc>
        <w:tc>
          <w:tcPr>
            <w:tcW w:type="dxa" w:w="1584"/>
            <w:vAlign w:val="center"/>
            <w:shd w:fill="FFFFFF"/>
            <w:tcMar>
              <w:top w:w="65" w:type="dxa"/>
              <w:bottom w:w="65" w:type="dxa"/>
              <w:left w:w="95" w:type="dxa"/>
              <w:right w:w="95" w:type="dxa"/>
            </w:tcMar>
          </w:tcPr>
          <w:p>
            <w:pPr>
              <w:spacing w:after="0" w:before="0" w:line="252" w:lineRule="auto"/>
              <w:jc w:val="center"/>
            </w:pPr>
            <w:r>
              <w:rPr>
                <w:b w:val="0"/>
                <w:color w:val="000000"/>
                <w:sz w:val="19"/>
              </w:rPr>
              <w:t>141 / 143</w:t>
            </w:r>
          </w:p>
        </w:tc>
        <w:tc>
          <w:tcPr>
            <w:tcW w:type="dxa" w:w="5616"/>
            <w:vAlign w:val="center"/>
            <w:shd w:fill="FFFFFF"/>
            <w:tcMar>
              <w:top w:w="65" w:type="dxa"/>
              <w:bottom w:w="65" w:type="dxa"/>
              <w:left w:w="95" w:type="dxa"/>
              <w:right w:w="95" w:type="dxa"/>
            </w:tcMar>
          </w:tcPr>
          <w:p>
            <w:pPr>
              <w:spacing w:after="0" w:before="0" w:line="252" w:lineRule="auto"/>
            </w:pPr>
            <w:r>
              <w:rPr>
                <w:b w:val="0"/>
                <w:color w:val="000000"/>
                <w:sz w:val="19"/>
              </w:rPr>
              <w:t>1 Fileservice; 1 Software</w:t>
            </w:r>
          </w:p>
        </w:tc>
      </w:tr>
      <w:tr>
        <w:trPr>
          <w:cantSplit/>
        </w:trPr>
        <w:tc>
          <w:tcPr>
            <w:tcW w:type="dxa" w:w="2592"/>
            <w:vAlign w:val="center"/>
            <w:shd w:fill="F7F9FB"/>
            <w:tcMar>
              <w:top w:w="65" w:type="dxa"/>
              <w:bottom w:w="65" w:type="dxa"/>
              <w:left w:w="95" w:type="dxa"/>
              <w:right w:w="95" w:type="dxa"/>
            </w:tcMar>
          </w:tcPr>
          <w:p>
            <w:pPr>
              <w:spacing w:after="0" w:before="0" w:line="252" w:lineRule="auto"/>
            </w:pPr>
            <w:r>
              <w:rPr>
                <w:b w:val="0"/>
                <w:color w:val="000000"/>
                <w:sz w:val="19"/>
              </w:rPr>
              <w:t>EOL</w:t>
            </w:r>
          </w:p>
        </w:tc>
        <w:tc>
          <w:tcPr>
            <w:tcW w:type="dxa" w:w="1584"/>
            <w:vAlign w:val="center"/>
            <w:shd w:fill="F7F9FB"/>
            <w:tcMar>
              <w:top w:w="65" w:type="dxa"/>
              <w:bottom w:w="65" w:type="dxa"/>
              <w:left w:w="95" w:type="dxa"/>
              <w:right w:w="95" w:type="dxa"/>
            </w:tcMar>
          </w:tcPr>
          <w:p>
            <w:pPr>
              <w:spacing w:after="0" w:before="0" w:line="252" w:lineRule="auto"/>
              <w:jc w:val="center"/>
            </w:pPr>
            <w:r>
              <w:rPr>
                <w:b w:val="0"/>
                <w:color w:val="000000"/>
                <w:sz w:val="19"/>
              </w:rPr>
              <w:t>141 / 142</w:t>
            </w:r>
          </w:p>
        </w:tc>
        <w:tc>
          <w:tcPr>
            <w:tcW w:type="dxa" w:w="5616"/>
            <w:vAlign w:val="center"/>
            <w:shd w:fill="F7F9FB"/>
            <w:tcMar>
              <w:top w:w="65" w:type="dxa"/>
              <w:bottom w:w="65" w:type="dxa"/>
              <w:left w:w="95" w:type="dxa"/>
              <w:right w:w="95" w:type="dxa"/>
            </w:tcMar>
          </w:tcPr>
          <w:p>
            <w:pPr>
              <w:spacing w:after="0" w:before="0" w:line="252" w:lineRule="auto"/>
            </w:pPr>
            <w:r>
              <w:rPr>
                <w:b w:val="0"/>
                <w:color w:val="000000"/>
                <w:sz w:val="19"/>
              </w:rPr>
              <w:t>1 Support general</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Software</w:t>
            </w:r>
          </w:p>
        </w:tc>
        <w:tc>
          <w:tcPr>
            <w:tcW w:type="dxa" w:w="1584"/>
            <w:vAlign w:val="center"/>
            <w:shd w:fill="FFFFFF"/>
            <w:tcMar>
              <w:top w:w="65" w:type="dxa"/>
              <w:bottom w:w="65" w:type="dxa"/>
              <w:left w:w="95" w:type="dxa"/>
              <w:right w:w="95" w:type="dxa"/>
            </w:tcMar>
          </w:tcPr>
          <w:p>
            <w:pPr>
              <w:spacing w:after="0" w:before="0" w:line="252" w:lineRule="auto"/>
              <w:jc w:val="center"/>
            </w:pPr>
            <w:r>
              <w:rPr>
                <w:b w:val="0"/>
                <w:color w:val="000000"/>
                <w:sz w:val="19"/>
              </w:rPr>
              <w:t>142 / 143</w:t>
            </w:r>
          </w:p>
        </w:tc>
        <w:tc>
          <w:tcPr>
            <w:tcW w:type="dxa" w:w="5616"/>
            <w:vAlign w:val="center"/>
            <w:shd w:fill="FFFFFF"/>
            <w:tcMar>
              <w:top w:w="65" w:type="dxa"/>
              <w:bottom w:w="65" w:type="dxa"/>
              <w:left w:w="95" w:type="dxa"/>
              <w:right w:w="95" w:type="dxa"/>
            </w:tcMar>
          </w:tcPr>
          <w:p>
            <w:pPr>
              <w:spacing w:after="0" w:before="0" w:line="252" w:lineRule="auto"/>
            </w:pPr>
            <w:r>
              <w:rPr>
                <w:b w:val="0"/>
                <w:color w:val="000000"/>
                <w:sz w:val="19"/>
              </w:rPr>
              <w:t>1 Active Directory</w:t>
            </w:r>
          </w:p>
        </w:tc>
      </w:tr>
      <w:tr>
        <w:trPr>
          <w:cantSplit/>
        </w:trPr>
        <w:tc>
          <w:tcPr>
            <w:tcW w:type="dxa" w:w="2592"/>
            <w:vAlign w:val="center"/>
            <w:shd w:fill="F7F9FB"/>
            <w:tcMar>
              <w:top w:w="65" w:type="dxa"/>
              <w:bottom w:w="65" w:type="dxa"/>
              <w:left w:w="95" w:type="dxa"/>
              <w:right w:w="95" w:type="dxa"/>
            </w:tcMar>
          </w:tcPr>
          <w:p>
            <w:pPr>
              <w:spacing w:after="0" w:before="0" w:line="252" w:lineRule="auto"/>
            </w:pPr>
            <w:r>
              <w:rPr>
                <w:b w:val="0"/>
                <w:color w:val="000000"/>
                <w:sz w:val="19"/>
              </w:rPr>
              <w:t>Active Directory</w:t>
            </w:r>
          </w:p>
        </w:tc>
        <w:tc>
          <w:tcPr>
            <w:tcW w:type="dxa" w:w="1584"/>
            <w:vAlign w:val="center"/>
            <w:shd w:fill="F7F9FB"/>
            <w:tcMar>
              <w:top w:w="65" w:type="dxa"/>
              <w:bottom w:w="65" w:type="dxa"/>
              <w:left w:w="95" w:type="dxa"/>
              <w:right w:w="95" w:type="dxa"/>
            </w:tcMar>
          </w:tcPr>
          <w:p>
            <w:pPr>
              <w:spacing w:after="0" w:before="0" w:line="252" w:lineRule="auto"/>
              <w:jc w:val="center"/>
            </w:pPr>
            <w:r>
              <w:rPr>
                <w:b w:val="0"/>
                <w:color w:val="000000"/>
                <w:sz w:val="19"/>
              </w:rPr>
              <w:t>139 / 143</w:t>
            </w:r>
          </w:p>
        </w:tc>
        <w:tc>
          <w:tcPr>
            <w:tcW w:type="dxa" w:w="5616"/>
            <w:vAlign w:val="center"/>
            <w:shd w:fill="F7F9FB"/>
            <w:tcMar>
              <w:top w:w="65" w:type="dxa"/>
              <w:bottom w:w="65" w:type="dxa"/>
              <w:left w:w="95" w:type="dxa"/>
              <w:right w:w="95" w:type="dxa"/>
            </w:tcMar>
          </w:tcPr>
          <w:p>
            <w:pPr>
              <w:spacing w:after="0" w:before="0" w:line="252" w:lineRule="auto"/>
            </w:pPr>
            <w:r>
              <w:rPr>
                <w:b w:val="0"/>
                <w:color w:val="000000"/>
                <w:sz w:val="19"/>
              </w:rPr>
              <w:t>2 Support general; 1 Fileservice; 1 O365</w:t>
            </w:r>
          </w:p>
        </w:tc>
      </w:tr>
      <w:tr>
        <w:trPr>
          <w:cantSplit/>
        </w:trPr>
        <w:tc>
          <w:tcPr>
            <w:tcW w:type="dxa" w:w="2592"/>
            <w:vAlign w:val="center"/>
            <w:shd w:fill="FFFFFF"/>
            <w:tcMar>
              <w:top w:w="65" w:type="dxa"/>
              <w:bottom w:w="65" w:type="dxa"/>
              <w:left w:w="95" w:type="dxa"/>
              <w:right w:w="95" w:type="dxa"/>
            </w:tcMar>
          </w:tcPr>
          <w:p>
            <w:pPr>
              <w:spacing w:after="0" w:before="0" w:line="252" w:lineRule="auto"/>
            </w:pPr>
            <w:r>
              <w:rPr>
                <w:b w:val="0"/>
                <w:color w:val="000000"/>
                <w:sz w:val="19"/>
              </w:rPr>
              <w:t>Computer-Services</w:t>
            </w:r>
          </w:p>
        </w:tc>
        <w:tc>
          <w:tcPr>
            <w:tcW w:type="dxa" w:w="1584"/>
            <w:vAlign w:val="center"/>
            <w:shd w:fill="FFFFFF"/>
            <w:tcMar>
              <w:top w:w="65" w:type="dxa"/>
              <w:bottom w:w="65" w:type="dxa"/>
              <w:left w:w="95" w:type="dxa"/>
              <w:right w:w="95" w:type="dxa"/>
            </w:tcMar>
          </w:tcPr>
          <w:p>
            <w:pPr>
              <w:spacing w:after="0" w:before="0" w:line="252" w:lineRule="auto"/>
              <w:jc w:val="center"/>
            </w:pPr>
            <w:r>
              <w:rPr>
                <w:b w:val="0"/>
                <w:color w:val="000000"/>
                <w:sz w:val="19"/>
              </w:rPr>
              <w:t>141 / 143</w:t>
            </w:r>
          </w:p>
        </w:tc>
        <w:tc>
          <w:tcPr>
            <w:tcW w:type="dxa" w:w="5616"/>
            <w:vAlign w:val="center"/>
            <w:shd w:fill="FFFFFF"/>
            <w:tcMar>
              <w:top w:w="65" w:type="dxa"/>
              <w:bottom w:w="65" w:type="dxa"/>
              <w:left w:w="95" w:type="dxa"/>
              <w:right w:w="95" w:type="dxa"/>
            </w:tcMar>
          </w:tcPr>
          <w:p>
            <w:pPr>
              <w:spacing w:after="0" w:before="0" w:line="252" w:lineRule="auto"/>
            </w:pPr>
            <w:r>
              <w:rPr>
                <w:b w:val="0"/>
                <w:color w:val="000000"/>
                <w:sz w:val="19"/>
              </w:rPr>
              <w:t>1 Support general; 1 Software</w:t>
            </w:r>
          </w:p>
        </w:tc>
      </w:tr>
    </w:tbl>
    <w:p>
      <w:pPr>
        <w:widowControl/>
        <w:spacing w:after="20"/>
      </w:pPr>
    </w:p>
    <w:p>
      <w:pPr>
        <w:widowControl/>
      </w:pPr>
      <w:r>
        <w:t>Support general to Software is the largest off-diagonal entry, accounting for five of 19 errors. Counts alone cannot establish whether these are ambiguous, mislabeled, or clearly misclassified tickets. Claims about label noise or absence of systematic confusion require ticket-level review. An error export should retain identifiers, reference labels, raw generations, parsed labels, fallback flags, and confidence values.</w:t>
      </w:r>
    </w:p>
    <w:p>
      <w:pPr>
        <w:widowControl/>
      </w:pPr>
      <w:r>
        <w:t>The five hand-written smoke tests yield four correct predictions. “Please create a new user account for the new employee starting Monday.” is routed to Support general instead of Active Directory, with confidence of 61.1%. The other four scores range from 98.7% to 100.0%. This demonstrates a failure on a plausible request despite high benchmark accuracy. It does not establish calibration, explain the error, or validate a threshold.</w:t>
      </w:r>
    </w:p>
    <w:p>
      <w:pPr>
        <w:widowControl/>
      </w:pPr>
      <w:r>
        <w:t>The useful finding is strong classification on this partition. Transfer to new organizations, writing styles, or queue definitions remains unmeasured. An incorrect general-queue prediction cannot automatically be assumed harmless, and perfect observed precision on a small sample does not guarantee future precision.</w:t>
      </w:r>
    </w:p>
    <w:p>
      <w:pPr>
        <w:pStyle w:val="Heading1"/>
        <w:widowControl/>
      </w:pPr>
      <w:r>
        <w:t>9 Limitations and threats to validity</w:t>
      </w:r>
    </w:p>
    <w:p>
      <w:pPr>
        <w:widowControl/>
      </w:pPr>
      <w:r>
        <w:rPr>
          <w:b/>
        </w:rPr>
        <w:t>Comparison design.</w:t>
      </w:r>
      <w:r>
        <w:t xml:space="preserve"> Different prompts and decision rules prevent attribution of the entire improvement to LoRA updates. Fixed option order may disadvantage the baseline. Alternative classifiers and instruction-model baselines were not evaluated.</w:t>
      </w:r>
    </w:p>
    <w:p>
      <w:pPr>
        <w:widowControl/>
      </w:pPr>
      <w:r>
        <w:rPr>
          <w:b/>
        </w:rPr>
        <w:t>Data provenance and independence.</w:t>
      </w:r>
      <w:r>
        <w:t xml:space="preserve"> Exact uniqueness is verified, but source authenticity, label quality, semantic overlap, and operational representativeness are unknown. Balanced single-label data does not test realistic class imbalance, multi-intent requests, or new categories.</w:t>
      </w:r>
    </w:p>
    <w:p>
      <w:pPr>
        <w:widowControl/>
      </w:pPr>
      <w:r>
        <w:rPr>
          <w:b/>
        </w:rPr>
        <w:t>Repeatability.</w:t>
      </w:r>
      <w:r>
        <w:t xml:space="preserve"> Missing training YAML, adapter configuration, model revision, full logs, and dependency lock prevent exact recreation. Internal validation is unresolved. Data split seed 42 is not evidence that all training randomness was fixed.</w:t>
      </w:r>
    </w:p>
    <w:p>
      <w:pPr>
        <w:widowControl/>
      </w:pPr>
      <w:r>
        <w:rPr>
          <w:b/>
        </w:rPr>
        <w:t>Output handling.</w:t>
      </w:r>
      <w:r>
        <w:t xml:space="preserve"> Prefix matching accepts some noncompliant generations, fallback conceals format failures, and first-token confidence lacks calibration. Invalid-output rate, review coverage, and accuracy after abstaining are not measured.</w:t>
      </w:r>
    </w:p>
    <w:p>
      <w:pPr>
        <w:widowControl/>
      </w:pPr>
      <w:r>
        <w:rPr>
          <w:b/>
        </w:rPr>
        <w:t>Measurement scope.</w:t>
      </w:r>
      <w:r>
        <w:t xml:space="preserve"> One saved run does not establish variability across seeds, external generalization, optimal training duration, or early-stopping behavior. Low training loss cannot establish these properties.</w:t>
      </w:r>
    </w:p>
    <w:p>
      <w:pPr>
        <w:widowControl/>
      </w:pPr>
      <w:r>
        <w:rPr>
          <w:b/>
        </w:rPr>
        <w:t>Operational scope.</w:t>
      </w:r>
      <w:r>
        <w:t xml:space="preserve"> There is no serving endpoint, ticket-system integration, concurrency test, latency benchmark, measured cost, or monitoring implementation. Placeholder tokens do not prove complete anonymization. Deployment requires a separately evaluated design.</w:t>
      </w:r>
    </w:p>
    <w:p>
      <w:pPr>
        <w:pStyle w:val="Heading1"/>
        <w:widowControl/>
      </w:pPr>
      <w:r>
        <w:t>10 Reproducibility and future work</w:t>
      </w:r>
    </w:p>
    <w:p>
      <w:pPr>
        <w:widowControl/>
      </w:pPr>
      <w:r>
        <w:t xml:space="preserve">The </w:t>
      </w:r>
      <w:hyperlink r:id="rId20">
        <w:r>
          <w:rPr>
            <w:color w:val="175C97"/>
          </w:rPr>
          <w:t>reproduction guide</w:t>
        </w:r>
      </w:hyperlink>
      <w:r>
        <w:t xml:space="preserve"> provides execution order and expected artifacts. First, preserve the complete training configuration and partition manifests, then score both checkpoints using a matched protocol. Option-order permutations and simpler classifiers would clarify the comparison.</w:t>
      </w:r>
    </w:p>
    <w:p>
      <w:pPr>
        <w:widowControl/>
      </w:pPr>
      <w:r>
        <w:t>Next, audit semantic duplicates and review every error against an explicit labeling policy. Keep calibration data separate from final evaluation, record invalid generations, and choose human-review thresholds by measuring automated coverage against routing error. Repeat training across seeds and evaluate early checkpoints before claiming fewer epochs are adequate.</w:t>
      </w:r>
    </w:p>
    <w:p>
      <w:pPr>
        <w:widowControl/>
      </w:pPr>
      <w:r>
        <w:t>Operational evaluation should use appropriately handled representative tickets, including difficult, multi-intent, and unfamiliar cases. Measure per-queue precision and recall alongside latency, resource use, fallback frequency, and review volume. Dispatch and monitoring are separate extensions requiring observable failure handling.</w:t>
      </w:r>
    </w:p>
    <w:p>
      <w:pPr>
        <w:pStyle w:val="Heading1"/>
        <w:widowControl/>
      </w:pPr>
      <w:r>
        <w:t>11 Conclusion</w:t>
      </w:r>
    </w:p>
    <w:p>
      <w:pPr>
        <w:keepLines/>
        <w:widowControl/>
      </w:pPr>
      <w:r>
        <w:t>The repository demonstrates a complete notebook workflow for LoRA adaptation, merging, and seven-class routing. The saved fine-tuned pipeline correctly classifies 981 of 1,000 held-out rows, compared with 209 for the implemented baseline. Correcting historical class names makes the per-class evidence consistent with the confusion matrix. A reproducible configuration, matched comparison, data-independence audit, and operational evaluation are needed to establish how much of this gain transfers beyond the supplied dataset.</w:t>
      </w:r>
    </w:p>
    <w:p>
      <w:pPr>
        <w:pStyle w:val="Heading1"/>
        <w:widowControl/>
      </w:pPr>
      <w:r>
        <w:t>References</w:t>
      </w:r>
    </w:p>
    <w:p>
      <w:pPr>
        <w:widowControl/>
      </w:pPr>
      <w:r>
        <w:t xml:space="preserve">1. Hu, E. J., et al. (2021). </w:t>
      </w:r>
      <w:hyperlink r:id="rId15">
        <w:r>
          <w:rPr>
            <w:color w:val="175C97"/>
          </w:rPr>
          <w:t>LoRA: Low-Rank Adaptation of Large Language Models</w:t>
        </w:r>
      </w:hyperlink>
      <w:r>
        <w:t>. Background for low-rank updates.</w:t>
      </w:r>
    </w:p>
    <w:p>
      <w:pPr>
        <w:widowControl/>
      </w:pPr>
      <w:r>
        <w:t xml:space="preserve">2. Qwen. </w:t>
      </w:r>
      <w:hyperlink r:id="rId14">
        <w:r>
          <w:rPr>
            <w:color w:val="175C97"/>
          </w:rPr>
          <w:t>Qwen3 1.7B Base model card</w:t>
        </w:r>
      </w:hyperlink>
      <w:r>
        <w:t>. Source checkpoint documentation.</w:t>
      </w:r>
    </w:p>
    <w:p>
      <w:pPr>
        <w:widowControl/>
      </w:pPr>
      <w:r>
        <w:t xml:space="preserve">3. LLaMA-Factory. </w:t>
      </w:r>
      <w:hyperlink r:id="rId16">
        <w:r>
          <w:rPr>
            <w:color w:val="175C97"/>
          </w:rPr>
          <w:t>Data Preparation</w:t>
        </w:r>
      </w:hyperlink>
      <w:r>
        <w:t>. Registration and message formats.</w:t>
      </w:r>
    </w:p>
    <w:p>
      <w:pPr>
        <w:widowControl/>
      </w:pPr>
      <w:r>
        <w:t xml:space="preserve">4. scikit-learn. </w:t>
      </w:r>
      <w:hyperlink r:id="rId18">
        <w:r>
          <w:rPr>
            <w:color w:val="175C97"/>
          </w:rPr>
          <w:t>Classification report API</w:t>
        </w:r>
      </w:hyperlink>
      <w:r>
        <w:t>. Label order and metrics.</w:t>
      </w:r>
    </w:p>
    <w:p>
      <w:pPr>
        <w:widowControl/>
      </w:pPr>
      <w:r>
        <w:t xml:space="preserve">5. Repository sources. </w:t>
      </w:r>
      <w:hyperlink r:id="rId21">
        <w:r>
          <w:rPr>
            <w:color w:val="175C97"/>
          </w:rPr>
          <w:t>Notebook</w:t>
        </w:r>
      </w:hyperlink>
      <w:r>
        <w:t xml:space="preserve">, </w:t>
      </w:r>
      <w:hyperlink r:id="rId22">
        <w:r>
          <w:rPr>
            <w:color w:val="175C97"/>
          </w:rPr>
          <w:t>dataset</w:t>
        </w:r>
      </w:hyperlink>
      <w:r>
        <w:t xml:space="preserve">, </w:t>
      </w:r>
      <w:hyperlink r:id="rId23">
        <w:r>
          <w:rPr>
            <w:color w:val="175C97"/>
          </w:rPr>
          <w:t>training log</w:t>
        </w:r>
      </w:hyperlink>
      <w:r>
        <w:t xml:space="preserve">, and </w:t>
      </w:r>
      <w:hyperlink r:id="rId19">
        <w:r>
          <w:rPr>
            <w:color w:val="175C97"/>
          </w:rPr>
          <w:t>aggregate evidence</w:t>
        </w:r>
      </w:hyperlink>
      <w:r>
        <w:t>. Implementation and experiment results.</w:t>
      </w:r>
    </w:p>
    <w:p>
      <w:pPr>
        <w:widowControl/>
      </w:pPr>
      <w:r>
        <w:t>External references were consulted on 11 September 2026. They explain methods and APIs; the experiment's numerical results come from repository evidence.</w:t>
      </w:r>
    </w:p>
    <w:sectPr w:rsidR="00FC693F" w:rsidRPr="0006063C" w:rsidSect="00034616">
      <w:headerReference w:type="default" r:id="rId12"/>
      <w:footerReference w:type="default" r:id="rId13"/>
      <w:pgSz w:w="12240" w:h="15840"/>
      <w:pgMar w:top="1080"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Project paper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Support Ticket Routing with Qwen3 and LoRA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yperlink" Target="https://huggingface.co/Qwen/Qwen3-1.7B-Base" TargetMode="External"/><Relationship Id="rId15" Type="http://schemas.openxmlformats.org/officeDocument/2006/relationships/hyperlink" Target="https://arxiv.org/abs/2106.09685" TargetMode="External"/><Relationship Id="rId16" Type="http://schemas.openxmlformats.org/officeDocument/2006/relationships/hyperlink" Target="https://llamafactory.readthedocs.io/en/latest/getting_started/data_preparation.html" TargetMode="External"/><Relationship Id="rId17" Type="http://schemas.openxmlformats.org/officeDocument/2006/relationships/image" Target="media/image4.png"/><Relationship Id="rId18" Type="http://schemas.openxmlformats.org/officeDocument/2006/relationships/hyperlink" Target="https://scikit-learn.org/stable/modules/generated/sklearn.metrics.classification_report.html" TargetMode="External"/><Relationship Id="rId19" Type="http://schemas.openxmlformats.org/officeDocument/2006/relationships/hyperlink" Target="reference-results.json" TargetMode="External"/><Relationship Id="rId20" Type="http://schemas.openxmlformats.org/officeDocument/2006/relationships/hyperlink" Target="reproducibility.md" TargetMode="External"/><Relationship Id="rId21" Type="http://schemas.openxmlformats.org/officeDocument/2006/relationships/hyperlink" Target="../Finetune_Support_Ticket_Classifier_Qwen3.ipynb" TargetMode="External"/><Relationship Id="rId22" Type="http://schemas.openxmlformats.org/officeDocument/2006/relationships/hyperlink" Target="../support_tickets.csv" TargetMode="External"/><Relationship Id="rId23" Type="http://schemas.openxmlformats.org/officeDocument/2006/relationships/hyperlink" Target="llama-board-training-log.md" TargetMode="External"/><Relationship Id="rId2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Ticket Routing with Qwen3 and LoRA</dc:title>
  <dc:subject>Technical project paper and review of the reference experiment</dc:subject>
  <dc:creator>python-docx</dc:creator>
  <cp:keywords/>
  <dc:description>Generated from docs/project-paper.md. Results are historical aggregate evidence.</dc:description>
  <cp:lastModifiedBy/>
  <cp:revision>1</cp:revision>
  <dcterms:created xsi:type="dcterms:W3CDTF">2013-12-23T23:15:00Z</dcterms:created>
  <dcterms:modified xsi:type="dcterms:W3CDTF">2013-12-23T23:15:00Z</dcterms:modified>
  <cp:category/>
</cp:coreProperties>
</file>