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Kausik</w:t>
      </w:r>
      <w:r>
        <w:t xml:space="preserve"> </w:t>
      </w:r>
      <w:r>
        <w:t xml:space="preserve">Chattapadhyay</w:t>
      </w:r>
    </w:p>
    <w:p>
      <w:pPr>
        <w:pStyle w:val="Date"/>
      </w:pPr>
      <w:r>
        <w:t xml:space="preserve">2022-10-04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</w:pPr>
      <w:r>
        <w:t xml:space="preserve">Pasta</w:t>
      </w:r>
    </w:p>
    <w:p>
      <w:pPr>
        <w:numPr>
          <w:ilvl w:val="0"/>
          <w:numId w:val="1001"/>
        </w:numPr>
      </w:pPr>
      <w:r>
        <w:t xml:space="preserve">Pizza</w:t>
      </w:r>
    </w:p>
    <w:p>
      <w:pPr>
        <w:numPr>
          <w:ilvl w:val="0"/>
          <w:numId w:val="1001"/>
        </w:numPr>
      </w:pPr>
      <w:r>
        <w:t xml:space="preserve">Chicken curry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(log plot)" title="" id="22" name="Picture"/>
            <a:graphic>
              <a:graphicData uri="http://schemas.openxmlformats.org/drawingml/2006/picture">
                <pic:pic>
                  <pic:nvPicPr>
                    <pic:cNvPr descr="/Users/kausik/Desktop/MS%20Data%20Science/DSC%20520/dsc520-stats-r-assignments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Would you like me to give you a formula for success? It’s quite simple, really:</w:t>
      </w:r>
      <w:r>
        <w:t xml:space="preserve"> </w:t>
      </w:r>
      <w:r>
        <w:t xml:space="preserve">Double your rate of failure. You are thinking of failure as the enemy of success.</w:t>
      </w:r>
      <w:r>
        <w:t xml:space="preserve"> </w:t>
      </w:r>
      <w:r>
        <w:t xml:space="preserve">But it isn’t at all. You can be discouraged by failure or you can learn from it, so</w:t>
      </w:r>
      <w:r>
        <w:t xml:space="preserve"> </w:t>
      </w:r>
      <w:r>
        <w:t xml:space="preserve">go ahead and make mistakes. Make all you can. Because remember that’s where</w:t>
      </w:r>
      <w:r>
        <w:t xml:space="preserve"> </w:t>
      </w:r>
      <w:r>
        <w:t xml:space="preserve">you will find success.</w:t>
      </w:r>
      <w:r>
        <w:t xml:space="preserve">”</w:t>
      </w:r>
    </w:p>
    <w:p>
      <w:pPr>
        <w:pStyle w:val="BlockText"/>
      </w:pPr>
      <w:r>
        <w:t xml:space="preserve">Kausik Chattapadhyay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β</m:t>
              </m:r>
            </m:e>
          </m:acc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7"/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</w:pPr>
      <w:r>
        <w:t xml:space="preserve">R for Everyone (Lander 2014)</w:t>
      </w:r>
    </w:p>
    <w:p>
      <w:pPr>
        <w:numPr>
          <w:ilvl w:val="0"/>
          <w:numId w:val="1002"/>
        </w:numPr>
      </w:pPr>
      <w:r>
        <w:t xml:space="preserve">Discovering Statistics Using R (Field, Miles, and Field 2012)</w:t>
      </w:r>
    </w:p>
    <w:bookmarkEnd w:id="29"/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Chattapadhyay_Kausik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Chattapadhyay_Kausik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name        race     in_fellowship   ring_bearer   age   </w:t>
      </w:r>
      <w:r>
        <w:br/>
      </w:r>
      <w:r>
        <w:rPr>
          <w:rStyle w:val="VerbatimChar"/>
        </w:rPr>
        <w:t xml:space="preserve">## ----------- -------- --------------- ------------- ------</w:t>
      </w:r>
      <w:r>
        <w:br/>
      </w:r>
      <w:r>
        <w:rPr>
          <w:rStyle w:val="VerbatimChar"/>
        </w:rPr>
        <w:t xml:space="preserve">## Aragon      Men      TRUE            FALSE         88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Bilbo       Hobbit   FALSE           TRUE          129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Frodo       Hobbit   TRUE            TRUE          51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Galadriel   Elf      FALSE           FALSE         7000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         Hobbit   TRUE            TRUE          36   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One Ring to Rule Them All</w:t>
      </w:r>
    </w:p>
    <w:bookmarkEnd w:id="41"/>
    <w:bookmarkEnd w:id="42"/>
    <w:bookmarkStart w:id="48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Lander (2014)</w:t>
      </w:r>
    </w:p>
    <w:p>
      <w:pPr>
        <w:pStyle w:val="BodyText"/>
      </w:pPr>
      <w:r>
        <w:t xml:space="preserve">Field, Miles, and Field (2012)</w:t>
      </w:r>
    </w:p>
    <w:bookmarkStart w:id="47" w:name="refs"/>
    <w:bookmarkStart w:id="4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4"/>
    <w:bookmarkStart w:id="4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Kausik Chattapadhyay</dc:creator>
  <cp:keywords/>
  <dcterms:created xsi:type="dcterms:W3CDTF">2022-10-05T19:44:58Z</dcterms:created>
  <dcterms:modified xsi:type="dcterms:W3CDTF">2022-10-05T19:44:58Z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2022-10-04</vt:lpwstr>
  </property>
  <property fmtid="{D5CDD505-2E9C-101B-9397-08002B2CF9AE}" pid="4" name="output">
    <vt:lpwstr/>
  </property>
</Properties>
</file>