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f4f3f6" w:val="clear"/>
        <w:spacing w:after="0" w:before="0" w:lineRule="auto"/>
        <w:rPr>
          <w:b w:val="1"/>
          <w:color w:val="151516"/>
          <w:sz w:val="48"/>
          <w:szCs w:val="48"/>
        </w:rPr>
      </w:pPr>
      <w:bookmarkStart w:colFirst="0" w:colLast="0" w:name="_pqry3ao97pun" w:id="0"/>
      <w:bookmarkEnd w:id="0"/>
      <w:r w:rsidDel="00000000" w:rsidR="00000000" w:rsidRPr="00000000">
        <w:rPr>
          <w:b w:val="1"/>
          <w:color w:val="151516"/>
          <w:sz w:val="48"/>
          <w:szCs w:val="48"/>
          <w:rtl w:val="0"/>
        </w:rPr>
        <w:t xml:space="preserve">Abuso Sexual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Definição: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Todo ato sexual ou tentativa de ato sexual, promovido de modo indesejado ou sob violência ou coerção, que cause morte, dano ou sofrimento físico, sexual e/ou psicológico a outra pessoa, tanto na esfera pública quanto privada.</w:t>
      </w:r>
    </w:p>
    <w:p w:rsidR="00000000" w:rsidDel="00000000" w:rsidP="00000000" w:rsidRDefault="00000000" w:rsidRPr="00000000" w14:paraId="00000005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rPr>
          <w:color w:val="4d4d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Tipos de Abuso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Quais os tipos de abuso sexual?</w:t>
        <w:br w:type="textWrapping"/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Assédio sexual: ocorre quando são ditas palavras que causam vergonha, quando há tentativa indesejada de carícia, ou quando observações de tom sexual sobre o corpo da vítima são feitas. Não é necessário o toque para que exista o assédio;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Aliciamento e exploração sexual: quando uma pessoa usa da posição social ou cargo que ocupa para explorar sexualmente pessoas que se encontram abaixo dela;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Estupro marital: ocorre quando o marido ou o companheiro obriga a esposa ou companheira a ter relação sexual, usando constrangimento físico e/ou psicológico;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Estupro de vulnerável: abuso sexual de pessoa menor que 14 anos, incluindo relações consideradas "consensuais";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Estupro: relação sexual forçada através de força física ou psicológica.</w:t>
      </w:r>
    </w:p>
    <w:p w:rsidR="00000000" w:rsidDel="00000000" w:rsidP="00000000" w:rsidRDefault="00000000" w:rsidRPr="00000000" w14:paraId="0000000C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Diagnóstico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Como é realizado o diagnóstico?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O acolhimento durante o atendimento é fundamental e deve ser realizado em ambiente adequado, garantindo ao paciente total sigilo da consulta;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O diagnóstico é clínico, através de anamnese e exame físico;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abordagem deve ser cuidadosa, garantindo a privacidade e o sigilo, tendo em vista que esses pacientes, muitas vezes, encontram-se emocionalmente fragilizados.</w:t>
      </w:r>
    </w:p>
    <w:p w:rsidR="00000000" w:rsidDel="00000000" w:rsidP="00000000" w:rsidRDefault="00000000" w:rsidRPr="00000000" w14:paraId="00000010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Cuidados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Quais etapas devem ser seguidas ao ser diagnosticado o abuso sexual?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Direcionar a uma unidade básica de saúde, assim que possível, para acompanhamento médico e psicológico após o atendimento de emergência;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Não é necessário fazer Boletim de Ocorrência para o atendimento médico;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O sigilo da consulta médica é questão ética profissional e garantido por lei: explicar que as informações na consulta não serão acessadas por mais ninguém;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Prescrever os medicamentos e vacinas para prevenção de gravidez e de infecções sexualmente transmissíveis em casos de estupro; 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Alertar sobre a existência de serviços de atendimento à mulher em situação de violência, como as Delegacias Especializadas de Atendimento à Mulher e o Centro Integrado de Atendimento à Mulher.</w:t>
      </w:r>
    </w:p>
    <w:p w:rsidR="00000000" w:rsidDel="00000000" w:rsidP="00000000" w:rsidRDefault="00000000" w:rsidRPr="00000000" w14:paraId="00000016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rPr>
          <w:color w:val="4d4d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Organização do Serviço de Saúde</w:t>
      </w:r>
    </w:p>
    <w:p w:rsidR="00000000" w:rsidDel="00000000" w:rsidP="00000000" w:rsidRDefault="00000000" w:rsidRPr="00000000" w14:paraId="00000018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Define-se estupro como o ato de "constranger alguém, mediante violência ou grave ameaça, a ter conjunção carnal ou a praticar ou permitir que com ele se pratique outro ato libidinoso", conforme previsto no artigo 213 do Código Penal Brasileiro.</w:t>
      </w:r>
    </w:p>
    <w:p w:rsidR="00000000" w:rsidDel="00000000" w:rsidP="00000000" w:rsidRDefault="00000000" w:rsidRPr="00000000" w14:paraId="00000019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É essencial garantir espaço para acolher e apoiar o paciente nesse momento de fragilidade e vulnerabilidade.</w:t>
      </w:r>
    </w:p>
    <w:p w:rsidR="00000000" w:rsidDel="00000000" w:rsidP="00000000" w:rsidRDefault="00000000" w:rsidRPr="00000000" w14:paraId="0000001A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Para o atendimento de indivíduos que sofreram violência sexual, deve ser definido um local específico, preferencialmente fora do espaço físico do pronto-socorro ou da triagem, para garantir a privacidade durante a entrevista e os exames.</w:t>
      </w:r>
    </w:p>
    <w:p w:rsidR="00000000" w:rsidDel="00000000" w:rsidP="00000000" w:rsidRDefault="00000000" w:rsidRPr="00000000" w14:paraId="0000001B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É desejável que a equipe de saúde seja composta por médicos, psicólogos, enfermeiros e assistentes sociais.</w:t>
      </w:r>
    </w:p>
    <w:p w:rsidR="00000000" w:rsidDel="00000000" w:rsidP="00000000" w:rsidRDefault="00000000" w:rsidRPr="00000000" w14:paraId="0000001C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As equipes envolvidas diretamente na assistência devem receber capacitação para o atendimento de emergência e a orientação de medidas protetoras (anticoncepção de emergência e profilaxias das infecções sexualmente transmissíveis [ISTs], como pelos vírus da imunodeficiência humana [HIV] e da hepatite), incluindo-se a decisão de interrupção da gravidez.</w:t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Direcionamento para Atendimento</w:t>
      </w:r>
    </w:p>
    <w:p w:rsidR="00000000" w:rsidDel="00000000" w:rsidP="00000000" w:rsidRDefault="00000000" w:rsidRPr="00000000" w14:paraId="0000001E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Lei n</w:t>
      </w:r>
      <w:r w:rsidDel="00000000" w:rsidR="00000000" w:rsidRPr="00000000">
        <w:rPr>
          <w:color w:val="4d4d4d"/>
          <w:sz w:val="24"/>
          <w:szCs w:val="24"/>
          <w:u w:val="single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11.340, de 7 de agosto de 2006, também conhecida como Lei Maria da Penha, cria mecanismos para coibir a violência doméstica e familiar contra a mulher, estabelecendo mudanças na tipificação dos crimes e nos procedimentos policiais e jurídicos.</w:t>
      </w:r>
    </w:p>
    <w:p w:rsidR="00000000" w:rsidDel="00000000" w:rsidP="00000000" w:rsidRDefault="00000000" w:rsidRPr="00000000" w14:paraId="0000001F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Lei n</w:t>
      </w:r>
      <w:r w:rsidDel="00000000" w:rsidR="00000000" w:rsidRPr="00000000">
        <w:rPr>
          <w:color w:val="4d4d4d"/>
          <w:sz w:val="24"/>
          <w:szCs w:val="24"/>
          <w:u w:val="single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10.778, de 24 de novembro de 2003, estabelece a notificação compulsória, no território nacional, dos casos de violência contra a mulher, atendidos em serviços de saúde públicos ou privados.</w:t>
      </w:r>
    </w:p>
    <w:p w:rsidR="00000000" w:rsidDel="00000000" w:rsidP="00000000" w:rsidRDefault="00000000" w:rsidRPr="00000000" w14:paraId="00000020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Nas situações de violências contra adolescentes e crianças, uma cópia da ficha de notificação deve ser encaminhada ao Conselho Tutelar da Criança e do Adolescente.</w:t>
      </w:r>
    </w:p>
    <w:p w:rsidR="00000000" w:rsidDel="00000000" w:rsidP="00000000" w:rsidRDefault="00000000" w:rsidRPr="00000000" w14:paraId="00000021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Após o atendimento médico, o indivíduo poderá comparecer à delegacia para lavrar o Boletim de Ocorrência Policial (BOP), prestar depoimento ou submeter-se a exame pelos peritos do Instituto Médico Legal (IML). O BOP registra a violência para o conhecimento da autoridade policial, que determina a instauração do inquérito e da investigação. O laudo do IML é o documento elaborado para comprovação criminal.</w:t>
      </w:r>
    </w:p>
    <w:p w:rsidR="00000000" w:rsidDel="00000000" w:rsidP="00000000" w:rsidRDefault="00000000" w:rsidRPr="00000000" w14:paraId="00000022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O indivíduo violentado não tem o dever legal de noticiar o fato à polícia, por isso a exigência de apresentação desses documentos para atendimento nos serviços de saúde é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incorreta e ilegal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Anticoncepção de Emergência</w:t>
      </w:r>
    </w:p>
    <w:p w:rsidR="00000000" w:rsidDel="00000000" w:rsidP="00000000" w:rsidRDefault="00000000" w:rsidRPr="00000000" w14:paraId="00000024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maioria dos crimes sexuais ocorre em idade reprodutiva, sendo assim, o risco de gravidez decorrente dessa violência varia entre 0,5 e 5%, considerando-se a aleatoriedade da violência em relação ao período do ciclo menstrual.</w:t>
      </w:r>
    </w:p>
    <w:p w:rsidR="00000000" w:rsidDel="00000000" w:rsidP="00000000" w:rsidRDefault="00000000" w:rsidRPr="00000000" w14:paraId="00000025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anticoncepção de emergência (AE) deve ser prescrita para todas as mulheres e adolescentes expostas à gravidez por contato certo ou duvidoso com sêmen, independentemente do período do ciclo menstrual em que se encontrem, que tenham tido a primeira menstruação e que estejam antes da menopausa.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Levonorgestrel: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Escolha uma das seguintes opções:</w:t>
        <w:br w:type="textWrapping"/>
        <w:t xml:space="preserve">1 comprimido de 1,5 mg, VO, ou 2 comprimidos de 0,75 mg, dose única, até 5 dias após a relação sexual;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1 comprimido de 0,75 mg, VO, a cada 12 horas, no total de 2 comprimidos, até 5 dias após a relação sexual.</w:t>
      </w:r>
    </w:p>
    <w:p w:rsidR="00000000" w:rsidDel="00000000" w:rsidP="00000000" w:rsidRDefault="00000000" w:rsidRPr="00000000" w14:paraId="00000028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AE é desnecessária em caso de uso regular de método anticonceptivo de elevada eficácia no momento da violência sexual, a exemplo do anticoncepcional oral ou injetável, esterilização cirúrgica ou dispositivo intrauterino (DIU).</w:t>
      </w:r>
    </w:p>
    <w:p w:rsidR="00000000" w:rsidDel="00000000" w:rsidP="00000000" w:rsidRDefault="00000000" w:rsidRPr="00000000" w14:paraId="00000029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AE deve ser realizada o quanto antes, no limite de 5 dias da violência sexual. Sua eficácia é elevada, com índice de efetividade médio de 75 a 80% e índice de </w:t>
      </w:r>
      <w:r w:rsidDel="00000000" w:rsidR="00000000" w:rsidRPr="00000000">
        <w:rPr>
          <w:i w:val="1"/>
          <w:color w:val="4d4d4d"/>
          <w:sz w:val="24"/>
          <w:szCs w:val="24"/>
          <w:rtl w:val="0"/>
        </w:rPr>
        <w:t xml:space="preserve">Pearl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(índice de falha) de cerca de 2%. No entanto, esse percentual pode variar em virtude do intervalo de tempo entre a violência sexual e a administração do medicamento.</w:t>
      </w:r>
    </w:p>
    <w:p w:rsidR="00000000" w:rsidDel="00000000" w:rsidP="00000000" w:rsidRDefault="00000000" w:rsidRPr="00000000" w14:paraId="0000002A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Atenção!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 inserção do DIU de cobre como AE não é recomendada devido ao risco potencial de infecção genital agravado pela violência sexual e deve ser reservado a casos em que o método com Progesterona não esteja disponível.</w:t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ISTs Não Virais</w:t>
      </w:r>
    </w:p>
    <w:p w:rsidR="00000000" w:rsidDel="00000000" w:rsidP="00000000" w:rsidRDefault="00000000" w:rsidRPr="00000000" w14:paraId="0000002C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Estudos têm mostrado que, dentre mulheres que sofreram violência sexual, 16 a 58% adquirem pelo menos uma IST. Algumas ISTs virais, como as infecções por herpes-vírus simples e pelo papilomavírus humano (HPV), ainda não apresentam protocolo de profilaxia para situações de violência.</w:t>
      </w:r>
    </w:p>
    <w:p w:rsidR="00000000" w:rsidDel="00000000" w:rsidP="00000000" w:rsidRDefault="00000000" w:rsidRPr="00000000" w14:paraId="0000002D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coleta de amostras cervicovaginais para diagnóstico de infecções pode ser feita no momento do exame, porém não deve retardar o início da profilaxia para as ISTs não virais.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9c00791boxv" w:id="1"/>
      <w:bookmarkEnd w:id="1"/>
      <w:r w:rsidDel="00000000" w:rsidR="00000000" w:rsidRPr="00000000">
        <w:rPr>
          <w:b w:val="1"/>
          <w:color w:val="4d4d4d"/>
          <w:rtl w:val="0"/>
        </w:rPr>
        <w:t xml:space="preserve">Esquema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O recomendado para mulheres adultas, gestantes e crianças com mais de 45 kg é o composto por Penicilina benzatina, Ceftriaxona e Azitromicina, para profilaxia de sífilis, tricomoníase, gonococo e clamídia, respectivamente:Sífilis: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Penicilina G benzatina (1,2 milhão de unidades) 2,4 milhões de unidades (1,2 milhão em cada nádega), IM, dose única;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Gonorreia: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Ceftriaxona (250 mg) 500 m, IM, dose única;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Clamídia: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Azitromicina (500 mg) 2 comprimidos (1 g), VO, dose única;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Tricomoníase: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Metronidazol (500 mg) 4 comprimidos, VO, dose única (dose total: 2 g);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Observação!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O Metronidazol não poderá ser utilizado no primeiro trimestre de gestação.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Para crianças e adolescentes com &lt; 45 kg:Sífilis:</w:t>
      </w:r>
      <w:r w:rsidDel="00000000" w:rsidR="00000000" w:rsidRPr="00000000">
        <w:rPr>
          <w:b w:val="1"/>
          <w:i w:val="1"/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Penicilina G benzatina (frasco-ampola com 150 mil, 300 mil ou 400 mil unidades) 50 mil unidades/kg, IM, dose única. Dose máxima de 2,4 milhões de unidades;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Gonorreia:</w:t>
      </w:r>
      <w:r w:rsidDel="00000000" w:rsidR="00000000" w:rsidRPr="00000000">
        <w:rPr>
          <w:i w:val="1"/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Ceftriaxona (250 mg; acompanha diluente de 2 mL) aplicar 125 mg (1 mL), IM;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Clamídia:</w:t>
      </w:r>
      <w:r w:rsidDel="00000000" w:rsidR="00000000" w:rsidRPr="00000000">
        <w:rPr>
          <w:i w:val="1"/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Azitromicina (600 mg/15 mL ou 900 mg/22,5 mL): 20 mg/kg, VO, dose única (dose máxima: 1 g);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Tricomoníase:</w:t>
      </w:r>
      <w:r w:rsidDel="00000000" w:rsidR="00000000" w:rsidRPr="00000000">
        <w:rPr>
          <w:i w:val="1"/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Metronidazol 15 mg/kg/dia, VO, divididos em 3 doses/dia, por 7 dias (dose máxima: 2 g);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Importante!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O Metronidazol não poderá ser utilizado no primeiro trimestre de gestação.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Alternativas em caso de hipersensibilidade: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Alergia à Penicilina – Estearato de eritromicina 500 mg, VO, a cada 6 horas, por 15 dias (sífilis) ou 7 dias (clamídia);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Ciprofloxacino 500 mg, VO, dose única.</w:t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Hepatites Virais</w:t>
      </w:r>
    </w:p>
    <w:p w:rsidR="00000000" w:rsidDel="00000000" w:rsidP="00000000" w:rsidRDefault="00000000" w:rsidRPr="00000000" w14:paraId="0000003C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Em casos de violência sexual em que ocorra exposição ao sêmen, sangue ou outros fluidos corporais do agressor, deve-se prosseguir com a imunoprofilaxia contra a hepatite B. A decisão não deve estar condicionada à solicitação ou à realização de exames complementares.</w:t>
      </w:r>
    </w:p>
    <w:p w:rsidR="00000000" w:rsidDel="00000000" w:rsidP="00000000" w:rsidRDefault="00000000" w:rsidRPr="00000000" w14:paraId="0000003D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Mulheres imunizadas contra hepatite B, com esquema vacinal completo, não necessitam de reforço ou do uso de Imunoglobulina humana anti-hepatite B.</w:t>
      </w:r>
    </w:p>
    <w:p w:rsidR="00000000" w:rsidDel="00000000" w:rsidP="00000000" w:rsidRDefault="00000000" w:rsidRPr="00000000" w14:paraId="0000003E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Mulheres não imunizadas ou que desconhecem seu </w:t>
      </w:r>
      <w:r w:rsidDel="00000000" w:rsidR="00000000" w:rsidRPr="00000000">
        <w:rPr>
          <w:i w:val="1"/>
          <w:color w:val="4d4d4d"/>
          <w:sz w:val="24"/>
          <w:szCs w:val="24"/>
          <w:rtl w:val="0"/>
        </w:rPr>
        <w:t xml:space="preserve">status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vacinal devem receber a primeira dose da vacina e completar o esquema posteriormente (0, 1 e 6 meses), além de Imunoglobulina humana anti-hepatite B (IGHAHB) na dose de 0,06 mL/kg, IM, em sítio de aplicação diferente da vacina (até, no máximo, 14 dias após a violência sexual, embora seja recomendada a aplicação nas primeiras 48 horas após a violência).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Paciente-fonte infectado pelo vírus da hepatite C e aqueles com fonte desconhecida: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Acompanhamento da vítima, pois o período de incubação dura em média 7 semanas. Mais de 75% dos casos agudos são assintomáticos, sendo necessária a investigação laboratorial para o diagnóstico: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Bioquímica (ALT):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Momento da exposição (D0); 45, 90 e 180 dias depois da exposição;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Sorologia (anti-HCV):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Momento da exposição (D0); 90 e 180 dias depois da exposição;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HCV-RNA (PCR qualitativo):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Recomenda-se realizá-lo no 90</w:t>
      </w:r>
      <w:r w:rsidDel="00000000" w:rsidR="00000000" w:rsidRPr="00000000">
        <w:rPr>
          <w:color w:val="4d4d4d"/>
          <w:sz w:val="24"/>
          <w:szCs w:val="24"/>
          <w:u w:val="single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dia após a exposição, considerando a inexistência de medidas profiláticas, a exemplo de vacinas e imunoglobulinas, e diante de algumas evidências de que o tratamento da infecção aguda com antivirais (ex.: Interferona) poderia prevenir a evolução da doença crônica.</w:t>
      </w:r>
    </w:p>
    <w:p w:rsidR="00000000" w:rsidDel="00000000" w:rsidP="00000000" w:rsidRDefault="00000000" w:rsidRPr="00000000" w14:paraId="00000042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Para mais informações, acesse Hepatite B  e Hepatite C. 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zebqnhls12au" w:id="2"/>
      <w:bookmarkEnd w:id="2"/>
      <w:r w:rsidDel="00000000" w:rsidR="00000000" w:rsidRPr="00000000">
        <w:rPr>
          <w:b w:val="1"/>
          <w:color w:val="4d4d4d"/>
          <w:rtl w:val="0"/>
        </w:rPr>
        <w:t xml:space="preserve">Interpretação dos Marcadores de Hepatite B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4d4d4d"/>
                <w:sz w:val="21"/>
                <w:szCs w:val="21"/>
                <w:rtl w:val="0"/>
              </w:rPr>
              <w:t xml:space="preserve">Estágio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4d4d4d"/>
                <w:sz w:val="21"/>
                <w:szCs w:val="21"/>
                <w:rtl w:val="0"/>
              </w:rPr>
              <w:t xml:space="preserve">HBsAg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4d4d4d"/>
                <w:sz w:val="21"/>
                <w:szCs w:val="21"/>
                <w:rtl w:val="0"/>
              </w:rPr>
              <w:t xml:space="preserve">AntiHBs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4d4d4d"/>
                <w:sz w:val="21"/>
                <w:szCs w:val="21"/>
                <w:rtl w:val="0"/>
              </w:rPr>
              <w:t xml:space="preserve">AntiHBc IgM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Resposta vacinal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Infecção passada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Agudo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Agudo/crônico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Início de convalescença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5C">
      <w:pPr>
        <w:rPr>
          <w:color w:val="4d4d4d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4d4d4d"/>
                <w:sz w:val="21"/>
                <w:szCs w:val="21"/>
                <w:rtl w:val="0"/>
              </w:rPr>
              <w:t xml:space="preserve">Estágio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4d4d4d"/>
                <w:sz w:val="21"/>
                <w:szCs w:val="21"/>
                <w:rtl w:val="0"/>
              </w:rPr>
              <w:t xml:space="preserve">AntiHBc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4d4d4d"/>
                <w:sz w:val="21"/>
                <w:szCs w:val="21"/>
                <w:rtl w:val="0"/>
              </w:rPr>
              <w:t xml:space="preserve">HBeAg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4d4d4d"/>
                <w:sz w:val="21"/>
                <w:szCs w:val="21"/>
                <w:rtl w:val="0"/>
              </w:rPr>
              <w:t xml:space="preserve">AntiHBe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Resposta vacinal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Infecção passada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+/-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Agudo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Agudo/crônico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+/-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+/-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Início convalescença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+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ababab" w:space="0" w:sz="6" w:val="single"/>
              <w:left w:color="ababab" w:space="0" w:sz="6" w:val="single"/>
              <w:bottom w:color="ababab" w:space="0" w:sz="6" w:val="single"/>
              <w:right w:color="ababab" w:space="0" w:sz="6" w:val="single"/>
            </w:tcBorders>
            <w:shd w:fill="d6f4fa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color w:val="4d4d4d"/>
                <w:sz w:val="21"/>
                <w:szCs w:val="21"/>
              </w:rPr>
            </w:pPr>
            <w:r w:rsidDel="00000000" w:rsidR="00000000" w:rsidRPr="00000000">
              <w:rPr>
                <w:color w:val="4d4d4d"/>
                <w:sz w:val="21"/>
                <w:szCs w:val="21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5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Infecção pelo HIV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Em casos de violência sexual, o risco de transmissão situa-se entre 0,8 e 2,7% e dependerá de alguns fatores: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Tipos de exposição sexual (anal, vaginal, oral);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Trauma subjacente;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Número de agressores;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Suscetibilidade da mulher;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Ruptura himenal;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Exposição a secreções sexuais e/ou sangue;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IST ou úlcera genital;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Carga viral do agressor;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Início precoce da profilaxia antirretroviral (ARV), quando indicada.</w:t>
      </w:r>
    </w:p>
    <w:p w:rsidR="00000000" w:rsidDel="00000000" w:rsidP="00000000" w:rsidRDefault="00000000" w:rsidRPr="00000000" w14:paraId="0000007F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Indicações: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 quimioprofilaxia ARV é recomendada em todos os casos de penetração vaginal e/ou anal, nas primeiras 72 horas após a violência, inclusive se o </w:t>
      </w:r>
      <w:r w:rsidDel="00000000" w:rsidR="00000000" w:rsidRPr="00000000">
        <w:rPr>
          <w:i w:val="1"/>
          <w:color w:val="4d4d4d"/>
          <w:sz w:val="24"/>
          <w:szCs w:val="24"/>
          <w:rtl w:val="0"/>
        </w:rPr>
        <w:t xml:space="preserve">status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sorológico do agressor for desconhecido. No caso de penetração oral com ejaculação, deve-se individualizar a decisão.</w:t>
      </w:r>
    </w:p>
    <w:p w:rsidR="00000000" w:rsidDel="00000000" w:rsidP="00000000" w:rsidRDefault="00000000" w:rsidRPr="00000000" w14:paraId="00000080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Não se orienta profilaxia para o HIV quando a mulher apresenta exposição crônica e repetida ao mesmo agressor, devido à possibilidade de a contaminação já ter ocorrido no passado, se foi usado preservativo durante todo o crime sexual, se a violência aconteceu há mais de 72 horas, se houve penetração oral sem ejaculação, se há conhecimento que o agressor é HIV-negativo.</w:t>
      </w:r>
    </w:p>
    <w:p w:rsidR="00000000" w:rsidDel="00000000" w:rsidP="00000000" w:rsidRDefault="00000000" w:rsidRPr="00000000" w14:paraId="00000081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Exames: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 testagem para HIV do agressor não deve retardar o início da profilaxia ARV, mas deve ser realizada sempre que possível. Caso o resultado seja negativo, a quimioprofilaxia ARV não deve ser realizada ou deve ser interrompida.</w:t>
      </w:r>
    </w:p>
    <w:p w:rsidR="00000000" w:rsidDel="00000000" w:rsidP="00000000" w:rsidRDefault="00000000" w:rsidRPr="00000000" w14:paraId="00000082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Profilaxia: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Deve ser iniciada imediatamente após a violência, ainda nas primeiras 24 horas (máximo de 72 horas).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Esquema preferencial: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TDF (Tenofovir) 300 mg + 3TC (Lamivudina)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300 mg + DTG 50 mg, VO, 1 vez/dia, por 28 dias.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Outras opções:</w:t>
        <w:br w:type="textWrapping"/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Impossibilidade de TDF: AZT (Zidovudina) + 3TC + DTG;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Impossibilidade de DTG: TDF + 3TC + ATV/r (Atazanavir/Ritonavir);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Impossibilidade de ATV/r: TDF + 3TC + DRV/r (Darunavir/Ritonavir).</w:t>
      </w:r>
    </w:p>
    <w:p w:rsidR="00000000" w:rsidDel="00000000" w:rsidP="00000000" w:rsidRDefault="00000000" w:rsidRPr="00000000" w14:paraId="00000087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Para mais informações, acesse Infecção por HIV. </w:t>
      </w:r>
    </w:p>
    <w:p w:rsidR="00000000" w:rsidDel="00000000" w:rsidP="00000000" w:rsidRDefault="00000000" w:rsidRPr="00000000" w14:paraId="00000088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Acompanhamento</w:t>
      </w:r>
    </w:p>
    <w:p w:rsidR="00000000" w:rsidDel="00000000" w:rsidP="00000000" w:rsidRDefault="00000000" w:rsidRPr="00000000" w14:paraId="00000089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Coleta de sangue e amostra do conteúdo vaginal realizada no momento de admissão da vítima é necessária para estabelecer ocorrência de IST ou infecção por HIV ou hepatite prévias à violência sexual (mas não pode retardar o início da profilaxia).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Testes: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Teste rápido de HIV (após aconselhamento e consentimento); 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Hemograma e dosagem de transaminases: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Somente para mulheres que iniciem a profilaxia com ARV, devendo ser solicitados no primeiro atendimento e repetidos após 2 semanas de uso da profilaxia e a critério clínico;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Coleta de material vaginal para a realização de exame bacterioscópico e de cultura da secreção vaginal.</w:t>
      </w:r>
    </w:p>
    <w:p w:rsidR="00000000" w:rsidDel="00000000" w:rsidP="00000000" w:rsidRDefault="00000000" w:rsidRPr="00000000" w14:paraId="0000008D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Gravidez Decorrente da Violência</w:t>
      </w:r>
    </w:p>
    <w:p w:rsidR="00000000" w:rsidDel="00000000" w:rsidP="00000000" w:rsidRDefault="00000000" w:rsidRPr="00000000" w14:paraId="0000008E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É direito de mulheres e adolescentes serem informadas da possibilidade de interrupção da gravidez, conforme Decreto-Lei n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2848, de 7 de dezembro de 1940, artigo 128, inciso II do Código Penal Brasileiro.</w:t>
      </w:r>
    </w:p>
    <w:p w:rsidR="00000000" w:rsidDel="00000000" w:rsidP="00000000" w:rsidRDefault="00000000" w:rsidRPr="00000000" w14:paraId="0000008F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O Código Penal não exige qualquer documento para a prática do abortamento nesse caso, a não ser o consentimento da mulher. A palavra da mulher que busca os serviços de saúde afirmando ter sofrido violência deve ter credibilidade, devendo ser recebida como presunção de veracidade.</w:t>
      </w:r>
    </w:p>
    <w:p w:rsidR="00000000" w:rsidDel="00000000" w:rsidP="00000000" w:rsidRDefault="00000000" w:rsidRPr="00000000" w14:paraId="00000090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Do mesmo modo e com mesma ênfase, elas devem ser esclarecidas do direito e da possibilidade de manterem a gestação até o seu término, garantindo-se os cuidados pré-natais apropriados para a situação.</w:t>
      </w:r>
    </w:p>
    <w:p w:rsidR="00000000" w:rsidDel="00000000" w:rsidP="00000000" w:rsidRDefault="00000000" w:rsidRPr="00000000" w14:paraId="00000091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Também devem receber informações completas e precisas sobre as alternativas após o nascimento, que incluem a escolha entre permanecer com a futura criança e inseri-la na família ou proceder com os mecanismos legais de doação.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5s2xhbddi0q4" w:id="3"/>
      <w:bookmarkEnd w:id="3"/>
      <w:r w:rsidDel="00000000" w:rsidR="00000000" w:rsidRPr="00000000">
        <w:rPr>
          <w:b w:val="1"/>
          <w:color w:val="4d4d4d"/>
          <w:rtl w:val="0"/>
        </w:rPr>
        <w:t xml:space="preserve">Passos para Interrupção de Gestação</w:t>
      </w:r>
    </w:p>
    <w:p w:rsidR="00000000" w:rsidDel="00000000" w:rsidP="00000000" w:rsidRDefault="00000000" w:rsidRPr="00000000" w14:paraId="00000093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Termo de consentimento livre e esclarecido: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Documento imprescindível para a realização do abortamento. Deve constar a declaração da mulher e/ou de seu representante legal pela escolha da interrupção da gestação, ciente da possibilidade de manter a gestação até o seu término e das alternativas existentes. Deve declarar também conhecimento dos procedimentos médicos que serão adotados, bem como dos desconfortos e riscos possíveis para a saúde.</w:t>
      </w:r>
    </w:p>
    <w:p w:rsidR="00000000" w:rsidDel="00000000" w:rsidP="00000000" w:rsidRDefault="00000000" w:rsidRPr="00000000" w14:paraId="00000094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Termo de responsabilidade: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Deve constar que os(as) declarantes estão cientes das consequências dos crimes de Falsidade Ideológica e de Aborto previstos pelos artigos 299 e 214 do Código Penal, respectivamente, assumindo a responsabilidade caso as informações prestadas não correspondam à verdade.</w:t>
      </w:r>
    </w:p>
    <w:p w:rsidR="00000000" w:rsidDel="00000000" w:rsidP="00000000" w:rsidRDefault="00000000" w:rsidRPr="00000000" w14:paraId="00000095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Termo de relato circunstanciado: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Devem ser descritas as circunstâncias da violência sexual sofrida que resultaram na gravidez, como data, horário aproximado, local e a descrição detalhada do ocorrido, descrição ou identificação do agressor, número de agressores, presença de testemunhas etc.</w:t>
      </w:r>
    </w:p>
    <w:p w:rsidR="00000000" w:rsidDel="00000000" w:rsidP="00000000" w:rsidRDefault="00000000" w:rsidRPr="00000000" w14:paraId="00000096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Parecer técnico: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Assinado por médico, atestando a compatibilidade da idade gestacional com a data da violência sexual alegada.</w:t>
      </w:r>
    </w:p>
    <w:p w:rsidR="00000000" w:rsidDel="00000000" w:rsidP="00000000" w:rsidRDefault="00000000" w:rsidRPr="00000000" w14:paraId="00000097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Termo de aprovação de procedimento de interrupção de gravidez: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Firmado pela equipe multiprofissional e pelo diretor ou responsável pela instituição. Todos os documentos devem ser anexados ao prontuário médico da vítima e uma cópia deve ser fornecida para a mulher ou seu representante legal.</w:t>
      </w:r>
    </w:p>
    <w:p w:rsidR="00000000" w:rsidDel="00000000" w:rsidP="00000000" w:rsidRDefault="00000000" w:rsidRPr="00000000" w14:paraId="00000098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Objeção de consciência: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É garantida ao médico a objeção de consciência e o direito de recusa em realizar o abortamento em casos de gravidez resultante de violência sexual. No entanto, é dever do médico informar à mulher sobre seus direitos e garantir a atenção ao abortamento por outro profissional da instituição ou de outro serviço.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Não há direito de objeção de consciência em algumas situações excepcionais: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Risco de morte para a mulher;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Em qualquer situação de abortamento juridicamente permitido, na ausência de outro profissional que o faça;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Quando a mulher puder sofrer danos ou agravos à saúde em razão da omissão do profissional;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No atendimento de complicações derivadas do abortamento inseguro, por se tratarem de casos de urgência.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6dmwvsp6x8g2" w:id="4"/>
      <w:bookmarkEnd w:id="4"/>
      <w:r w:rsidDel="00000000" w:rsidR="00000000" w:rsidRPr="00000000">
        <w:rPr>
          <w:b w:val="1"/>
          <w:color w:val="4d4d4d"/>
          <w:rtl w:val="0"/>
        </w:rPr>
        <w:t xml:space="preserve">Interrupção de Gestação</w:t>
      </w:r>
    </w:p>
    <w:p w:rsidR="00000000" w:rsidDel="00000000" w:rsidP="00000000" w:rsidRDefault="00000000" w:rsidRPr="00000000" w14:paraId="0000009E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Abortamento é a interrupção da gravidez até a 20</w:t>
      </w:r>
      <w:r w:rsidDel="00000000" w:rsidR="00000000" w:rsidRPr="00000000">
        <w:rPr>
          <w:color w:val="4d4d4d"/>
          <w:sz w:val="24"/>
          <w:szCs w:val="24"/>
          <w:u w:val="single"/>
          <w:vertAlign w:val="superscript"/>
          <w:rtl w:val="0"/>
        </w:rPr>
        <w:t xml:space="preserve">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ou 22</w:t>
      </w:r>
      <w:r w:rsidDel="00000000" w:rsidR="00000000" w:rsidRPr="00000000">
        <w:rPr>
          <w:color w:val="4d4d4d"/>
          <w:sz w:val="18"/>
          <w:szCs w:val="18"/>
          <w:u w:val="single"/>
          <w:vertAlign w:val="superscript"/>
          <w:rtl w:val="0"/>
        </w:rPr>
        <w:t xml:space="preserve">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semana de gestação, e com produto da concepção pesando menos que 500 g. O exame de ultrassonografia é o método mais preciso e adequado para confirmar a idade gestacional.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Interrupção da gravidez até 12 semanas:1</w:t>
      </w:r>
      <w:r w:rsidDel="00000000" w:rsidR="00000000" w:rsidRPr="00000000">
        <w:rPr>
          <w:b w:val="1"/>
          <w:color w:val="4d4d4d"/>
          <w:sz w:val="24"/>
          <w:szCs w:val="24"/>
          <w:u w:val="single"/>
          <w:vertAlign w:val="superscript"/>
          <w:rtl w:val="0"/>
        </w:rPr>
        <w:t xml:space="preserve">a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 opção: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Aspiração intrauterina a vácuo (manual AMIU);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4d4d4d"/>
          <w:sz w:val="24"/>
          <w:szCs w:val="24"/>
          <w:u w:val="single"/>
          <w:vertAlign w:val="superscript"/>
          <w:rtl w:val="0"/>
        </w:rPr>
        <w:t xml:space="preserve">a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 opção (na ausência da AMIU):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Curetagem uterina;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Outras opções: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Medicamentoso (Misoprostol via vaginal em dose de até 800 microgramas, a cada 6 ou 12 horas, em até 3 doses).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Interrupção da gestação após 12 semanas (aborto medicamentoso):13</w:t>
      </w:r>
      <w:r w:rsidDel="00000000" w:rsidR="00000000" w:rsidRPr="00000000">
        <w:rPr>
          <w:b w:val="1"/>
          <w:color w:val="4d4d4d"/>
          <w:sz w:val="24"/>
          <w:szCs w:val="24"/>
          <w:u w:val="single"/>
          <w:vertAlign w:val="superscript"/>
          <w:rtl w:val="0"/>
        </w:rPr>
        <w:t xml:space="preserve">a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 a 17</w:t>
      </w:r>
      <w:r w:rsidDel="00000000" w:rsidR="00000000" w:rsidRPr="00000000">
        <w:rPr>
          <w:b w:val="1"/>
          <w:color w:val="4d4d4d"/>
          <w:sz w:val="24"/>
          <w:szCs w:val="24"/>
          <w:u w:val="single"/>
          <w:vertAlign w:val="superscript"/>
          <w:rtl w:val="0"/>
        </w:rPr>
        <w:t xml:space="preserve">a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 semana: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400 microgramas, a cada 4 ou 6 horas, 3 vezes/dia;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18</w:t>
      </w:r>
      <w:r w:rsidDel="00000000" w:rsidR="00000000" w:rsidRPr="00000000">
        <w:rPr>
          <w:b w:val="1"/>
          <w:color w:val="4d4d4d"/>
          <w:sz w:val="24"/>
          <w:szCs w:val="24"/>
          <w:u w:val="single"/>
          <w:vertAlign w:val="superscript"/>
          <w:rtl w:val="0"/>
        </w:rPr>
        <w:t xml:space="preserve">a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 a 22</w:t>
      </w:r>
      <w:r w:rsidDel="00000000" w:rsidR="00000000" w:rsidRPr="00000000">
        <w:rPr>
          <w:b w:val="1"/>
          <w:color w:val="4d4d4d"/>
          <w:sz w:val="24"/>
          <w:szCs w:val="24"/>
          <w:u w:val="single"/>
          <w:vertAlign w:val="superscript"/>
          <w:rtl w:val="0"/>
        </w:rPr>
        <w:t xml:space="preserve">a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 semana: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200 microgramas, a cada 4 ou 6 horas, 3 vezes/dia.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before="480" w:lineRule="auto"/>
        <w:rPr>
          <w:b w:val="1"/>
          <w:color w:val="4d4d4d"/>
          <w:sz w:val="30"/>
          <w:szCs w:val="30"/>
        </w:rPr>
      </w:pPr>
      <w:bookmarkStart w:colFirst="0" w:colLast="0" w:name="_2814am7txnjr" w:id="5"/>
      <w:bookmarkEnd w:id="5"/>
      <w:r w:rsidDel="00000000" w:rsidR="00000000" w:rsidRPr="00000000">
        <w:rPr>
          <w:b w:val="1"/>
          <w:color w:val="4d4d4d"/>
          <w:sz w:val="30"/>
          <w:szCs w:val="30"/>
          <w:rtl w:val="0"/>
        </w:rPr>
        <w:t xml:space="preserve">Prescrição Ambulatorial</w:t>
      </w:r>
    </w:p>
    <w:p w:rsidR="00000000" w:rsidDel="00000000" w:rsidP="00000000" w:rsidRDefault="00000000" w:rsidRPr="00000000" w14:paraId="000000A5">
      <w:pPr>
        <w:spacing w:line="360" w:lineRule="auto"/>
        <w:rPr>
          <w:b w:val="1"/>
          <w:color w:val="4d4d4d"/>
          <w:sz w:val="24"/>
          <w:szCs w:val="24"/>
          <w:shd w:fill="e0ebf2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e0ebf2" w:val="clear"/>
          <w:rtl w:val="0"/>
        </w:rPr>
        <w:t xml:space="preserve">Ambulatório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3z8896yras34" w:id="6"/>
      <w:bookmarkEnd w:id="6"/>
      <w:r w:rsidDel="00000000" w:rsidR="00000000" w:rsidRPr="00000000">
        <w:rPr>
          <w:b w:val="1"/>
          <w:color w:val="4d4d4d"/>
          <w:rtl w:val="0"/>
        </w:rPr>
        <w:t xml:space="preserve">Orientações ao Prescritor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Quanto mais cedo for realizada a anticoncepção de emergência, melhor é a efetividade. Recomenda-se o seu uso em até 5 dias após o abuso;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Realizar profilaxias para as ISTs;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Além das medicações, pode ser necessária a solicitação de alguns exames, além dos testes rápidos para ISTs, inclusive para investigar hepatite C.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Para mais informações, veja a abordagem completa sobre Abuso Sexual. 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m89gitfq1c54" w:id="7"/>
      <w:bookmarkEnd w:id="7"/>
      <w:r w:rsidDel="00000000" w:rsidR="00000000" w:rsidRPr="00000000">
        <w:rPr>
          <w:b w:val="1"/>
          <w:color w:val="4d4d4d"/>
          <w:rtl w:val="0"/>
        </w:rPr>
        <w:t xml:space="preserve">Tratamento Farmacológico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 Anticoncepção de emergência: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Escolha uma das opções:</w:t>
        <w:br w:type="textWrapping"/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Levonorgestrel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1 comprimido de 1,5 mg VO ou 2 comprimidos de 0,75 mg VO em dose única, até 5 dias após a relação sexual;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Levonorgestrel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1 comprimido de 0,75 mg VO de 12/12 horas, no total de 2 comprimidos, até 5 dias após a relação sexual;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Etinilestradiol + levonorgestrel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0,2 mg + 1 mg, divididos em duas doses iguais, em intervalo de 12 horas, até 5 dias após a relação sexual. O método de Yuzpe não deve ser utilizado juntamente ao Ritonavir na profilaxia contra o HIV.</w:t>
      </w:r>
    </w:p>
    <w:p w:rsidR="00000000" w:rsidDel="00000000" w:rsidP="00000000" w:rsidRDefault="00000000" w:rsidRPr="00000000" w14:paraId="000000AF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Profilaxia de hepatite B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Se paciente não imunizado ou com esquema vacinal incompleto: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Vacina anti-hepatite B + Imunoglobulina humana anti-hepatite B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até 14 dias após o estupro.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Profilaxia de sífilis: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Escolha uma das opções: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1</w:t>
      </w:r>
      <w:r w:rsidDel="00000000" w:rsidR="00000000" w:rsidRPr="00000000">
        <w:rPr>
          <w:b w:val="1"/>
          <w:color w:val="4d4d4d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 linha: Penicilina G benzatina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2,4 milhões de unidades IM, em dose única. Se sífilis primária: 1,2 milhões em cada nádega;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Doxiciclina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100 mg VO de 12/12 horas, por 15 dias.</w:t>
      </w:r>
    </w:p>
    <w:p w:rsidR="00000000" w:rsidDel="00000000" w:rsidP="00000000" w:rsidRDefault="00000000" w:rsidRPr="00000000" w14:paraId="000000B2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Profilaxia da tricomoníase: Metronidazol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2 g VO, em dose única.</w:t>
      </w:r>
    </w:p>
    <w:p w:rsidR="00000000" w:rsidDel="00000000" w:rsidP="00000000" w:rsidRDefault="00000000" w:rsidRPr="00000000" w14:paraId="000000B3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Profilaxia da gonorreia: Ceftriaxona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500 mg IM, em dose única.</w:t>
      </w:r>
    </w:p>
    <w:p w:rsidR="00000000" w:rsidDel="00000000" w:rsidP="00000000" w:rsidRDefault="00000000" w:rsidRPr="00000000" w14:paraId="000000B4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Profilaxia da Clamídia: Azitromicina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(500 mg) 2 comprimidos VO, em dose única.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l0qgri7nf6l0" w:id="8"/>
      <w:bookmarkEnd w:id="8"/>
      <w:r w:rsidDel="00000000" w:rsidR="00000000" w:rsidRPr="00000000">
        <w:rPr>
          <w:b w:val="1"/>
          <w:color w:val="4d4d4d"/>
          <w:rtl w:val="0"/>
        </w:rPr>
        <w:t xml:space="preserve">Tratamento Farmacológico - Profilaxia de Infecção por HIV</w:t>
      </w:r>
    </w:p>
    <w:p w:rsidR="00000000" w:rsidDel="00000000" w:rsidP="00000000" w:rsidRDefault="00000000" w:rsidRPr="00000000" w14:paraId="000000B6">
      <w:pP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Esquema: 1</w:t>
      </w:r>
      <w:r w:rsidDel="00000000" w:rsidR="00000000" w:rsidRPr="00000000">
        <w:rPr>
          <w:b w:val="1"/>
          <w:color w:val="4d4d4d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 linha.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Associação:</w:t>
        <w:br w:type="textWrapping"/>
        <w:t xml:space="preserve">I.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TDF (Tenofovir)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300 mg VO 1x/dia, por 28 dias.</w:t>
        <w:br w:type="textWrapping"/>
        <w:t xml:space="preserve">+</w:t>
        <w:br w:type="textWrapping"/>
        <w:t xml:space="preserve">II.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3TC (Lamivudina)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300 mg VO 1x/dia, por 28 dias.</w:t>
        <w:br w:type="textWrapping"/>
        <w:t xml:space="preserve">+</w:t>
        <w:br w:type="textWrapping"/>
        <w:t xml:space="preserve">III.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Dolutegravir (DTG)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50 mg VO 1x/dia, por 28 dias.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color="auto" w:space="6" w:sz="0" w:val="none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Alternativa ao TDF (I):AZT (Zidovudina)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100 mg VO 1x/dia, por 28 dias.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Alternativas ao DTG (III):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Escolha uma das opções:</w:t>
        <w:br w:type="textWrapping"/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ATV/r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Atazanavir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/ (300 mg/cp) 1 comprimido VO 1x/dia +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Ritonavir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(100 mg/cp) 1 comprimido VO 1x/dia, por 28 dias;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DRV/r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Darunavir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/ (600 mg/cp) 1 comprimido VO de 12/12 horas +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Ritonavir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(100 mg/cp) 1 comprimido VO de 12/12 horas, por 28 dias.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