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f4f3f6" w:val="clear"/>
        <w:spacing w:after="0" w:before="0" w:lineRule="auto"/>
        <w:rPr>
          <w:b w:val="1"/>
          <w:color w:val="151516"/>
          <w:sz w:val="48"/>
          <w:szCs w:val="48"/>
        </w:rPr>
      </w:pPr>
      <w:bookmarkStart w:colFirst="0" w:colLast="0" w:name="_k6wl875crhux" w:id="0"/>
      <w:bookmarkEnd w:id="0"/>
      <w:r w:rsidDel="00000000" w:rsidR="00000000" w:rsidRPr="00000000">
        <w:rPr>
          <w:b w:val="1"/>
          <w:color w:val="151516"/>
          <w:sz w:val="48"/>
          <w:szCs w:val="48"/>
          <w:rtl w:val="0"/>
        </w:rPr>
        <w:t xml:space="preserve">Influenza na Gestação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after="0" w:before="0" w:lineRule="auto"/>
        <w:rPr/>
      </w:pPr>
      <w:bookmarkStart w:colFirst="0" w:colLast="0" w:name="_bt8sp8t23dh9" w:id="1"/>
      <w:bookmarkEnd w:id="1"/>
      <w:r w:rsidDel="00000000" w:rsidR="00000000" w:rsidRPr="00000000">
        <w:rPr>
          <w:b w:val="1"/>
          <w:color w:val="4d4d4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Definição: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Infecção pelo vírus influenza durante o período da gestação.</w:t>
        <w:br w:type="textWrapping"/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Fisiopatologia</w:t>
      </w:r>
    </w:p>
    <w:p w:rsidR="00000000" w:rsidDel="00000000" w:rsidP="00000000" w:rsidRDefault="00000000" w:rsidRPr="00000000" w14:paraId="00000005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As modificações fisiológicas da gestação tornam a mulher mais vulnerável às complicações por infecções respiratórias, fato evidenciado pela maior mortalidade registrada nessas pacientes.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Apresentação Clínica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f2etzyu41q40" w:id="2"/>
      <w:bookmarkEnd w:id="2"/>
      <w:r w:rsidDel="00000000" w:rsidR="00000000" w:rsidRPr="00000000">
        <w:rPr>
          <w:b w:val="1"/>
          <w:color w:val="4d4d4d"/>
          <w:rtl w:val="0"/>
        </w:rPr>
        <w:t xml:space="preserve">Anamnese</w:t>
      </w:r>
    </w:p>
    <w:p w:rsidR="00000000" w:rsidDel="00000000" w:rsidP="00000000" w:rsidRDefault="00000000" w:rsidRPr="00000000" w14:paraId="0000000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Epidemiologia: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A influenza ocorre durante todo o ano, mas é mais frequente no outono e no inverno, principalmente no Sul e Sudeste do Brasil. O período de incubação da influenza dura de 1-4 dias. A transmissibilidade em adultos ocorre, principalmente, 24 horas antes do início dos sintomas e dura até três dias após o final da febre.</w:t>
      </w:r>
    </w:p>
    <w:p w:rsidR="00000000" w:rsidDel="00000000" w:rsidP="00000000" w:rsidRDefault="00000000" w:rsidRPr="00000000" w14:paraId="00000009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Quadro clínico: </w:t>
      </w: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Apresenta-se como uma infecção aguda das vias aéreas que cursa com quadro febril (temperatura ≥ 37,8°C), com a temperatura declinando após 2-3 dias e normalizando por volta do sexto dia de evolução. A febre é mais acentuada em crianças.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Demais sinais e sintomas: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Calafrios;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Mal-estar;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Cefaleia;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Mialgia;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Dor de garganta;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Artralgia;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Prostração;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Rinorreia;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Tosse seca.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Podem ainda estar presentes: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Diarreia;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Vômito;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Fadiga;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Rouquidão;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Hiperemia conjuntival.</w:t>
      </w:r>
    </w:p>
    <w:p w:rsidR="00000000" w:rsidDel="00000000" w:rsidP="00000000" w:rsidRDefault="00000000" w:rsidRPr="00000000" w14:paraId="00000018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Síndrome gripal: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Caracterizada por febre de início súbito, mesmo que referida, acompanhada de tosse ou odinofagia e, pelo menos, um dos seguintes sintomas: cefaleia, mialgia ou artralgia, na ausência de outro diagnóstico específico.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Síndrome respiratória aguda grave: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Indivíduo de qualquer idade com quadro de insuficiência respiratória aguda, durante período sazonal, ou indivíduo de qualquer idade, com síndrome gripal e que apresente dispneia ou os seguintes sinais de gravidade:Saturação de SpO</w:t>
      </w:r>
      <w:r w:rsidDel="00000000" w:rsidR="00000000" w:rsidRPr="00000000">
        <w:rPr>
          <w:color w:val="4d4d4d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&lt; 95% em ar ambiente;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Sinais de desconforto respiratório ou aumento da frequência respiratória avaliada de acordo com a idade;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Piora nas condições clínicas de doença de base;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Hipotensão em relação à pressão arterial habitual do paciente.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Fatores de risco: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Grávidas em qualquer idade gestacional;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Puérperas até duas semanas após o parto (incluindo as que tiveram aborto ou perda fetal);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Adultos ≥ 60 anos;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População indígena;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Pneumopatias (incluindo asma );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Cardiovasculopatias (excluindo hipertensão arterial sistêmica );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Nefropatias;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Hepatopatias;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Doenças hematológicas (incluindo anemia falciforme );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Distúrbios metabólicos (incluindo diabetes mellitus  descompensado);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Transtornos neurológicos que podem comprometer a função respiratória ou aumentar o risco de aspiração (disfunção cognitiva, lesões medulares, epilepsia,  paralisia cerebral, síndrome de Down,  atraso de desenvolvimento, AVC  ou doenças neuromusculares);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Imunossupressão (incluindo medicamentosa ou pelo vírus da imunodeficiência humana  );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Obesidade  (índice de massa corporal ≥ 40 em adultos);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Indivíduos menores de 19 anos em uso prolongado com Ácido acetilsalicílico (risco de síndrome de Reye  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19qylo2c8czq" w:id="3"/>
      <w:bookmarkEnd w:id="3"/>
      <w:r w:rsidDel="00000000" w:rsidR="00000000" w:rsidRPr="00000000">
        <w:rPr>
          <w:b w:val="1"/>
          <w:color w:val="4d4d4d"/>
          <w:rtl w:val="0"/>
        </w:rPr>
        <w:t xml:space="preserve">Exame Físico</w:t>
      </w:r>
    </w:p>
    <w:p w:rsidR="00000000" w:rsidDel="00000000" w:rsidP="00000000" w:rsidRDefault="00000000" w:rsidRPr="00000000" w14:paraId="0000002C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Na consulta médica deve ser realizado o exame físico completo, incluindo ausculta pulmonar e frequência respiratória, assim como os demais sinais vitais e a aferição da oximetria de pulso. São considerados sinais de alarme FR &gt; 20 irpm e/ou FC &gt; 100 bpm.</w:t>
      </w:r>
    </w:p>
    <w:p w:rsidR="00000000" w:rsidDel="00000000" w:rsidP="00000000" w:rsidRDefault="00000000" w:rsidRPr="00000000" w14:paraId="0000002D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Mesmo podendo representar manifestação fisiológica da gravidez, a queixa de dispneia deve ser valorizada na presença de síndrome gripal.</w:t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Abordagem Diagnóstica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Alterações laboratoriais: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Hemograma (leucocitose, leucopenia ou neutrofilia); 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Bioquímica (alterações enzimáticas, musculares e hepáticas).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Radiografia de tórax: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Não protelar sua realização, independente da idade gestacional;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Infiltrado intersticial localizado ou difuso, ou presença de área de condensação.</w:t>
      </w:r>
    </w:p>
    <w:p w:rsidR="00000000" w:rsidDel="00000000" w:rsidP="00000000" w:rsidRDefault="00000000" w:rsidRPr="00000000" w14:paraId="00000033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Observação!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É fundamental realizar</w:t>
      </w:r>
      <w:r w:rsidDel="00000000" w:rsidR="00000000" w:rsidRPr="00000000">
        <w:rPr>
          <w:i w:val="1"/>
          <w:color w:val="4d4d4d"/>
          <w:sz w:val="24"/>
          <w:szCs w:val="24"/>
          <w:rtl w:val="0"/>
        </w:rPr>
        <w:t xml:space="preserve"> swab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nasofaríngeo RT-PCR ou sorologia para SARS-CoV 2,  a depender do tempo de evolução, para realizar o diagnóstico diferencial com Covid-19. </w:t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Acompanhamento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Complicações: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Pneumonia bacteriana ou por outros vírus;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Sinusite;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Otite;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Desidratação;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Piora de doenças crônicas, como insuficiência cardíaca,  asma  ou diabetes;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Pneumonia primária por influenza, que ocorre em pessoas com doenças cardiovasculares (especialmente doença reumática com estenose mitral  ) ou em mulheres grávidas, predominantemente.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Sinais de agravamento:Dispneia ou taquipneia ou hipoxemia: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SpO</w:t>
      </w:r>
      <w:r w:rsidDel="00000000" w:rsidR="00000000" w:rsidRPr="00000000">
        <w:rPr>
          <w:color w:val="4d4d4d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&lt; 95%;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Persistência ou aumento da febre por mais de três dias;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Exacerbação de doença preexistente (doença pulmonar obstrutiva crônica - DPOC,  cardiopatia ou outras doenças com repercussão sistêmica);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Disfunções orgânicas graves (ex.: Insuficiência renal aguda  );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Miosite comprovada por creatinofosfoquinase:</w:t>
      </w: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 CPK (≥ 2-3 vezes);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Alteração do sensório;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Exacerbação dos sintomas gastrointestinais em crianças;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Desidratação.</w:t>
      </w:r>
    </w:p>
    <w:p w:rsidR="00000000" w:rsidDel="00000000" w:rsidP="00000000" w:rsidRDefault="00000000" w:rsidRPr="00000000" w14:paraId="00000043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Em pacientes com sinais de agravamento, incluindo SpO</w:t>
      </w:r>
      <w:r w:rsidDel="00000000" w:rsidR="00000000" w:rsidRPr="00000000">
        <w:rPr>
          <w:color w:val="4d4d4d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&lt; 95%, considerar o início imediato de oxigenoterapia, monitorização contínua e internação hospitalar.</w:t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Complicações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Estudos relatam que gestantes que tiveram influenza na gestação apresentaram maior incidência das seguintes complicações: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Risco de abortamento espontâneo;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Parto prematuro;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CIUR;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PIG;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Criança com baixo peso ao nascer;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Óbito fetal. </w:t>
      </w:r>
    </w:p>
    <w:p w:rsidR="00000000" w:rsidDel="00000000" w:rsidP="00000000" w:rsidRDefault="00000000" w:rsidRPr="00000000" w14:paraId="0000004B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Abordagem Terapêutica</w:t>
      </w:r>
    </w:p>
    <w:p w:rsidR="00000000" w:rsidDel="00000000" w:rsidP="00000000" w:rsidRDefault="00000000" w:rsidRPr="00000000" w14:paraId="0000004C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Além dos medicamentos sintomáticos e da hidratação, está indicado o uso de Fosfato de oseltamivir para todos os casos em que tenham condições e fatores de risco para complicações (como no caso das gestantes e puérperas), independentemente da situação vacinal, mesmo em atendimento ambulatorial.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 antiviral ainda apresenta benefícios, mesmo se iniciado após 48 horas do início dos sintomas. Escolha entre as opções:</w:t>
        <w:br w:type="textWrapping"/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Fosfato de oseltamivir 75 mg; 1 comprimido 12/12 horas, por 5 dias;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Zanamivir 10 mg; 2 inalações de 5 mg 12/12 horas, por 5 dias. Todavia, esse medicamento é contraindicado em vigência de ventilação mecânica;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Peramivir 600 mg intravenosa (infundido durante um mínimo de 15 minutos); dose única, porém não é disponível no Brasil.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pasgu9vtj59h" w:id="4"/>
      <w:bookmarkEnd w:id="4"/>
      <w:r w:rsidDel="00000000" w:rsidR="00000000" w:rsidRPr="00000000">
        <w:rPr>
          <w:b w:val="1"/>
          <w:color w:val="4d4d4d"/>
          <w:rtl w:val="0"/>
        </w:rPr>
        <w:t xml:space="preserve">Profilaxia</w:t>
      </w:r>
    </w:p>
    <w:p w:rsidR="00000000" w:rsidDel="00000000" w:rsidP="00000000" w:rsidRDefault="00000000" w:rsidRPr="00000000" w14:paraId="00000051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Vacina contra influenza  sazonal durante as campanhas, indicada para todas as gestantes em qualquer idade gestacional, mesmo que já tenha sido vacinada no ano anterior.</w:t>
      </w:r>
    </w:p>
    <w:p w:rsidR="00000000" w:rsidDel="00000000" w:rsidP="00000000" w:rsidRDefault="00000000" w:rsidRPr="00000000" w14:paraId="00000052">
      <w:pPr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imunização materna durante o pré-natal irá induzir níveis substanciais de imunoglobulina G (IgG) sérica específica anti-influenza, que serão ativamente transferidas através da placenta para o feto, e IgA anti-influenza específica no leite materno, que é transferida para o bebê durante a lactação.</w:t>
      </w:r>
    </w:p>
    <w:p w:rsidR="00000000" w:rsidDel="00000000" w:rsidP="00000000" w:rsidRDefault="00000000" w:rsidRPr="00000000" w14:paraId="00000053">
      <w:pPr>
        <w:pBdr>
          <w:top w:color="auto" w:space="6" w:sz="0" w:val="none"/>
          <w:left w:color="auto" w:space="11" w:sz="0" w:val="none"/>
          <w:bottom w:color="auto" w:space="6" w:sz="0" w:val="none"/>
          <w:right w:color="auto" w:space="11" w:sz="0" w:val="none"/>
          <w:between w:color="auto" w:space="6" w:sz="0" w:val="none"/>
        </w:pBdr>
        <w:spacing w:line="360" w:lineRule="auto"/>
        <w:rPr>
          <w:color w:val="4d4d4d"/>
          <w:sz w:val="24"/>
          <w:szCs w:val="24"/>
        </w:rPr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O Fosfato de oseltamivir ou o Zanamivir também podem ser usados como profilaxia em gestantes não vacinadas ou vacinadas a menos de 2 semanas com exposição a, pelo menos, 48 horas ao vírus influenza.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pacing w:before="480" w:lineRule="auto"/>
        <w:rPr>
          <w:b w:val="1"/>
          <w:color w:val="4d4d4d"/>
          <w:sz w:val="30"/>
          <w:szCs w:val="30"/>
        </w:rPr>
      </w:pPr>
      <w:bookmarkStart w:colFirst="0" w:colLast="0" w:name="_s82z5y4jxt2" w:id="5"/>
      <w:bookmarkEnd w:id="5"/>
      <w:r w:rsidDel="00000000" w:rsidR="00000000" w:rsidRPr="00000000">
        <w:rPr>
          <w:b w:val="1"/>
          <w:color w:val="4d4d4d"/>
          <w:sz w:val="30"/>
          <w:szCs w:val="30"/>
          <w:rtl w:val="0"/>
        </w:rPr>
        <w:t xml:space="preserve">Prescrição Ambulatorial</w:t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Influenza na Gestação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alcfuq1dac5r" w:id="6"/>
      <w:bookmarkEnd w:id="6"/>
      <w:r w:rsidDel="00000000" w:rsidR="00000000" w:rsidRPr="00000000">
        <w:rPr>
          <w:b w:val="1"/>
          <w:color w:val="4d4d4d"/>
          <w:rtl w:val="0"/>
        </w:rPr>
        <w:t xml:space="preserve">Orientações ao Prescritor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É desejável constar na receita a idade da paciente e os códigos do CID-10 que justifiquem a prescrição, incluindo os relacionados aos riscos no caso da síndrome gripal;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Sempre realizar o diagnóstico diferencial com COVID-19;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Em razão da possibilidade de desenvolvimento de resistência de vírus influenza ao Oseltamivir,  não está indicado o uso desse antiviral na síndrome gripal, sem observância de critérios.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5l73ugr7hv" w:id="7"/>
      <w:bookmarkEnd w:id="7"/>
      <w:r w:rsidDel="00000000" w:rsidR="00000000" w:rsidRPr="00000000">
        <w:rPr>
          <w:b w:val="1"/>
          <w:color w:val="4d4d4d"/>
          <w:rtl w:val="0"/>
        </w:rPr>
        <w:t xml:space="preserve">Tratamento Farmacológico - Específico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Antiviral: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Fosfato de oseltamivir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75 mg VO de 12/12 horas, por 5 dias;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Alternativa: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Zanamivir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10 mg (2 inalações de 5 mg) de 12/12 horas, por 5 dias (Se intolerância gastrointestinal grave, alergia e/ou resistência ao Fosfato de oseltamivir).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8qiisw2b00kw" w:id="8"/>
      <w:bookmarkEnd w:id="8"/>
      <w:r w:rsidDel="00000000" w:rsidR="00000000" w:rsidRPr="00000000">
        <w:rPr>
          <w:b w:val="1"/>
          <w:color w:val="4d4d4d"/>
          <w:rtl w:val="0"/>
        </w:rPr>
        <w:t xml:space="preserve">Tratamento Farmacológico - Sintomático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Analgésico e antitérmico:</w:t>
      </w:r>
      <w:r w:rsidDel="00000000" w:rsidR="00000000" w:rsidRPr="00000000">
        <w:rPr>
          <w:rFonts w:ascii="Arial Unicode MS" w:cs="Arial Unicode MS" w:eastAsia="Arial Unicode MS" w:hAnsi="Arial Unicode MS"/>
          <w:color w:val="4d4d4d"/>
          <w:sz w:val="24"/>
          <w:szCs w:val="24"/>
          <w:rtl w:val="0"/>
        </w:rPr>
        <w:t xml:space="preserve"> Se presença de dor ou febre ≥ 37,8°C. 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Dipirona sódica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(500 mg/mL) 1-2 g EV até de 4/4 horas (dose máxima: 5 g em 24 horas);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Dipirona sódica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gotas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(500 mg/mL) 20-40 gotas VO até de 4/4 horas;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Dipirona sódica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 500-1.000 mg VO até de 4/4 horas;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Paracetamol gotas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(200 mg/mL) 35-55 gotas VO até de 6/6 horas;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Paracetamol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500-750 mg VO até de 6/6 horas.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Antiemético: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Se presença de náuseas e/ou vômitos. 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Metoclopramida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(10 mg/2 mL) 10 mg EV, diluído em água destilada, até de 8/8 horas;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Metoclopramida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(4 mg/mL) 50 gotas VO de 8/8 horas;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Metoclopramida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10 mg VO de 8/8 horas;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Bromoprida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(10 mg/2 mL) 10 mg EV de 8/8 horas;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Bromoprida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(4 mg/mL) 1-3 gotas/kg VO de 8/8 horas.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Proteção gástrica: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Escolha uma das opções: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Omeprazol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(40 mg/10 mL) 20-40 mg VO/EV de 24/24 horas, pela manhã;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Pantoprazol sódico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20-40 mg VO de 24/24 horas, em jejum;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Pantoprazol sódico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(40 mg/10 mL) 40 mg EV de 24/24 horas.</w:t>
      </w:r>
    </w:p>
    <w:p w:rsidR="00000000" w:rsidDel="00000000" w:rsidP="00000000" w:rsidRDefault="00000000" w:rsidRPr="00000000" w14:paraId="0000006C">
      <w:pPr>
        <w:spacing w:line="360" w:lineRule="auto"/>
        <w:rPr>
          <w:b w:val="1"/>
          <w:color w:val="4d4d4d"/>
          <w:sz w:val="24"/>
          <w:szCs w:val="24"/>
          <w:shd w:fill="f0f0f0" w:val="clear"/>
        </w:rPr>
      </w:pPr>
      <w:r w:rsidDel="00000000" w:rsidR="00000000" w:rsidRPr="00000000">
        <w:rPr>
          <w:b w:val="1"/>
          <w:color w:val="4d4d4d"/>
          <w:sz w:val="24"/>
          <w:szCs w:val="24"/>
          <w:shd w:fill="f0f0f0" w:val="clear"/>
          <w:rtl w:val="0"/>
        </w:rPr>
        <w:t xml:space="preserve">Prevenção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lazxp41s82xl" w:id="9"/>
      <w:bookmarkEnd w:id="9"/>
      <w:r w:rsidDel="00000000" w:rsidR="00000000" w:rsidRPr="00000000">
        <w:rPr>
          <w:b w:val="1"/>
          <w:color w:val="4d4d4d"/>
          <w:rtl w:val="0"/>
        </w:rPr>
        <w:t xml:space="preserve">Orientações ao Prescritor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Pessoas com risco elevado de complicações, não vacinadas ou vacinadas há menos de 2 semanas após exposição a caso suspeito ou confirmado de influenza, devem receber quimioprofilaxia;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A quimioprofilaxia com antiviral não é recomendada se o período após a última exposição a uma pessoa com infecção pelo vírus for maior que 48 horas;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Considera-se exposição a pessoa que teve contato com caso suspeito ou confirmado para influenza há até 48 horas.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6" w:sz="0" w:val="none"/>
          <w:left w:color="auto" w:space="11" w:sz="0" w:val="none"/>
          <w:bottom w:color="ababab" w:space="6" w:sz="6" w:val="dotted"/>
          <w:right w:color="auto" w:space="11" w:sz="0" w:val="none"/>
        </w:pBdr>
        <w:shd w:fill="dfeff9" w:val="clear"/>
        <w:spacing w:before="280" w:line="360" w:lineRule="auto"/>
        <w:jc w:val="center"/>
        <w:rPr>
          <w:b w:val="1"/>
          <w:color w:val="4d4d4d"/>
        </w:rPr>
      </w:pPr>
      <w:bookmarkStart w:colFirst="0" w:colLast="0" w:name="_ch2prnniqs5z" w:id="10"/>
      <w:bookmarkEnd w:id="10"/>
      <w:r w:rsidDel="00000000" w:rsidR="00000000" w:rsidRPr="00000000">
        <w:rPr>
          <w:b w:val="1"/>
          <w:color w:val="4d4d4d"/>
          <w:rtl w:val="0"/>
        </w:rPr>
        <w:t xml:space="preserve">Tratamento Farmacológico - Quimioprofilaxia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color="auto" w:space="6" w:sz="0" w:val="none"/>
          <w:bottom w:color="ababab" w:space="6" w:sz="6" w:val="dotted"/>
        </w:pBdr>
        <w:ind w:left="1180" w:hanging="360"/>
      </w:pPr>
      <w:r w:rsidDel="00000000" w:rsidR="00000000" w:rsidRPr="00000000">
        <w:rPr>
          <w:color w:val="4d4d4d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 Antiviral.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 Escolha uma das opções:</w:t>
        <w:br w:type="textWrapping"/>
        <w:br w:type="textWrapping"/>
      </w: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Fosfato de oseltamivir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75 mg VO de 24/24 horas, por 10 dias;</w:t>
      </w:r>
    </w:p>
    <w:p w:rsidR="00000000" w:rsidDel="00000000" w:rsidP="00000000" w:rsidRDefault="00000000" w:rsidRPr="00000000" w14:paraId="00000073">
      <w:pPr>
        <w:pBdr>
          <w:top w:color="auto" w:space="6" w:sz="0" w:val="none"/>
          <w:bottom w:color="ababab" w:space="6" w:sz="6" w:val="dotted"/>
        </w:pBdr>
        <w:ind w:left="720" w:firstLine="0"/>
        <w:rPr>
          <w:color w:val="4d4d4d"/>
          <w:sz w:val="24"/>
          <w:szCs w:val="24"/>
        </w:rPr>
      </w:pPr>
      <w:r w:rsidDel="00000000" w:rsidR="00000000" w:rsidRPr="00000000">
        <w:rPr>
          <w:b w:val="1"/>
          <w:color w:val="4d4d4d"/>
          <w:sz w:val="24"/>
          <w:szCs w:val="24"/>
          <w:rtl w:val="0"/>
        </w:rPr>
        <w:t xml:space="preserve">Zanamivir  </w:t>
      </w:r>
      <w:r w:rsidDel="00000000" w:rsidR="00000000" w:rsidRPr="00000000">
        <w:rPr>
          <w:color w:val="4d4d4d"/>
          <w:sz w:val="24"/>
          <w:szCs w:val="24"/>
          <w:rtl w:val="0"/>
        </w:rPr>
        <w:t xml:space="preserve">10 mg via inalatória de 24/24 horas, por 10 dias.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d4d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