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i w:val="0"/>
          <w:color w:val="C88A1E"/>
          <w:sz w:val="18"/>
        </w:rPr>
        <w:t>EN-TÊTE OFFICIEL — IDENTIFICATION DE LA SOCIÉTÉ</w:t>
      </w:r>
    </w:p>
    <w:p>
      <w:pPr>
        <w:spacing w:after="40"/>
        <w:jc w:val="center"/>
      </w:pPr>
      <w:r>
        <w:rPr>
          <w:b/>
          <w:i w:val="0"/>
          <w:color w:val="7E1A31"/>
          <w:sz w:val="30"/>
        </w:rPr>
        <w:t>AFRICAN TRADE AND INDUSTRY COMPANY</w:t>
      </w:r>
    </w:p>
    <w:p>
      <w:pPr>
        <w:spacing w:after="40"/>
        <w:jc w:val="center"/>
      </w:pPr>
      <w:r>
        <w:rPr>
          <w:b/>
          <w:i w:val="0"/>
          <w:color w:val="7E1A31"/>
          <w:sz w:val="40"/>
        </w:rPr>
        <w:t>ATRIC SARL</w:t>
      </w:r>
    </w:p>
    <w:p>
      <w:pPr>
        <w:spacing w:after="40"/>
        <w:jc w:val="center"/>
      </w:pPr>
      <w:r>
        <w:rPr>
          <w:b w:val="0"/>
          <w:i/>
          <w:color w:val="C88A1E"/>
          <w:sz w:val="24"/>
        </w:rPr>
        <w:t>African Industrial &amp; Business Solutions</w:t>
      </w:r>
    </w:p>
    <w:p>
      <w:pPr>
        <w:spacing w:after="40"/>
        <w:jc w:val="center"/>
      </w:pPr>
      <w:r>
        <w:rPr>
          <w:b w:val="0"/>
          <w:i w:val="0"/>
          <w:sz w:val="12"/>
        </w:rPr>
      </w:r>
    </w:p>
    <w:p>
      <w:pPr>
        <w:spacing w:after="40"/>
        <w:jc w:val="center"/>
      </w:pPr>
      <w:r>
        <w:rPr>
          <w:b w:val="0"/>
          <w:i w:val="0"/>
          <w:sz w:val="21"/>
        </w:rPr>
        <w:t>Société à Responsabilité Limitée au capital de 990 000 FCFA</w:t>
      </w:r>
    </w:p>
    <w:p>
      <w:pPr>
        <w:spacing w:after="40"/>
        <w:jc w:val="center"/>
      </w:pPr>
      <w:r>
        <w:rPr>
          <w:b/>
          <w:i w:val="0"/>
          <w:color w:val="7E1A31"/>
          <w:sz w:val="24"/>
        </w:rPr>
        <w:t>RCCM : RC/YAO/2026/M/344</w:t>
      </w:r>
    </w:p>
    <w:p>
      <w:pPr>
        <w:spacing w:after="40"/>
        <w:jc w:val="center"/>
      </w:pPr>
      <w:r>
        <w:rPr>
          <w:b w:val="0"/>
          <w:i w:val="0"/>
          <w:sz w:val="21"/>
        </w:rPr>
        <w:t>📍 Yaoundé – Cameroun</w:t>
      </w:r>
    </w:p>
    <w:p>
      <w:pPr>
        <w:spacing w:after="40"/>
        <w:jc w:val="center"/>
      </w:pPr>
      <w:r>
        <w:rPr>
          <w:b w:val="0"/>
          <w:i w:val="0"/>
          <w:sz w:val="21"/>
        </w:rPr>
        <w:t>☎️ Tél. : +237 620 71 90 40</w:t>
      </w:r>
    </w:p>
    <w:p>
      <w:pPr>
        <w:spacing w:after="40"/>
        <w:jc w:val="center"/>
      </w:pPr>
      <w:r>
        <w:rPr>
          <w:b w:val="0"/>
          <w:i w:val="0"/>
          <w:sz w:val="21"/>
        </w:rPr>
        <w:t>✉️ Email : contact@atricsarl.com</w:t>
      </w:r>
    </w:p>
    <w:p>
      <w:pPr>
        <w:spacing w:after="40"/>
        <w:jc w:val="center"/>
      </w:pPr>
      <w:r>
        <w:rPr>
          <w:b w:val="0"/>
          <w:i w:val="0"/>
          <w:sz w:val="21"/>
        </w:rPr>
        <w:t>🌐 www.atricsarl.com</w:t>
      </w:r>
    </w:p>
    <w:p>
      <w:r>
        <w:br w:type="page"/>
      </w:r>
    </w:p>
    <w:p>
      <w:pPr>
        <w:jc w:val="center"/>
      </w:pPr>
      <w:r>
        <w:drawing>
          <wp:inline xmlns:a="http://schemas.openxmlformats.org/drawingml/2006/main" xmlns:pic="http://schemas.openxmlformats.org/drawingml/2006/picture">
            <wp:extent cx="1188720" cy="648224"/>
            <wp:docPr id="1" name="Picture 1"/>
            <wp:cNvGraphicFramePr>
              <a:graphicFrameLocks noChangeAspect="1"/>
            </wp:cNvGraphicFramePr>
            <a:graphic>
              <a:graphicData uri="http://schemas.openxmlformats.org/drawingml/2006/picture">
                <pic:pic>
                  <pic:nvPicPr>
                    <pic:cNvPr id="0" name="logo.jpeg"/>
                    <pic:cNvPicPr/>
                  </pic:nvPicPr>
                  <pic:blipFill>
                    <a:blip r:embed="rId8"/>
                    <a:stretch>
                      <a:fillRect/>
                    </a:stretch>
                  </pic:blipFill>
                  <pic:spPr>
                    <a:xfrm>
                      <a:off x="0" y="0"/>
                      <a:ext cx="1188720" cy="648224"/>
                    </a:xfrm>
                    <a:prstGeom prst="rect"/>
                  </pic:spPr>
                </pic:pic>
              </a:graphicData>
            </a:graphic>
          </wp:inline>
        </w:drawing>
      </w:r>
    </w:p>
    <w:p>
      <w:pPr>
        <w:pStyle w:val="Title"/>
        <w:jc w:val="center"/>
      </w:pPr>
      <w:r>
        <w:t>KAMILI EDUCAMPUS</w:t>
      </w:r>
    </w:p>
    <w:p>
      <w:pPr>
        <w:pStyle w:val="MdParagraph"/>
        <w:jc w:val="center"/>
      </w:pPr>
      <w:r>
        <w:rPr>
          <w:b/>
          <w:i/>
          <w:color w:val="7E1A31"/>
          <w:sz w:val="30"/>
        </w:rPr>
        <w:t>Dossier d'Investissement — Déploiement National &amp; Impact Macro-Économique</w:t>
      </w:r>
    </w:p>
    <w:p>
      <w:pPr>
        <w:pStyle w:val="MdParagraph"/>
        <w:jc w:val="center"/>
      </w:pPr>
      <w:r>
        <w:rPr>
          <w:color w:val="57534E"/>
          <w:sz w:val="21"/>
        </w:rPr>
        <w:t>ATRIC SARL  ·  République du Cameroun  ·  Août 2026</w:t>
      </w:r>
    </w:p>
    <w:p>
      <w:pPr>
        <w:pStyle w:val="MdParagraph"/>
        <w:jc w:val="center"/>
      </w:pPr>
      <w:r>
        <w:rPr>
          <w:color w:val="57534E"/>
          <w:sz w:val="21"/>
        </w:rPr>
        <w:t>Document confidentiel préparé à l'attention du jury / comité d'investissement</w:t>
      </w:r>
    </w:p>
    <w:p>
      <w:pPr>
        <w:pStyle w:val="MdSpace"/>
      </w:pPr>
    </w:p>
    <w:p>
      <w:pPr>
        <w:pStyle w:val="MdHr"/>
      </w:pPr>
    </w:p>
    <w:p>
      <w:pPr>
        <w:pStyle w:val="MdSpace"/>
      </w:pPr>
    </w:p>
    <w:p>
      <w:pPr>
        <w:pStyle w:val="Heading1"/>
      </w:pPr>
      <w:r>
        <w:t>Résumé Exécutif</w:t>
      </w:r>
    </w:p>
    <w:p>
      <w:pPr>
        <w:pStyle w:val="MdParagraph"/>
      </w:pPr>
      <w:r>
        <w:rPr>
          <w:b/>
          <w:i w:val="0"/>
          <w:color w:val="641028"/>
        </w:rPr>
        <w:t>Kamili EduCampus</w:t>
      </w:r>
      <w:r>
        <w:rPr>
          <w:b w:val="0"/>
          <w:i w:val="0"/>
        </w:rPr>
        <w:t xml:space="preserve"> est une plateforme numérique unifiée de gestion scolaire, conçue par </w:t>
      </w:r>
      <w:r>
        <w:rPr>
          <w:b/>
          <w:i w:val="0"/>
          <w:color w:val="641028"/>
        </w:rPr>
        <w:t>ATRIC SARL</w:t>
      </w:r>
      <w:r>
        <w:rPr>
          <w:b w:val="0"/>
          <w:i w:val="0"/>
        </w:rPr>
        <w:t xml:space="preserve"> pour connecter en un seul écosystème les élèves, les parents, les enseignants, les directions d'établissement et les trois ministères en charge de l'éducation au Cameroun (MINEDUB, MINESEC, MINESUP). Le projet repose sur un modèle économique inédit : une micro-cotisation nationale de </w:t>
      </w:r>
      <w:r>
        <w:rPr>
          <w:b/>
          <w:i w:val="0"/>
          <w:color w:val="641028"/>
        </w:rPr>
        <w:t>2 000 FCFA par élève et par an</w:t>
      </w:r>
      <w:r>
        <w:rPr>
          <w:b w:val="0"/>
          <w:i w:val="0"/>
        </w:rPr>
        <w:t xml:space="preserve">, capable de générer un flux annuel de </w:t>
      </w:r>
      <w:r>
        <w:rPr>
          <w:b/>
          <w:i w:val="0"/>
          <w:color w:val="641028"/>
        </w:rPr>
        <w:t>12 milliards de FCFA</w:t>
      </w:r>
      <w:r>
        <w:rPr>
          <w:b w:val="0"/>
          <w:i w:val="0"/>
        </w:rPr>
        <w:t xml:space="preserve"> entièrement réinvesti dans le système éducatif public — enseignants, infrastructures, connectivité — sans recours à l'endettement extérieur.</w:t>
      </w:r>
    </w:p>
    <w:p>
      <w:pPr>
        <w:pStyle w:val="MdParagraph"/>
      </w:pPr>
      <w:r>
        <w:rPr>
          <w:b w:val="0"/>
          <w:i w:val="0"/>
        </w:rPr>
        <w:t xml:space="preserve">Contrairement à un projet à l'état de concept, Kamili EduCampus dispose déjà d'une </w:t>
      </w:r>
      <w:r>
        <w:rPr>
          <w:b/>
          <w:i w:val="0"/>
          <w:color w:val="641028"/>
        </w:rPr>
        <w:t>maquette logicielle fonctionnelle</w:t>
      </w:r>
      <w:r>
        <w:rPr>
          <w:b w:val="0"/>
          <w:i w:val="0"/>
        </w:rPr>
        <w:t xml:space="preserve"> couvrant les huit espaces utilisateurs du produit final (86 écrans, 27 composants d'interface, 37 modules de données), démontrant la faisabilité technique du projet et réduisant significativement le risque d'exécution pour les investisseurs. Ce dossier présente le contexte, la solution, le modèle économique, l'impact macro-économique attendu et le besoin de financement de </w:t>
      </w:r>
      <w:r>
        <w:rPr>
          <w:b/>
          <w:i w:val="0"/>
          <w:color w:val="641028"/>
        </w:rPr>
        <w:t>50 000 000 FCFA sur 18 mois</w:t>
      </w:r>
      <w:r>
        <w:rPr>
          <w:b w:val="0"/>
          <w:i w:val="0"/>
        </w:rPr>
        <w:t xml:space="preserve"> nécessaire pour transformer cette maquette en plateforme de production et déployer un pilote dans 50 établissements.</w:t>
      </w:r>
    </w:p>
    <w:p>
      <w:pPr>
        <w:pStyle w:val="MdListItem"/>
        <w:numPr>
          <w:ilvl w:val="0"/>
          <w:numId w:val="2"/>
        </w:numPr>
      </w:pPr>
      <w:r>
        <w:rPr>
          <w:b/>
          <w:color w:val="641028"/>
        </w:rPr>
        <w:t xml:space="preserve">Marché : </w:t>
      </w:r>
      <w:r>
        <w:t>près de 6 millions d'élèves et étudiants du secteur public camerounais, répartis sur 3 ministères et plus de 28 800 établissements.</w:t>
      </w:r>
    </w:p>
    <w:p>
      <w:pPr>
        <w:pStyle w:val="MdListItem"/>
        <w:numPr>
          <w:ilvl w:val="0"/>
          <w:numId w:val="2"/>
        </w:numPr>
      </w:pPr>
      <w:r>
        <w:rPr>
          <w:b/>
          <w:color w:val="641028"/>
        </w:rPr>
        <w:t xml:space="preserve">Produit : </w:t>
      </w:r>
      <w:r>
        <w:t>plateforme SaaS multi-acteurs déjà prototypée (8 espaces, 86 écrans) — technologie React 19 / Vite 8, prête à être connectée à un back-end de production.</w:t>
      </w:r>
    </w:p>
    <w:p>
      <w:pPr>
        <w:pStyle w:val="MdListItem"/>
        <w:numPr>
          <w:ilvl w:val="0"/>
          <w:numId w:val="2"/>
        </w:numPr>
      </w:pPr>
      <w:r>
        <w:rPr>
          <w:b/>
          <w:color w:val="641028"/>
        </w:rPr>
        <w:t xml:space="preserve">Modèle économique : </w:t>
      </w:r>
      <w:r>
        <w:t>micro-cotisation de 2 000 FCFA/élève/an ; commission de gestion de la plateforme sur les flux traités, complétée de services à valeur ajoutée.</w:t>
      </w:r>
    </w:p>
    <w:p>
      <w:pPr>
        <w:pStyle w:val="MdListItem"/>
        <w:numPr>
          <w:ilvl w:val="0"/>
          <w:numId w:val="2"/>
        </w:numPr>
      </w:pPr>
      <w:r>
        <w:rPr>
          <w:b/>
          <w:color w:val="641028"/>
        </w:rPr>
        <w:t xml:space="preserve">Impact national : </w:t>
      </w:r>
      <w:r>
        <w:t>financement de 26 600 enseignants vacataires, 1 200 salles de classe/an, 1 000 campus connectés en Wi-Fi/fibre dès la première année.</w:t>
      </w:r>
    </w:p>
    <w:p>
      <w:pPr>
        <w:pStyle w:val="MdListItem"/>
        <w:numPr>
          <w:ilvl w:val="0"/>
          <w:numId w:val="2"/>
        </w:numPr>
      </w:pPr>
      <w:r>
        <w:rPr>
          <w:b/>
          <w:color w:val="641028"/>
        </w:rPr>
        <w:t xml:space="preserve">Emplois : </w:t>
      </w:r>
      <w:r>
        <w:t>plus de 500 emplois directs créés à l'échelle nationale (ingénierie, data, support, formation).</w:t>
      </w:r>
    </w:p>
    <w:p>
      <w:pPr>
        <w:pStyle w:val="MdListItem"/>
        <w:numPr>
          <w:ilvl w:val="0"/>
          <w:numId w:val="2"/>
        </w:numPr>
      </w:pPr>
      <w:r>
        <w:rPr>
          <w:b/>
          <w:color w:val="641028"/>
        </w:rPr>
        <w:t xml:space="preserve">Besoin de financement : </w:t>
      </w:r>
      <w:r>
        <w:t>50 000 000 FCFA sur 18 mois pour finaliser le produit et déployer le pilote de 50 établissements, première étape vers la saturation nationale.</w:t>
      </w:r>
    </w:p>
    <w:p>
      <w:pPr>
        <w:pStyle w:val="MdSpace"/>
      </w:pPr>
    </w:p>
    <w:p>
      <w:pPr>
        <w:pStyle w:val="Heading1"/>
      </w:pPr>
      <w:r>
        <w:t>1. Le Contexte — Un Système Éducatif à Réinventer</w:t>
      </w:r>
    </w:p>
    <w:p>
      <w:pPr>
        <w:pStyle w:val="Heading2"/>
      </w:pPr>
      <w:r>
        <w:t>1.1 Un secteur immense mais fragmenté</w:t>
      </w:r>
    </w:p>
    <w:p>
      <w:pPr>
        <w:pStyle w:val="MdParagraph"/>
      </w:pPr>
      <w:r>
        <w:t>Le système éducatif public camerounais est organisé en trois ministères disposant chacun de leurs propres outils, procédures et bases de données, sans plateforme unifiée de pilotage ni de circulation de l'information entre l'établissement, la famille et l'administration centrale.</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shd w:val="clear" w:color="auto" w:fill="7E1A31"/>
            <w:tcBorders>
              <w:top w:val="single" w:sz="4" w:space="0" w:color="641028"/>
              <w:left w:val="single" w:sz="4" w:space="0" w:color="641028"/>
              <w:bottom w:val="single" w:sz="4" w:space="0" w:color="641028"/>
              <w:right w:val="single" w:sz="4" w:space="0" w:color="641028"/>
            </w:tcBorders>
          </w:tcPr>
          <w:p>
            <w:pPr>
              <w:spacing w:before="40" w:after="40"/>
            </w:pPr>
            <w:r/>
            <w:r>
              <w:rPr>
                <w:b/>
                <w:i w:val="0"/>
                <w:color w:val="FFFFFF"/>
                <w:sz w:val="21"/>
              </w:rPr>
              <w:t>Ministère</w:t>
            </w:r>
          </w:p>
        </w:tc>
        <w:tc>
          <w:tcPr>
            <w:tcW w:type="dxa" w:w="2256"/>
            <w:shd w:val="clear" w:color="auto" w:fill="7E1A31"/>
            <w:tcBorders>
              <w:top w:val="single" w:sz="4" w:space="0" w:color="641028"/>
              <w:left w:val="single" w:sz="4" w:space="0" w:color="641028"/>
              <w:bottom w:val="single" w:sz="4" w:space="0" w:color="641028"/>
              <w:right w:val="single" w:sz="4" w:space="0" w:color="641028"/>
            </w:tcBorders>
          </w:tcPr>
          <w:p>
            <w:pPr>
              <w:spacing w:before="40" w:after="40"/>
              <w:jc w:val="center"/>
            </w:pPr>
            <w:r/>
            <w:r>
              <w:rPr>
                <w:b/>
                <w:i w:val="0"/>
                <w:color w:val="FFFFFF"/>
                <w:sz w:val="21"/>
              </w:rPr>
              <w:t>Élèves / étudiants</w:t>
            </w:r>
          </w:p>
        </w:tc>
        <w:tc>
          <w:tcPr>
            <w:tcW w:type="dxa" w:w="2256"/>
            <w:shd w:val="clear" w:color="auto" w:fill="7E1A31"/>
            <w:tcBorders>
              <w:top w:val="single" w:sz="4" w:space="0" w:color="641028"/>
              <w:left w:val="single" w:sz="4" w:space="0" w:color="641028"/>
              <w:bottom w:val="single" w:sz="4" w:space="0" w:color="641028"/>
              <w:right w:val="single" w:sz="4" w:space="0" w:color="641028"/>
            </w:tcBorders>
          </w:tcPr>
          <w:p>
            <w:pPr>
              <w:spacing w:before="40" w:after="40"/>
              <w:jc w:val="center"/>
            </w:pPr>
            <w:r/>
            <w:r>
              <w:rPr>
                <w:b/>
                <w:i w:val="0"/>
                <w:color w:val="FFFFFF"/>
                <w:sz w:val="21"/>
              </w:rPr>
              <w:t>Établissements</w:t>
            </w:r>
          </w:p>
        </w:tc>
        <w:tc>
          <w:tcPr>
            <w:tcW w:type="dxa" w:w="2256"/>
            <w:shd w:val="clear" w:color="auto" w:fill="7E1A31"/>
            <w:tcBorders>
              <w:top w:val="single" w:sz="4" w:space="0" w:color="641028"/>
              <w:left w:val="single" w:sz="4" w:space="0" w:color="641028"/>
              <w:bottom w:val="single" w:sz="4" w:space="0" w:color="641028"/>
              <w:right w:val="single" w:sz="4" w:space="0" w:color="641028"/>
            </w:tcBorders>
          </w:tcPr>
          <w:p>
            <w:pPr>
              <w:spacing w:before="40" w:after="40"/>
              <w:jc w:val="center"/>
            </w:pPr>
            <w:r/>
            <w:r>
              <w:rPr>
                <w:b/>
                <w:i w:val="0"/>
                <w:color w:val="FFFFFF"/>
                <w:sz w:val="21"/>
              </w:rPr>
              <w:t>Enseignants</w:t>
            </w:r>
          </w:p>
        </w:tc>
      </w:tr>
      <w:tr>
        <w:tc>
          <w:tcPr>
            <w:tcW w:type="dxa" w:w="2256"/>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MINEDUB — Éducation de base (maternelle &amp; primaire)</w:t>
            </w:r>
          </w:p>
        </w:tc>
        <w:tc>
          <w:tcPr>
            <w:tcW w:type="dxa" w:w="2256"/>
            <w:shd w:val="clear" w:color="auto" w:fill="FBF0F2"/>
            <w:tcBorders>
              <w:top w:val="single" w:sz="4" w:space="0" w:color="CFBDA6"/>
              <w:left w:val="single" w:sz="4" w:space="0" w:color="CFBDA6"/>
              <w:bottom w:val="single" w:sz="4" w:space="0" w:color="CFBDA6"/>
              <w:right w:val="single" w:sz="4" w:space="0" w:color="CFBDA6"/>
            </w:tcBorders>
          </w:tcPr>
          <w:p>
            <w:pPr>
              <w:spacing w:before="40" w:after="40"/>
              <w:jc w:val="center"/>
            </w:pPr>
            <w:r/>
            <w:r>
              <w:rPr>
                <w:b w:val="0"/>
                <w:i w:val="0"/>
                <w:color w:val="1C1917"/>
                <w:sz w:val="21"/>
              </w:rPr>
              <w:t>3 200 000</w:t>
            </w:r>
          </w:p>
        </w:tc>
        <w:tc>
          <w:tcPr>
            <w:tcW w:type="dxa" w:w="2256"/>
            <w:shd w:val="clear" w:color="auto" w:fill="FBF0F2"/>
            <w:tcBorders>
              <w:top w:val="single" w:sz="4" w:space="0" w:color="CFBDA6"/>
              <w:left w:val="single" w:sz="4" w:space="0" w:color="CFBDA6"/>
              <w:bottom w:val="single" w:sz="4" w:space="0" w:color="CFBDA6"/>
              <w:right w:val="single" w:sz="4" w:space="0" w:color="CFBDA6"/>
            </w:tcBorders>
          </w:tcPr>
          <w:p>
            <w:pPr>
              <w:spacing w:before="40" w:after="40"/>
              <w:jc w:val="center"/>
            </w:pPr>
            <w:r/>
            <w:r>
              <w:rPr>
                <w:b w:val="0"/>
                <w:i w:val="0"/>
                <w:color w:val="1C1917"/>
                <w:sz w:val="21"/>
              </w:rPr>
              <w:t>21 730</w:t>
            </w:r>
          </w:p>
        </w:tc>
        <w:tc>
          <w:tcPr>
            <w:tcW w:type="dxa" w:w="2256"/>
            <w:shd w:val="clear" w:color="auto" w:fill="FBF0F2"/>
            <w:tcBorders>
              <w:top w:val="single" w:sz="4" w:space="0" w:color="CFBDA6"/>
              <w:left w:val="single" w:sz="4" w:space="0" w:color="CFBDA6"/>
              <w:bottom w:val="single" w:sz="4" w:space="0" w:color="CFBDA6"/>
              <w:right w:val="single" w:sz="4" w:space="0" w:color="CFBDA6"/>
            </w:tcBorders>
          </w:tcPr>
          <w:p>
            <w:pPr>
              <w:spacing w:before="40" w:after="40"/>
              <w:jc w:val="center"/>
            </w:pPr>
            <w:r/>
            <w:r>
              <w:rPr>
                <w:b w:val="0"/>
                <w:i w:val="0"/>
                <w:color w:val="1C1917"/>
                <w:sz w:val="21"/>
              </w:rPr>
              <w:t>104 000</w:t>
            </w:r>
          </w:p>
        </w:tc>
      </w:tr>
      <w:tr>
        <w:tc>
          <w:tcPr>
            <w:tcW w:type="dxa" w:w="2256"/>
            <w:shd w:val="clear" w:color="auto" w:fill="FFFFFF"/>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MINESEC — Enseignement secondaire (collège &amp; lycée)</w:t>
            </w:r>
          </w:p>
        </w:tc>
        <w:tc>
          <w:tcPr>
            <w:tcW w:type="dxa" w:w="2256"/>
            <w:shd w:val="clear" w:color="auto" w:fill="FFFFFF"/>
            <w:tcBorders>
              <w:top w:val="single" w:sz="4" w:space="0" w:color="CFBDA6"/>
              <w:left w:val="single" w:sz="4" w:space="0" w:color="CFBDA6"/>
              <w:bottom w:val="single" w:sz="4" w:space="0" w:color="CFBDA6"/>
              <w:right w:val="single" w:sz="4" w:space="0" w:color="CFBDA6"/>
            </w:tcBorders>
          </w:tcPr>
          <w:p>
            <w:pPr>
              <w:spacing w:before="40" w:after="40"/>
              <w:jc w:val="center"/>
            </w:pPr>
            <w:r/>
            <w:r>
              <w:rPr>
                <w:b w:val="0"/>
                <w:i w:val="0"/>
                <w:color w:val="1C1917"/>
                <w:sz w:val="21"/>
              </w:rPr>
              <w:t>1 850 000</w:t>
            </w:r>
          </w:p>
        </w:tc>
        <w:tc>
          <w:tcPr>
            <w:tcW w:type="dxa" w:w="2256"/>
            <w:shd w:val="clear" w:color="auto" w:fill="FFFFFF"/>
            <w:tcBorders>
              <w:top w:val="single" w:sz="4" w:space="0" w:color="CFBDA6"/>
              <w:left w:val="single" w:sz="4" w:space="0" w:color="CFBDA6"/>
              <w:bottom w:val="single" w:sz="4" w:space="0" w:color="CFBDA6"/>
              <w:right w:val="single" w:sz="4" w:space="0" w:color="CFBDA6"/>
            </w:tcBorders>
          </w:tcPr>
          <w:p>
            <w:pPr>
              <w:spacing w:before="40" w:after="40"/>
              <w:jc w:val="center"/>
            </w:pPr>
            <w:r/>
            <w:r>
              <w:rPr>
                <w:b w:val="0"/>
                <w:i w:val="0"/>
                <w:color w:val="1C1917"/>
                <w:sz w:val="21"/>
              </w:rPr>
              <w:t>6 830</w:t>
            </w:r>
          </w:p>
        </w:tc>
        <w:tc>
          <w:tcPr>
            <w:tcW w:type="dxa" w:w="2256"/>
            <w:shd w:val="clear" w:color="auto" w:fill="FFFFFF"/>
            <w:tcBorders>
              <w:top w:val="single" w:sz="4" w:space="0" w:color="CFBDA6"/>
              <w:left w:val="single" w:sz="4" w:space="0" w:color="CFBDA6"/>
              <w:bottom w:val="single" w:sz="4" w:space="0" w:color="CFBDA6"/>
              <w:right w:val="single" w:sz="4" w:space="0" w:color="CFBDA6"/>
            </w:tcBorders>
          </w:tcPr>
          <w:p>
            <w:pPr>
              <w:spacing w:before="40" w:after="40"/>
              <w:jc w:val="center"/>
            </w:pPr>
            <w:r/>
            <w:r>
              <w:rPr>
                <w:b w:val="0"/>
                <w:i w:val="0"/>
                <w:color w:val="1C1917"/>
                <w:sz w:val="21"/>
              </w:rPr>
              <w:t>62 000</w:t>
            </w:r>
          </w:p>
        </w:tc>
      </w:tr>
      <w:tr>
        <w:tc>
          <w:tcPr>
            <w:tcW w:type="dxa" w:w="2256"/>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MINESUP — Enseignement supérieur (universités &amp; grandes écoles)</w:t>
            </w:r>
          </w:p>
        </w:tc>
        <w:tc>
          <w:tcPr>
            <w:tcW w:type="dxa" w:w="2256"/>
            <w:shd w:val="clear" w:color="auto" w:fill="FBF0F2"/>
            <w:tcBorders>
              <w:top w:val="single" w:sz="4" w:space="0" w:color="CFBDA6"/>
              <w:left w:val="single" w:sz="4" w:space="0" w:color="CFBDA6"/>
              <w:bottom w:val="single" w:sz="4" w:space="0" w:color="CFBDA6"/>
              <w:right w:val="single" w:sz="4" w:space="0" w:color="CFBDA6"/>
            </w:tcBorders>
          </w:tcPr>
          <w:p>
            <w:pPr>
              <w:spacing w:before="40" w:after="40"/>
              <w:jc w:val="center"/>
            </w:pPr>
            <w:r/>
            <w:r>
              <w:rPr>
                <w:b w:val="0"/>
                <w:i w:val="0"/>
                <w:color w:val="1C1917"/>
                <w:sz w:val="21"/>
              </w:rPr>
              <w:t>435 000</w:t>
            </w:r>
          </w:p>
        </w:tc>
        <w:tc>
          <w:tcPr>
            <w:tcW w:type="dxa" w:w="2256"/>
            <w:shd w:val="clear" w:color="auto" w:fill="FBF0F2"/>
            <w:tcBorders>
              <w:top w:val="single" w:sz="4" w:space="0" w:color="CFBDA6"/>
              <w:left w:val="single" w:sz="4" w:space="0" w:color="CFBDA6"/>
              <w:bottom w:val="single" w:sz="4" w:space="0" w:color="CFBDA6"/>
              <w:right w:val="single" w:sz="4" w:space="0" w:color="CFBDA6"/>
            </w:tcBorders>
          </w:tcPr>
          <w:p>
            <w:pPr>
              <w:spacing w:before="40" w:after="40"/>
              <w:jc w:val="center"/>
            </w:pPr>
            <w:r/>
            <w:r>
              <w:rPr>
                <w:b w:val="0"/>
                <w:i w:val="0"/>
                <w:color w:val="1C1917"/>
                <w:sz w:val="21"/>
              </w:rPr>
              <w:t>246</w:t>
            </w:r>
          </w:p>
        </w:tc>
        <w:tc>
          <w:tcPr>
            <w:tcW w:type="dxa" w:w="2256"/>
            <w:shd w:val="clear" w:color="auto" w:fill="FBF0F2"/>
            <w:tcBorders>
              <w:top w:val="single" w:sz="4" w:space="0" w:color="CFBDA6"/>
              <w:left w:val="single" w:sz="4" w:space="0" w:color="CFBDA6"/>
              <w:bottom w:val="single" w:sz="4" w:space="0" w:color="CFBDA6"/>
              <w:right w:val="single" w:sz="4" w:space="0" w:color="CFBDA6"/>
            </w:tcBorders>
          </w:tcPr>
          <w:p>
            <w:pPr>
              <w:spacing w:before="40" w:after="40"/>
              <w:jc w:val="center"/>
            </w:pPr>
            <w:r/>
            <w:r>
              <w:rPr>
                <w:b w:val="0"/>
                <w:i w:val="0"/>
                <w:color w:val="1C1917"/>
                <w:sz w:val="21"/>
              </w:rPr>
              <w:t>11 800</w:t>
            </w:r>
          </w:p>
        </w:tc>
      </w:tr>
      <w:tr>
        <w:tc>
          <w:tcPr>
            <w:tcW w:type="dxa" w:w="2256"/>
            <w:shd w:val="clear" w:color="auto" w:fill="E6B02C"/>
            <w:tcBorders>
              <w:top w:val="single" w:sz="4" w:space="0" w:color="CFBDA6"/>
              <w:left w:val="single" w:sz="4" w:space="0" w:color="CFBDA6"/>
              <w:bottom w:val="single" w:sz="4" w:space="0" w:color="CFBDA6"/>
              <w:right w:val="single" w:sz="4" w:space="0" w:color="CFBDA6"/>
            </w:tcBorders>
          </w:tcPr>
          <w:p>
            <w:pPr>
              <w:spacing w:before="40" w:after="40"/>
            </w:pPr>
            <w:r/>
            <w:r>
              <w:rPr>
                <w:b/>
                <w:i w:val="0"/>
                <w:color w:val="4A0C1E"/>
                <w:sz w:val="21"/>
              </w:rPr>
              <w:t>TOTAL</w:t>
            </w:r>
          </w:p>
        </w:tc>
        <w:tc>
          <w:tcPr>
            <w:tcW w:type="dxa" w:w="2256"/>
            <w:shd w:val="clear" w:color="auto" w:fill="E6B02C"/>
            <w:tcBorders>
              <w:top w:val="single" w:sz="4" w:space="0" w:color="CFBDA6"/>
              <w:left w:val="single" w:sz="4" w:space="0" w:color="CFBDA6"/>
              <w:bottom w:val="single" w:sz="4" w:space="0" w:color="CFBDA6"/>
              <w:right w:val="single" w:sz="4" w:space="0" w:color="CFBDA6"/>
            </w:tcBorders>
          </w:tcPr>
          <w:p>
            <w:pPr>
              <w:spacing w:before="40" w:after="40"/>
              <w:jc w:val="center"/>
            </w:pPr>
            <w:r/>
            <w:r>
              <w:rPr>
                <w:b/>
                <w:i w:val="0"/>
                <w:color w:val="4A0C1E"/>
                <w:sz w:val="21"/>
              </w:rPr>
              <w:t>5 485 000</w:t>
            </w:r>
          </w:p>
        </w:tc>
        <w:tc>
          <w:tcPr>
            <w:tcW w:type="dxa" w:w="2256"/>
            <w:shd w:val="clear" w:color="auto" w:fill="E6B02C"/>
            <w:tcBorders>
              <w:top w:val="single" w:sz="4" w:space="0" w:color="CFBDA6"/>
              <w:left w:val="single" w:sz="4" w:space="0" w:color="CFBDA6"/>
              <w:bottom w:val="single" w:sz="4" w:space="0" w:color="CFBDA6"/>
              <w:right w:val="single" w:sz="4" w:space="0" w:color="CFBDA6"/>
            </w:tcBorders>
          </w:tcPr>
          <w:p>
            <w:pPr>
              <w:spacing w:before="40" w:after="40"/>
              <w:jc w:val="center"/>
            </w:pPr>
            <w:r/>
            <w:r>
              <w:rPr>
                <w:b/>
                <w:i w:val="0"/>
                <w:color w:val="4A0C1E"/>
                <w:sz w:val="21"/>
              </w:rPr>
              <w:t>28 806</w:t>
            </w:r>
          </w:p>
        </w:tc>
        <w:tc>
          <w:tcPr>
            <w:tcW w:type="dxa" w:w="2256"/>
            <w:shd w:val="clear" w:color="auto" w:fill="E6B02C"/>
            <w:tcBorders>
              <w:top w:val="single" w:sz="4" w:space="0" w:color="CFBDA6"/>
              <w:left w:val="single" w:sz="4" w:space="0" w:color="CFBDA6"/>
              <w:bottom w:val="single" w:sz="4" w:space="0" w:color="CFBDA6"/>
              <w:right w:val="single" w:sz="4" w:space="0" w:color="CFBDA6"/>
            </w:tcBorders>
          </w:tcPr>
          <w:p>
            <w:pPr>
              <w:spacing w:before="40" w:after="40"/>
              <w:jc w:val="center"/>
            </w:pPr>
            <w:r/>
            <w:r>
              <w:rPr>
                <w:b/>
                <w:i w:val="0"/>
                <w:color w:val="4A0C1E"/>
                <w:sz w:val="21"/>
              </w:rPr>
              <w:t>177 800</w:t>
            </w:r>
          </w:p>
        </w:tc>
      </w:tr>
    </w:tbl>
    <w:p>
      <w:pPr>
        <w:pStyle w:val="MdSpace"/>
      </w:pPr>
    </w:p>
    <w:p>
      <w:pPr>
        <w:pStyle w:val="Heading2"/>
      </w:pPr>
      <w:r>
        <w:t>1.2 Des disparités régionales criantes</w:t>
      </w:r>
    </w:p>
    <w:p>
      <w:pPr>
        <w:pStyle w:val="MdParagraph"/>
      </w:pPr>
      <w:r>
        <w:t>Les écarts entre régions restent considérables et pèsent directement sur la réussite scolaire et l'équité :</w:t>
      </w:r>
    </w:p>
    <w:p>
      <w:pPr>
        <w:pStyle w:val="MdListItem"/>
        <w:numPr>
          <w:ilvl w:val="0"/>
          <w:numId w:val="2"/>
        </w:numPr>
      </w:pPr>
      <w:r>
        <w:rPr>
          <w:b/>
          <w:color w:val="641028"/>
        </w:rPr>
        <w:t xml:space="preserve">Écart de réussite : </w:t>
      </w:r>
      <w:r>
        <w:t>jusqu'à 13 points d'écart de taux de réussite entre les régions les mieux dotées (Ouest, 82 %) et les plus fragiles (Extrême-Nord, 69 %).</w:t>
      </w:r>
    </w:p>
    <w:p>
      <w:pPr>
        <w:pStyle w:val="MdListItem"/>
        <w:numPr>
          <w:ilvl w:val="0"/>
          <w:numId w:val="2"/>
        </w:numPr>
      </w:pPr>
      <w:r>
        <w:rPr>
          <w:b/>
          <w:color w:val="641028"/>
        </w:rPr>
        <w:t xml:space="preserve">Scolarisation des filles : </w:t>
      </w:r>
      <w:r>
        <w:t>écart de 8 points entre garçons et filles dans certaines régions du Grand Nord.</w:t>
      </w:r>
    </w:p>
    <w:p>
      <w:pPr>
        <w:pStyle w:val="MdListItem"/>
        <w:numPr>
          <w:ilvl w:val="0"/>
          <w:numId w:val="2"/>
        </w:numPr>
      </w:pPr>
      <w:r>
        <w:rPr>
          <w:b/>
          <w:color w:val="641028"/>
        </w:rPr>
        <w:t xml:space="preserve">Zones en crise : </w:t>
      </w:r>
      <w:r>
        <w:t>recul de 6 % des effectifs en un an dans le Nord-Ouest, lié à la crise sécuritaire des zones anglophones.</w:t>
      </w:r>
    </w:p>
    <w:p>
      <w:pPr>
        <w:pStyle w:val="MdListItem"/>
        <w:numPr>
          <w:ilvl w:val="0"/>
          <w:numId w:val="2"/>
        </w:numPr>
      </w:pPr>
      <w:r>
        <w:rPr>
          <w:b/>
          <w:color w:val="641028"/>
        </w:rPr>
        <w:t xml:space="preserve">Surcharge du supérieur : </w:t>
      </w:r>
      <w:r>
        <w:t>un ratio étudiant/enseignant pouvant atteindre 48:1 dans certains établissements, contre une norme nationale de 25:1.</w:t>
      </w:r>
    </w:p>
    <w:p>
      <w:pPr>
        <w:pStyle w:val="MdListItem"/>
        <w:numPr>
          <w:ilvl w:val="0"/>
          <w:numId w:val="2"/>
        </w:numPr>
      </w:pPr>
      <w:r>
        <w:rPr>
          <w:b/>
          <w:color w:val="641028"/>
        </w:rPr>
        <w:t xml:space="preserve">Décrochage : </w:t>
      </w:r>
      <w:r>
        <w:t>un taux de redoublement de 18 % en classe de seconde sur les deux derniers cycles.</w:t>
      </w:r>
    </w:p>
    <w:p>
      <w:pPr>
        <w:pStyle w:val="Heading2"/>
      </w:pPr>
      <w:r>
        <w:t>1.3 Un besoin de financement structurel non résolu</w:t>
      </w:r>
    </w:p>
    <w:p>
      <w:pPr>
        <w:pStyle w:val="MdParagraph"/>
      </w:pPr>
      <w:r>
        <w:t>Le déficit d'enseignants vacataires, l'insuffisance de salles de classe et le faible taux de connectivité des établissements sont des problèmes structurels que les budgets publics actuels peinent à résorber, faute d'un mécanisme de financement complémentaire, pérenne et traçable.</w:t>
      </w:r>
    </w:p>
    <w:p>
      <w:pPr>
        <w:pStyle w:val="Heading2"/>
      </w:pPr>
      <w:r>
        <w:t>1.4 L'absence de plateforme numérique unifiée</w:t>
      </w:r>
    </w:p>
    <w:p>
      <w:pPr>
        <w:pStyle w:val="MdParagraph"/>
      </w:pPr>
      <w:r>
        <w:t>Les paiements de frais scolaires restent largement informels et peu traçables, le suivi des présences, des notes et des résultats se fait établissement par établissement, et les ministères ne disposent d'aucune vue consolidée en temps réel de l'état du système éducatif national.</w:t>
      </w:r>
    </w:p>
    <w:p>
      <w:pPr>
        <w:pStyle w:val="MdParagraph"/>
      </w:pPr>
      <w:r>
        <w:rPr>
          <w:color w:val="57534E"/>
          <w:sz w:val="21"/>
        </w:rPr>
        <w:t>Sauf mention contraire, les chiffres sectoriels cités dans ce document sont des ordres de grandeur calibrés sur les statistiques publiques du secteur éducatif camerounais ; ils illustrent l'échelle et la logique du modèle et seront consolidés avec les données officielles des ministères lors du déploiement.</w:t>
      </w:r>
    </w:p>
    <w:p>
      <w:pPr>
        <w:pStyle w:val="MdSpace"/>
      </w:pPr>
    </w:p>
    <w:p>
      <w:pPr>
        <w:pStyle w:val="Heading1"/>
      </w:pPr>
      <w:r>
        <w:t>2. La Solution — Kamili EduCampus</w:t>
      </w:r>
    </w:p>
    <w:p>
      <w:pPr>
        <w:pStyle w:val="Heading2"/>
      </w:pPr>
      <w:r>
        <w:t>2.1 Vision</w:t>
      </w:r>
    </w:p>
    <w:p>
      <w:pPr>
        <w:pStyle w:val="MdParagraph"/>
      </w:pPr>
      <w:r>
        <w:t>Kamili EduCampus est une plateforme de gestion scolaire unifiée pour tous les acteurs de l'éducation au Cameroun : un seul écosystème numérique, du parent au ministère, pour piloter la scolarité, sécuriser les paiements et donner à l'État une vue nationale en temps réel — tout en finançant durablement les besoins du terrain.</w:t>
      </w:r>
    </w:p>
    <w:p>
      <w:pPr>
        <w:pStyle w:val="Heading2"/>
      </w:pPr>
      <w:r>
        <w:t>2.2 Huit espaces, un seul écosystème</w:t>
      </w:r>
    </w:p>
    <w:p>
      <w:pPr>
        <w:pStyle w:val="MdListItem"/>
        <w:numPr>
          <w:ilvl w:val="0"/>
          <w:numId w:val="2"/>
        </w:numPr>
      </w:pPr>
      <w:r>
        <w:rPr>
          <w:b/>
          <w:color w:val="641028"/>
        </w:rPr>
        <w:t xml:space="preserve">Parent — </w:t>
      </w:r>
      <w:r>
        <w:t>suivi multi-enfants, paiements, présence, notes, résultats, agenda, messagerie avec les enseignants, inscription en ligne.</w:t>
      </w:r>
    </w:p>
    <w:p>
      <w:pPr>
        <w:pStyle w:val="MdListItem"/>
        <w:numPr>
          <w:ilvl w:val="0"/>
          <w:numId w:val="2"/>
        </w:numPr>
      </w:pPr>
      <w:r>
        <w:rPr>
          <w:b/>
          <w:color w:val="641028"/>
        </w:rPr>
        <w:t xml:space="preserve">Élève — </w:t>
      </w:r>
      <w:r>
        <w:t>notes, emploi du temps, devoirs, bibliothèque numérique, hébergement, bourses, portefeuille électronique, messagerie.</w:t>
      </w:r>
    </w:p>
    <w:p>
      <w:pPr>
        <w:pStyle w:val="MdListItem"/>
        <w:numPr>
          <w:ilvl w:val="0"/>
          <w:numId w:val="2"/>
        </w:numPr>
      </w:pPr>
      <w:r>
        <w:rPr>
          <w:b/>
          <w:color w:val="641028"/>
        </w:rPr>
        <w:t xml:space="preserve">Enseignant — </w:t>
      </w:r>
      <w:r>
        <w:t>gestion de classes, présence, notes, cahier de texte numérique, planning, communication avec les parents, examens, statistiques.</w:t>
      </w:r>
    </w:p>
    <w:p>
      <w:pPr>
        <w:pStyle w:val="MdListItem"/>
        <w:numPr>
          <w:ilvl w:val="0"/>
          <w:numId w:val="2"/>
        </w:numPr>
      </w:pPr>
      <w:r>
        <w:rPr>
          <w:b/>
          <w:color w:val="641028"/>
        </w:rPr>
        <w:t xml:space="preserve">Direction d'établissement — </w:t>
      </w:r>
      <w:r>
        <w:t>inscriptions, gestion des enseignants et des classes, finances, résultats, alertes, rapports, gestion des permissions.</w:t>
      </w:r>
    </w:p>
    <w:p>
      <w:pPr>
        <w:pStyle w:val="MdListItem"/>
        <w:numPr>
          <w:ilvl w:val="0"/>
          <w:numId w:val="2"/>
        </w:numPr>
      </w:pPr>
      <w:r>
        <w:rPr>
          <w:b/>
          <w:color w:val="641028"/>
        </w:rPr>
        <w:t xml:space="preserve">MINEDUB / MINESEC (Ministère) — </w:t>
      </w:r>
      <w:r>
        <w:t>supervision nationale, cartographie des établissements, suivi des enseignants et des résultats, alertes en temps réel.</w:t>
      </w:r>
    </w:p>
    <w:p>
      <w:pPr>
        <w:pStyle w:val="MdListItem"/>
        <w:numPr>
          <w:ilvl w:val="0"/>
          <w:numId w:val="2"/>
        </w:numPr>
      </w:pPr>
      <w:r>
        <w:rPr>
          <w:b/>
          <w:color w:val="641028"/>
        </w:rPr>
        <w:t xml:space="preserve">MINESUP — </w:t>
      </w:r>
      <w:r>
        <w:t>pilotage des universités et grandes écoles, suivi des enseignants-chercheurs et des résultats.</w:t>
      </w:r>
    </w:p>
    <w:p>
      <w:pPr>
        <w:pStyle w:val="MdListItem"/>
        <w:numPr>
          <w:ilvl w:val="0"/>
          <w:numId w:val="2"/>
        </w:numPr>
      </w:pPr>
      <w:r>
        <w:rPr>
          <w:b/>
          <w:color w:val="641028"/>
        </w:rPr>
        <w:t xml:space="preserve">Espace visiteur — </w:t>
      </w:r>
      <w:r>
        <w:t>annuaire public des établissements, présentation du projet aux nouveaux venus.</w:t>
      </w:r>
    </w:p>
    <w:p>
      <w:pPr>
        <w:pStyle w:val="MdListItem"/>
        <w:numPr>
          <w:ilvl w:val="0"/>
          <w:numId w:val="2"/>
        </w:numPr>
      </w:pPr>
      <w:r>
        <w:rPr>
          <w:b/>
          <w:color w:val="641028"/>
        </w:rPr>
        <w:t xml:space="preserve">Espace administrateur pédagogique — </w:t>
      </w:r>
      <w:r>
        <w:t>tableau de bord dédié au pilotage transverse des établissements partenaires.</w:t>
      </w:r>
    </w:p>
    <w:p>
      <w:pPr>
        <w:pStyle w:val="Heading2"/>
      </w:pPr>
      <w:r>
        <w:t>2.3 Le modèle économique : la micro-cotisation nationale</w:t>
      </w:r>
    </w:p>
    <w:p>
      <w:pPr>
        <w:pStyle w:val="MdParagraph"/>
      </w:pPr>
      <w:r>
        <w:t>Le cœur du modèle est une cotisation numérique modique et non intrusive, prélevée une fois par an et par élève, qui finance à la fois l'exploitation de la plateforme et le réinvestissement dans le système éducatif :</w:t>
      </w:r>
    </w:p>
    <w:tbl>
      <w:tblPr>
        <w:tblW w:type="auto" w:w="0"/>
        <w:jc w:val="center"/>
        <w:tblLayout w:type="autofit"/>
        <w:tblLook w:firstColumn="1" w:firstRow="1" w:lastColumn="0" w:lastRow="0" w:noHBand="0" w:noVBand="1" w:val="04A0"/>
      </w:tblPr>
      <w:tblGrid>
        <w:gridCol w:w="4513"/>
        <w:gridCol w:w="4513"/>
      </w:tblGrid>
      <w:tr>
        <w:tc>
          <w:tcPr>
            <w:tcW w:type="dxa" w:w="4513"/>
            <w:shd w:val="clear" w:color="auto" w:fill="7E1A31"/>
            <w:tcBorders>
              <w:top w:val="single" w:sz="4" w:space="0" w:color="641028"/>
              <w:left w:val="single" w:sz="4" w:space="0" w:color="641028"/>
              <w:bottom w:val="single" w:sz="4" w:space="0" w:color="641028"/>
              <w:right w:val="single" w:sz="4" w:space="0" w:color="641028"/>
            </w:tcBorders>
          </w:tcPr>
          <w:p>
            <w:pPr>
              <w:spacing w:before="40" w:after="40"/>
            </w:pPr>
            <w:r/>
            <w:r>
              <w:rPr>
                <w:b/>
                <w:i w:val="0"/>
                <w:color w:val="FFFFFF"/>
                <w:sz w:val="21"/>
              </w:rPr>
              <w:t>Paramètre</w:t>
            </w:r>
          </w:p>
        </w:tc>
        <w:tc>
          <w:tcPr>
            <w:tcW w:type="dxa" w:w="4513"/>
            <w:shd w:val="clear" w:color="auto" w:fill="7E1A31"/>
            <w:tcBorders>
              <w:top w:val="single" w:sz="4" w:space="0" w:color="641028"/>
              <w:left w:val="single" w:sz="4" w:space="0" w:color="641028"/>
              <w:bottom w:val="single" w:sz="4" w:space="0" w:color="641028"/>
              <w:right w:val="single" w:sz="4" w:space="0" w:color="641028"/>
            </w:tcBorders>
          </w:tcPr>
          <w:p>
            <w:pPr>
              <w:spacing w:before="40" w:after="40"/>
              <w:jc w:val="center"/>
            </w:pPr>
            <w:r/>
            <w:r>
              <w:rPr>
                <w:b/>
                <w:i w:val="0"/>
                <w:color w:val="FFFFFF"/>
                <w:sz w:val="21"/>
              </w:rPr>
              <w:t>Valeur</w:t>
            </w:r>
          </w:p>
        </w:tc>
      </w:tr>
      <w:tr>
        <w:tc>
          <w:tcPr>
            <w:tcW w:type="dxa" w:w="4513"/>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Volume cible (échelle nationale)</w:t>
            </w:r>
          </w:p>
        </w:tc>
        <w:tc>
          <w:tcPr>
            <w:tcW w:type="dxa" w:w="4513"/>
            <w:shd w:val="clear" w:color="auto" w:fill="FBF0F2"/>
            <w:tcBorders>
              <w:top w:val="single" w:sz="4" w:space="0" w:color="CFBDA6"/>
              <w:left w:val="single" w:sz="4" w:space="0" w:color="CFBDA6"/>
              <w:bottom w:val="single" w:sz="4" w:space="0" w:color="CFBDA6"/>
              <w:right w:val="single" w:sz="4" w:space="0" w:color="CFBDA6"/>
            </w:tcBorders>
          </w:tcPr>
          <w:p>
            <w:pPr>
              <w:spacing w:before="40" w:after="40"/>
              <w:jc w:val="center"/>
            </w:pPr>
            <w:r/>
            <w:r>
              <w:rPr>
                <w:b w:val="0"/>
                <w:i w:val="0"/>
                <w:color w:val="1C1917"/>
                <w:sz w:val="21"/>
              </w:rPr>
              <w:t>6 000 000 élèves / étudiants</w:t>
            </w:r>
          </w:p>
        </w:tc>
      </w:tr>
      <w:tr>
        <w:tc>
          <w:tcPr>
            <w:tcW w:type="dxa" w:w="4513"/>
            <w:shd w:val="clear" w:color="auto" w:fill="FFFFFF"/>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Contribution</w:t>
            </w:r>
          </w:p>
        </w:tc>
        <w:tc>
          <w:tcPr>
            <w:tcW w:type="dxa" w:w="4513"/>
            <w:shd w:val="clear" w:color="auto" w:fill="FFFFFF"/>
            <w:tcBorders>
              <w:top w:val="single" w:sz="4" w:space="0" w:color="CFBDA6"/>
              <w:left w:val="single" w:sz="4" w:space="0" w:color="CFBDA6"/>
              <w:bottom w:val="single" w:sz="4" w:space="0" w:color="CFBDA6"/>
              <w:right w:val="single" w:sz="4" w:space="0" w:color="CFBDA6"/>
            </w:tcBorders>
          </w:tcPr>
          <w:p>
            <w:pPr>
              <w:spacing w:before="40" w:after="40"/>
              <w:jc w:val="center"/>
            </w:pPr>
            <w:r/>
            <w:r>
              <w:rPr>
                <w:b w:val="0"/>
                <w:i w:val="0"/>
                <w:color w:val="1C1917"/>
                <w:sz w:val="21"/>
              </w:rPr>
              <w:t>2 000 FCFA / élève / an (soit environ 5,5 FCFA / jour)</w:t>
            </w:r>
          </w:p>
        </w:tc>
      </w:tr>
      <w:tr>
        <w:tc>
          <w:tcPr>
            <w:tcW w:type="dxa" w:w="4513"/>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Revenu annuel global généré</w:t>
            </w:r>
          </w:p>
        </w:tc>
        <w:tc>
          <w:tcPr>
            <w:tcW w:type="dxa" w:w="4513"/>
            <w:shd w:val="clear" w:color="auto" w:fill="FBF0F2"/>
            <w:tcBorders>
              <w:top w:val="single" w:sz="4" w:space="0" w:color="CFBDA6"/>
              <w:left w:val="single" w:sz="4" w:space="0" w:color="CFBDA6"/>
              <w:bottom w:val="single" w:sz="4" w:space="0" w:color="CFBDA6"/>
              <w:right w:val="single" w:sz="4" w:space="0" w:color="CFBDA6"/>
            </w:tcBorders>
          </w:tcPr>
          <w:p>
            <w:pPr>
              <w:spacing w:before="40" w:after="40"/>
              <w:jc w:val="center"/>
            </w:pPr>
            <w:r/>
            <w:r>
              <w:rPr>
                <w:b w:val="0"/>
                <w:i w:val="0"/>
                <w:color w:val="1C1917"/>
                <w:sz w:val="21"/>
              </w:rPr>
              <w:t>12 000 000 000 FCFA (12 milliards)</w:t>
            </w:r>
          </w:p>
        </w:tc>
      </w:tr>
    </w:tbl>
    <w:p>
      <w:pPr>
        <w:pStyle w:val="MdSpace"/>
      </w:pPr>
    </w:p>
    <w:p>
      <w:pPr>
        <w:pStyle w:val="MdParagraph"/>
      </w:pPr>
      <w:r>
        <w:t>Ce flux est mutualisé à l'échelle nationale : la quasi-totalité est fléchée vers les enseignants, les infrastructures et la connectivité (voir section 5), tandis qu'ATRIC SARL perçoit une commission de gestion de la plateforme sur les montants traités — modèle détaillé en section 8.</w:t>
      </w:r>
    </w:p>
    <w:p>
      <w:pPr>
        <w:pStyle w:val="MdSpace"/>
      </w:pPr>
    </w:p>
    <w:p>
      <w:pPr>
        <w:pStyle w:val="Heading1"/>
      </w:pPr>
      <w:r>
        <w:t>3. Une Preuve d'Exécution : La Maquette Fonctionnelle</w:t>
      </w:r>
    </w:p>
    <w:p>
      <w:pPr>
        <w:pStyle w:val="MdParagraph"/>
      </w:pPr>
      <w:r>
        <w:t>À la différence d'un projet à l'état de business plan, Kamili EduCampus existe déjà sous la forme d'une maquette logicielle interactive de haute fidélité, développée en interne par ATRIC SARL. Ce prototype démontre la faisabilité du produit final et réduit sensiblement le risque d'exécution technique pour tout investisseur.</w:t>
      </w:r>
    </w:p>
    <w:tbl>
      <w:tblPr>
        <w:tblW w:type="auto" w:w="0"/>
        <w:jc w:val="center"/>
        <w:tblLayout w:type="autofit"/>
        <w:tblLook w:firstColumn="1" w:firstRow="1" w:lastColumn="0" w:lastRow="0" w:noHBand="0" w:noVBand="1" w:val="04A0"/>
      </w:tblPr>
      <w:tblGrid>
        <w:gridCol w:w="4513"/>
        <w:gridCol w:w="4513"/>
      </w:tblGrid>
      <w:tr>
        <w:tc>
          <w:tcPr>
            <w:tcW w:type="dxa" w:w="4513"/>
            <w:shd w:val="clear" w:color="auto" w:fill="7E1A31"/>
            <w:tcBorders>
              <w:top w:val="single" w:sz="4" w:space="0" w:color="641028"/>
              <w:left w:val="single" w:sz="4" w:space="0" w:color="641028"/>
              <w:bottom w:val="single" w:sz="4" w:space="0" w:color="641028"/>
              <w:right w:val="single" w:sz="4" w:space="0" w:color="641028"/>
            </w:tcBorders>
          </w:tcPr>
          <w:p>
            <w:pPr>
              <w:spacing w:before="40" w:after="40"/>
            </w:pPr>
            <w:r/>
            <w:r>
              <w:rPr>
                <w:b/>
                <w:i w:val="0"/>
                <w:color w:val="FFFFFF"/>
                <w:sz w:val="21"/>
              </w:rPr>
              <w:t>Indicateur</w:t>
            </w:r>
          </w:p>
        </w:tc>
        <w:tc>
          <w:tcPr>
            <w:tcW w:type="dxa" w:w="4513"/>
            <w:shd w:val="clear" w:color="auto" w:fill="7E1A31"/>
            <w:tcBorders>
              <w:top w:val="single" w:sz="4" w:space="0" w:color="641028"/>
              <w:left w:val="single" w:sz="4" w:space="0" w:color="641028"/>
              <w:bottom w:val="single" w:sz="4" w:space="0" w:color="641028"/>
              <w:right w:val="single" w:sz="4" w:space="0" w:color="641028"/>
            </w:tcBorders>
          </w:tcPr>
          <w:p>
            <w:pPr>
              <w:spacing w:before="40" w:after="40"/>
            </w:pPr>
            <w:r/>
            <w:r>
              <w:rPr>
                <w:b/>
                <w:i w:val="0"/>
                <w:color w:val="FFFFFF"/>
                <w:sz w:val="21"/>
              </w:rPr>
              <w:t>Valeur actuelle</w:t>
            </w:r>
          </w:p>
        </w:tc>
      </w:tr>
      <w:tr>
        <w:tc>
          <w:tcPr>
            <w:tcW w:type="dxa" w:w="4513"/>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Espaces utilisateurs fonctionnels</w:t>
            </w:r>
          </w:p>
        </w:tc>
        <w:tc>
          <w:tcPr>
            <w:tcW w:type="dxa" w:w="4513"/>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8 (Parent, Élève, Enseignant, Direction, MINEDUB/MINESEC, MINESUP, Admin pédagogique, Visiteur)</w:t>
            </w:r>
          </w:p>
        </w:tc>
      </w:tr>
      <w:tr>
        <w:tc>
          <w:tcPr>
            <w:tcW w:type="dxa" w:w="4513"/>
            <w:shd w:val="clear" w:color="auto" w:fill="FFFFFF"/>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Écrans / pages développés</w:t>
            </w:r>
          </w:p>
        </w:tc>
        <w:tc>
          <w:tcPr>
            <w:tcW w:type="dxa" w:w="4513"/>
            <w:shd w:val="clear" w:color="auto" w:fill="FFFFFF"/>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86</w:t>
            </w:r>
          </w:p>
        </w:tc>
      </w:tr>
      <w:tr>
        <w:tc>
          <w:tcPr>
            <w:tcW w:type="dxa" w:w="4513"/>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Composants d'interface réutilisables</w:t>
            </w:r>
          </w:p>
        </w:tc>
        <w:tc>
          <w:tcPr>
            <w:tcW w:type="dxa" w:w="4513"/>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27 (boutons, tableaux, graphiques, cartes, calendrier, modales…)</w:t>
            </w:r>
          </w:p>
        </w:tc>
      </w:tr>
      <w:tr>
        <w:tc>
          <w:tcPr>
            <w:tcW w:type="dxa" w:w="4513"/>
            <w:shd w:val="clear" w:color="auto" w:fill="FFFFFF"/>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Modules de données métier modélisés</w:t>
            </w:r>
          </w:p>
        </w:tc>
        <w:tc>
          <w:tcPr>
            <w:tcW w:type="dxa" w:w="4513"/>
            <w:shd w:val="clear" w:color="auto" w:fill="FFFFFF"/>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37 (élèves, enseignants, paiements, résultats, présence, bourses, hébergement…)</w:t>
            </w:r>
          </w:p>
        </w:tc>
      </w:tr>
      <w:tr>
        <w:tc>
          <w:tcPr>
            <w:tcW w:type="dxa" w:w="4513"/>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Volume de code produit</w:t>
            </w:r>
          </w:p>
        </w:tc>
        <w:tc>
          <w:tcPr>
            <w:tcW w:type="dxa" w:w="4513"/>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 23 000 lignes</w:t>
            </w:r>
          </w:p>
        </w:tc>
      </w:tr>
      <w:tr>
        <w:tc>
          <w:tcPr>
            <w:tcW w:type="dxa" w:w="4513"/>
            <w:shd w:val="clear" w:color="auto" w:fill="FFFFFF"/>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Stack technologique</w:t>
            </w:r>
          </w:p>
        </w:tc>
        <w:tc>
          <w:tcPr>
            <w:tcW w:type="dxa" w:w="4513"/>
            <w:shd w:val="clear" w:color="auto" w:fill="FFFFFF"/>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React 19, Vite 8, React Router 7 — architecture moderne, modulaire et évolutive</w:t>
            </w:r>
          </w:p>
        </w:tc>
      </w:tr>
    </w:tbl>
    <w:p>
      <w:pPr>
        <w:pStyle w:val="MdSpace"/>
      </w:pPr>
    </w:p>
    <w:p>
      <w:pPr>
        <w:pStyle w:val="MdParagraph"/>
      </w:pPr>
      <w:r>
        <w:t>Ce qui fonctionne déjà : la navigation complète de chacun des 8 espaces, les parcours d'authentification et de sélection de rôle, l'annuaire public des établissements, les tableaux de bord, graphiques et cartographies régionales, ainsi qu'un système de design cohérent (charte bordeaux &amp; or, thèmes clair/sombre) directement inspiré de l'identité visuelle de la marque.</w:t>
      </w:r>
    </w:p>
    <w:p>
      <w:pPr>
        <w:pStyle w:val="MdParagraph"/>
      </w:pPr>
      <w:r>
        <w:t>Ce qu'il reste à construire pour la mise en production est détaillé dans le document technique joint à ce dossier : un back-end sécurisé, une base de données réelle, l'authentification, l'intégration des paiements Mobile Money (Orange Money, MTN MoMo) et l'hébergement souverain. C'est précisément l'objet du financement demandé en section 8.</w:t>
      </w:r>
    </w:p>
    <w:p>
      <w:pPr>
        <w:pStyle w:val="MdSpace"/>
      </w:pPr>
    </w:p>
    <w:p>
      <w:pPr>
        <w:pStyle w:val="Heading1"/>
      </w:pPr>
      <w:r>
        <w:t>4. Planification du Déploiement National (Phasage)</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val="clear" w:color="auto" w:fill="7E1A31"/>
            <w:tcBorders>
              <w:top w:val="single" w:sz="4" w:space="0" w:color="641028"/>
              <w:left w:val="single" w:sz="4" w:space="0" w:color="641028"/>
              <w:bottom w:val="single" w:sz="4" w:space="0" w:color="641028"/>
              <w:right w:val="single" w:sz="4" w:space="0" w:color="641028"/>
            </w:tcBorders>
          </w:tcPr>
          <w:p>
            <w:pPr>
              <w:spacing w:before="40" w:after="40"/>
            </w:pPr>
            <w:r/>
            <w:r>
              <w:rPr>
                <w:b/>
                <w:i w:val="0"/>
                <w:color w:val="FFFFFF"/>
                <w:sz w:val="21"/>
              </w:rPr>
              <w:t>Phase</w:t>
            </w:r>
          </w:p>
        </w:tc>
        <w:tc>
          <w:tcPr>
            <w:tcW w:type="dxa" w:w="3009"/>
            <w:shd w:val="clear" w:color="auto" w:fill="7E1A31"/>
            <w:tcBorders>
              <w:top w:val="single" w:sz="4" w:space="0" w:color="641028"/>
              <w:left w:val="single" w:sz="4" w:space="0" w:color="641028"/>
              <w:bottom w:val="single" w:sz="4" w:space="0" w:color="641028"/>
              <w:right w:val="single" w:sz="4" w:space="0" w:color="641028"/>
            </w:tcBorders>
          </w:tcPr>
          <w:p>
            <w:pPr>
              <w:spacing w:before="40" w:after="40"/>
            </w:pPr>
            <w:r/>
            <w:r>
              <w:rPr>
                <w:b/>
                <w:i w:val="0"/>
                <w:color w:val="FFFFFF"/>
                <w:sz w:val="21"/>
              </w:rPr>
              <w:t>Cible</w:t>
            </w:r>
          </w:p>
        </w:tc>
        <w:tc>
          <w:tcPr>
            <w:tcW w:type="dxa" w:w="3009"/>
            <w:shd w:val="clear" w:color="auto" w:fill="7E1A31"/>
            <w:tcBorders>
              <w:top w:val="single" w:sz="4" w:space="0" w:color="641028"/>
              <w:left w:val="single" w:sz="4" w:space="0" w:color="641028"/>
              <w:bottom w:val="single" w:sz="4" w:space="0" w:color="641028"/>
              <w:right w:val="single" w:sz="4" w:space="0" w:color="641028"/>
            </w:tcBorders>
          </w:tcPr>
          <w:p>
            <w:pPr>
              <w:spacing w:before="40" w:after="40"/>
            </w:pPr>
            <w:r/>
            <w:r>
              <w:rPr>
                <w:b/>
                <w:i w:val="0"/>
                <w:color w:val="FFFFFF"/>
                <w:sz w:val="21"/>
              </w:rPr>
              <w:t>Objectif</w:t>
            </w:r>
          </w:p>
        </w:tc>
      </w:tr>
      <w:tr>
        <w:tc>
          <w:tcPr>
            <w:tcW w:type="dxa" w:w="3009"/>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Phase 1 — Pilote</w:t>
            </w:r>
          </w:p>
        </w:tc>
        <w:tc>
          <w:tcPr>
            <w:tcW w:type="dxa" w:w="3009"/>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50 établissements stratégiques (Yaoundé / Douala)</w:t>
            </w:r>
          </w:p>
        </w:tc>
        <w:tc>
          <w:tcPr>
            <w:tcW w:type="dxa" w:w="3009"/>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Valider le produit, l'expérience utilisateur et le mécanisme de collecte en conditions réelles.</w:t>
            </w:r>
          </w:p>
        </w:tc>
      </w:tr>
      <w:tr>
        <w:tc>
          <w:tcPr>
            <w:tcW w:type="dxa" w:w="3009"/>
            <w:shd w:val="clear" w:color="auto" w:fill="FFFFFF"/>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Phase 2 — Expansion régionale</w:t>
            </w:r>
          </w:p>
        </w:tc>
        <w:tc>
          <w:tcPr>
            <w:tcW w:type="dxa" w:w="3009"/>
            <w:shd w:val="clear" w:color="auto" w:fill="FFFFFF"/>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Chefs-lieux des 10 régions du Cameroun (≈ 1 million d'élèves)</w:t>
            </w:r>
          </w:p>
        </w:tc>
        <w:tc>
          <w:tcPr>
            <w:tcW w:type="dxa" w:w="3009"/>
            <w:shd w:val="clear" w:color="auto" w:fill="FFFFFF"/>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Démontrer le passage à l'échelle et consolider les partenariats institutionnels.</w:t>
            </w:r>
          </w:p>
        </w:tc>
      </w:tr>
      <w:tr>
        <w:tc>
          <w:tcPr>
            <w:tcW w:type="dxa" w:w="3009"/>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Phase 3 — Saturation nationale</w:t>
            </w:r>
          </w:p>
        </w:tc>
        <w:tc>
          <w:tcPr>
            <w:tcW w:type="dxa" w:w="3009"/>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Ensemble du territoire, y compris les zones rurales</w:t>
            </w:r>
          </w:p>
        </w:tc>
        <w:tc>
          <w:tcPr>
            <w:tcW w:type="dxa" w:w="3009"/>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Généraliser via le quitus de déploiement national ou une licence d'État.</w:t>
            </w:r>
          </w:p>
        </w:tc>
      </w:tr>
    </w:tbl>
    <w:p>
      <w:pPr>
        <w:pStyle w:val="MdSpace"/>
      </w:pPr>
    </w:p>
    <w:p>
      <w:pPr>
        <w:pStyle w:val="MdParagraph"/>
      </w:pPr>
      <w:r>
        <w:t>Le financement de 50 000 000 FCFA sur 18 mois, objet de ce dossier, couvre la préparation technique et l'exécution complète de la Phase 1. Les phases 2 et 3 seront financées par la traction générée par le pilote, des partenariats institutionnels et, le cas échéant, une levée de fonds ultérieure adossée aux résultats du pilote.</w:t>
      </w:r>
    </w:p>
    <w:p>
      <w:pPr>
        <w:pStyle w:val="MdSpace"/>
      </w:pPr>
    </w:p>
    <w:p>
      <w:pPr>
        <w:pStyle w:val="Heading1"/>
      </w:pPr>
      <w:r>
        <w:t>5. Impact Macro-Économique : Ce Que 12 Milliards Résolvent Chaque Année</w:t>
      </w:r>
    </w:p>
    <w:p>
      <w:pPr>
        <w:pStyle w:val="MdParagraph"/>
      </w:pPr>
      <w:r>
        <w:t>Une fois le modèle déployé à l'échelle nationale (Phase 3), le flux annuel de 12 milliards de FCFA généré par la micro-cotisation peut être réinvesti comme suit, sans recours à l'endettement extérieur :</w:t>
      </w:r>
    </w:p>
    <w:tbl>
      <w:tblPr>
        <w:tblW w:type="auto" w:w="0"/>
        <w:jc w:val="center"/>
        <w:tblLayout w:type="autofit"/>
        <w:tblLook w:firstColumn="1" w:firstRow="1" w:lastColumn="0" w:lastRow="0" w:noHBand="0" w:noVBand="1" w:val="04A0"/>
      </w:tblPr>
      <w:tblGrid>
        <w:gridCol w:w="4513"/>
        <w:gridCol w:w="4513"/>
      </w:tblGrid>
      <w:tr>
        <w:tc>
          <w:tcPr>
            <w:tcW w:type="dxa" w:w="4513"/>
            <w:shd w:val="clear" w:color="auto" w:fill="7E1A31"/>
            <w:tcBorders>
              <w:top w:val="single" w:sz="4" w:space="0" w:color="641028"/>
              <w:left w:val="single" w:sz="4" w:space="0" w:color="641028"/>
              <w:bottom w:val="single" w:sz="4" w:space="0" w:color="641028"/>
              <w:right w:val="single" w:sz="4" w:space="0" w:color="641028"/>
            </w:tcBorders>
          </w:tcPr>
          <w:p>
            <w:pPr>
              <w:spacing w:before="40" w:after="40"/>
            </w:pPr>
            <w:r/>
            <w:r>
              <w:rPr>
                <w:b/>
                <w:i w:val="0"/>
                <w:color w:val="FFFFFF"/>
                <w:sz w:val="21"/>
              </w:rPr>
              <w:t>Levier</w:t>
            </w:r>
          </w:p>
        </w:tc>
        <w:tc>
          <w:tcPr>
            <w:tcW w:type="dxa" w:w="4513"/>
            <w:shd w:val="clear" w:color="auto" w:fill="7E1A31"/>
            <w:tcBorders>
              <w:top w:val="single" w:sz="4" w:space="0" w:color="641028"/>
              <w:left w:val="single" w:sz="4" w:space="0" w:color="641028"/>
              <w:bottom w:val="single" w:sz="4" w:space="0" w:color="641028"/>
              <w:right w:val="single" w:sz="4" w:space="0" w:color="641028"/>
            </w:tcBorders>
          </w:tcPr>
          <w:p>
            <w:pPr>
              <w:spacing w:before="40" w:after="40"/>
            </w:pPr>
            <w:r/>
            <w:r>
              <w:rPr>
                <w:b/>
                <w:i w:val="0"/>
                <w:color w:val="FFFFFF"/>
                <w:sz w:val="21"/>
              </w:rPr>
              <w:t>Réalisation annuelle possible</w:t>
            </w:r>
          </w:p>
        </w:tc>
      </w:tr>
      <w:tr>
        <w:tc>
          <w:tcPr>
            <w:tcW w:type="dxa" w:w="4513"/>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Souveraineté des enseignants</w:t>
            </w:r>
          </w:p>
        </w:tc>
        <w:tc>
          <w:tcPr>
            <w:tcW w:type="dxa" w:w="4513"/>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Financement de 26 600 enseignants vacataires (base : 450 000 FCFA/an/vacataire) — résorption massive du déficit de personnel.</w:t>
            </w:r>
          </w:p>
        </w:tc>
      </w:tr>
      <w:tr>
        <w:tc>
          <w:tcPr>
            <w:tcW w:type="dxa" w:w="4513"/>
            <w:shd w:val="clear" w:color="auto" w:fill="FFFFFF"/>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Infrastructures</w:t>
            </w:r>
          </w:p>
        </w:tc>
        <w:tc>
          <w:tcPr>
            <w:tcW w:type="dxa" w:w="4513"/>
            <w:shd w:val="clear" w:color="auto" w:fill="FFFFFF"/>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1 200 salles de classe neuves construites chaque année (base : 10 M FCFA/salle), soit 6 000 salles en 5 ans.</w:t>
            </w:r>
          </w:p>
        </w:tc>
      </w:tr>
      <w:tr>
        <w:tc>
          <w:tcPr>
            <w:tcW w:type="dxa" w:w="4513"/>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Campus numériques (Wi-Fi / Camtel)</w:t>
            </w:r>
          </w:p>
        </w:tc>
        <w:tc>
          <w:tcPr>
            <w:tcW w:type="dxa" w:w="4513"/>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Équipement de 1 000 campus en fibre optique et bornes Wi-Fi dès la première année (5 Md FCFA d'investissement initial), abonnements annuels pris en charge.</w:t>
            </w:r>
          </w:p>
        </w:tc>
      </w:tr>
      <w:tr>
        <w:tc>
          <w:tcPr>
            <w:tcW w:type="dxa" w:w="4513"/>
            <w:shd w:val="clear" w:color="auto" w:fill="FFFFFF"/>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Maintenance &amp; cybersécurité</w:t>
            </w:r>
          </w:p>
        </w:tc>
        <w:tc>
          <w:tcPr>
            <w:tcW w:type="dxa" w:w="4513"/>
            <w:shd w:val="clear" w:color="auto" w:fill="FFFFFF"/>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Financement d'un centre de données souverain et d'une cybersécurité de pointe pour protéger les données scolaires nationales.</w:t>
            </w:r>
          </w:p>
        </w:tc>
      </w:tr>
    </w:tbl>
    <w:p>
      <w:pPr>
        <w:pStyle w:val="MdSpace"/>
      </w:pPr>
    </w:p>
    <w:p>
      <w:pPr>
        <w:pStyle w:val="MdSpace"/>
      </w:pPr>
    </w:p>
    <w:p>
      <w:pPr>
        <w:pStyle w:val="Heading1"/>
      </w:pPr>
      <w:r>
        <w:t>6. Création d'Emplois Directs (Échelle Nationale)</w:t>
      </w:r>
    </w:p>
    <w:p>
      <w:pPr>
        <w:pStyle w:val="MdParagraph"/>
      </w:pPr>
      <w:r>
        <w:t>Le déploiement à cette échelle nécessite une structure industrielle nationale :</w:t>
      </w:r>
    </w:p>
    <w:p>
      <w:pPr>
        <w:pStyle w:val="MdListItem"/>
        <w:numPr>
          <w:ilvl w:val="0"/>
          <w:numId w:val="2"/>
        </w:numPr>
      </w:pPr>
      <w:r>
        <w:rPr>
          <w:b/>
          <w:color w:val="641028"/>
        </w:rPr>
        <w:t xml:space="preserve">Plus de 500 emplois directs : </w:t>
      </w:r>
      <w:r>
        <w:t>ingénieurs logiciel et data scientists, techniciens de maintenance réseau dans chaque région, formateurs itinérants et support client disponible 24 h/24.</w:t>
      </w:r>
    </w:p>
    <w:p>
      <w:pPr>
        <w:pStyle w:val="MdListItem"/>
        <w:numPr>
          <w:ilvl w:val="0"/>
          <w:numId w:val="2"/>
        </w:numPr>
      </w:pPr>
      <w:r>
        <w:rPr>
          <w:b/>
          <w:color w:val="641028"/>
        </w:rPr>
        <w:t xml:space="preserve">Effet d'entraînement local : </w:t>
      </w:r>
      <w:r>
        <w:t>recrutement prioritaire dans les régions déployées, contribuant à l'objectif de souveraineté numérique porté par la Stratégie Nationale de Développement (SND30).</w:t>
      </w:r>
    </w:p>
    <w:p>
      <w:pPr>
        <w:pStyle w:val="MdSpace"/>
      </w:pPr>
    </w:p>
    <w:p>
      <w:pPr>
        <w:pStyle w:val="Heading1"/>
      </w:pPr>
      <w:r>
        <w:t>7. Modèle de Revenu ATRIC SARL</w:t>
      </w:r>
    </w:p>
    <w:p>
      <w:pPr>
        <w:pStyle w:val="MdParagraph"/>
      </w:pPr>
      <w:r>
        <w:t>Le flux de 2 000 FCFA/élève/an décrit en section 2.3 n'est pas un revenu direct d'ATRIC SARL : il s'agit d'un fonds mutualisé, majoritairement fléché vers les enseignants et les infrastructures. Le revenu de la société repose sur une commission de gestion de la plateforme (hypothèse de modélisation : 5 % des flux traités, à négocier contractuellement avec l'État), complétée de services additionnels : abonnements premium pour les établissements privés, analytics anonymisés pour les ministères, marketplace de fournitures scolaires et futurs services de formation en ligne et de certification.</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shd w:val="clear" w:color="auto" w:fill="7E1A31"/>
            <w:tcBorders>
              <w:top w:val="single" w:sz="4" w:space="0" w:color="641028"/>
              <w:left w:val="single" w:sz="4" w:space="0" w:color="641028"/>
              <w:bottom w:val="single" w:sz="4" w:space="0" w:color="641028"/>
              <w:right w:val="single" w:sz="4" w:space="0" w:color="641028"/>
            </w:tcBorders>
          </w:tcPr>
          <w:p>
            <w:pPr>
              <w:spacing w:before="40" w:after="40"/>
            </w:pPr>
            <w:r/>
            <w:r>
              <w:rPr>
                <w:b/>
                <w:i w:val="0"/>
                <w:color w:val="FFFFFF"/>
                <w:sz w:val="21"/>
              </w:rPr>
              <w:t>Phase</w:t>
            </w:r>
          </w:p>
        </w:tc>
        <w:tc>
          <w:tcPr>
            <w:tcW w:type="dxa" w:w="2256"/>
            <w:shd w:val="clear" w:color="auto" w:fill="7E1A31"/>
            <w:tcBorders>
              <w:top w:val="single" w:sz="4" w:space="0" w:color="641028"/>
              <w:left w:val="single" w:sz="4" w:space="0" w:color="641028"/>
              <w:bottom w:val="single" w:sz="4" w:space="0" w:color="641028"/>
              <w:right w:val="single" w:sz="4" w:space="0" w:color="641028"/>
            </w:tcBorders>
          </w:tcPr>
          <w:p>
            <w:pPr>
              <w:spacing w:before="40" w:after="40"/>
              <w:jc w:val="center"/>
            </w:pPr>
            <w:r/>
            <w:r>
              <w:rPr>
                <w:b/>
                <w:i w:val="0"/>
                <w:color w:val="FFFFFF"/>
                <w:sz w:val="21"/>
              </w:rPr>
              <w:t>Élèves couverts</w:t>
            </w:r>
          </w:p>
        </w:tc>
        <w:tc>
          <w:tcPr>
            <w:tcW w:type="dxa" w:w="2256"/>
            <w:shd w:val="clear" w:color="auto" w:fill="7E1A31"/>
            <w:tcBorders>
              <w:top w:val="single" w:sz="4" w:space="0" w:color="641028"/>
              <w:left w:val="single" w:sz="4" w:space="0" w:color="641028"/>
              <w:bottom w:val="single" w:sz="4" w:space="0" w:color="641028"/>
              <w:right w:val="single" w:sz="4" w:space="0" w:color="641028"/>
            </w:tcBorders>
          </w:tcPr>
          <w:p>
            <w:pPr>
              <w:spacing w:before="40" w:after="40"/>
              <w:jc w:val="center"/>
            </w:pPr>
            <w:r/>
            <w:r>
              <w:rPr>
                <w:b/>
                <w:i w:val="0"/>
                <w:color w:val="FFFFFF"/>
                <w:sz w:val="21"/>
              </w:rPr>
              <w:t>Flux annuel collecté</w:t>
            </w:r>
          </w:p>
        </w:tc>
        <w:tc>
          <w:tcPr>
            <w:tcW w:type="dxa" w:w="2256"/>
            <w:shd w:val="clear" w:color="auto" w:fill="7E1A31"/>
            <w:tcBorders>
              <w:top w:val="single" w:sz="4" w:space="0" w:color="641028"/>
              <w:left w:val="single" w:sz="4" w:space="0" w:color="641028"/>
              <w:bottom w:val="single" w:sz="4" w:space="0" w:color="641028"/>
              <w:right w:val="single" w:sz="4" w:space="0" w:color="641028"/>
            </w:tcBorders>
          </w:tcPr>
          <w:p>
            <w:pPr>
              <w:spacing w:before="40" w:after="40"/>
              <w:jc w:val="center"/>
            </w:pPr>
            <w:r/>
            <w:r>
              <w:rPr>
                <w:b/>
                <w:i w:val="0"/>
                <w:color w:val="FFFFFF"/>
                <w:sz w:val="21"/>
              </w:rPr>
              <w:t>Revenu plateforme ATRIC (5 %, indicatif)</w:t>
            </w:r>
          </w:p>
        </w:tc>
      </w:tr>
      <w:tr>
        <w:tc>
          <w:tcPr>
            <w:tcW w:type="dxa" w:w="2256"/>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Pilote (Phase 1)</w:t>
            </w:r>
          </w:p>
        </w:tc>
        <w:tc>
          <w:tcPr>
            <w:tcW w:type="dxa" w:w="2256"/>
            <w:shd w:val="clear" w:color="auto" w:fill="FBF0F2"/>
            <w:tcBorders>
              <w:top w:val="single" w:sz="4" w:space="0" w:color="CFBDA6"/>
              <w:left w:val="single" w:sz="4" w:space="0" w:color="CFBDA6"/>
              <w:bottom w:val="single" w:sz="4" w:space="0" w:color="CFBDA6"/>
              <w:right w:val="single" w:sz="4" w:space="0" w:color="CFBDA6"/>
            </w:tcBorders>
          </w:tcPr>
          <w:p>
            <w:pPr>
              <w:spacing w:before="40" w:after="40"/>
              <w:jc w:val="center"/>
            </w:pPr>
            <w:r/>
            <w:r>
              <w:rPr>
                <w:b w:val="0"/>
                <w:i w:val="0"/>
                <w:color w:val="1C1917"/>
                <w:sz w:val="21"/>
              </w:rPr>
              <w:t>60 000</w:t>
            </w:r>
          </w:p>
        </w:tc>
        <w:tc>
          <w:tcPr>
            <w:tcW w:type="dxa" w:w="2256"/>
            <w:shd w:val="clear" w:color="auto" w:fill="FBF0F2"/>
            <w:tcBorders>
              <w:top w:val="single" w:sz="4" w:space="0" w:color="CFBDA6"/>
              <w:left w:val="single" w:sz="4" w:space="0" w:color="CFBDA6"/>
              <w:bottom w:val="single" w:sz="4" w:space="0" w:color="CFBDA6"/>
              <w:right w:val="single" w:sz="4" w:space="0" w:color="CFBDA6"/>
            </w:tcBorders>
          </w:tcPr>
          <w:p>
            <w:pPr>
              <w:spacing w:before="40" w:after="40"/>
              <w:jc w:val="center"/>
            </w:pPr>
            <w:r/>
            <w:r>
              <w:rPr>
                <w:b w:val="0"/>
                <w:i w:val="0"/>
                <w:color w:val="1C1917"/>
                <w:sz w:val="21"/>
              </w:rPr>
              <w:t>120 000 000 FCFA</w:t>
            </w:r>
          </w:p>
        </w:tc>
        <w:tc>
          <w:tcPr>
            <w:tcW w:type="dxa" w:w="2256"/>
            <w:shd w:val="clear" w:color="auto" w:fill="FBF0F2"/>
            <w:tcBorders>
              <w:top w:val="single" w:sz="4" w:space="0" w:color="CFBDA6"/>
              <w:left w:val="single" w:sz="4" w:space="0" w:color="CFBDA6"/>
              <w:bottom w:val="single" w:sz="4" w:space="0" w:color="CFBDA6"/>
              <w:right w:val="single" w:sz="4" w:space="0" w:color="CFBDA6"/>
            </w:tcBorders>
          </w:tcPr>
          <w:p>
            <w:pPr>
              <w:spacing w:before="40" w:after="40"/>
              <w:jc w:val="center"/>
            </w:pPr>
            <w:r/>
            <w:r>
              <w:rPr>
                <w:b w:val="0"/>
                <w:i w:val="0"/>
                <w:color w:val="1C1917"/>
                <w:sz w:val="21"/>
              </w:rPr>
              <w:t>6 000 000 FCFA</w:t>
            </w:r>
          </w:p>
        </w:tc>
      </w:tr>
      <w:tr>
        <w:tc>
          <w:tcPr>
            <w:tcW w:type="dxa" w:w="2256"/>
            <w:shd w:val="clear" w:color="auto" w:fill="FFFFFF"/>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Régionale (Phase 2)</w:t>
            </w:r>
          </w:p>
        </w:tc>
        <w:tc>
          <w:tcPr>
            <w:tcW w:type="dxa" w:w="2256"/>
            <w:shd w:val="clear" w:color="auto" w:fill="FFFFFF"/>
            <w:tcBorders>
              <w:top w:val="single" w:sz="4" w:space="0" w:color="CFBDA6"/>
              <w:left w:val="single" w:sz="4" w:space="0" w:color="CFBDA6"/>
              <w:bottom w:val="single" w:sz="4" w:space="0" w:color="CFBDA6"/>
              <w:right w:val="single" w:sz="4" w:space="0" w:color="CFBDA6"/>
            </w:tcBorders>
          </w:tcPr>
          <w:p>
            <w:pPr>
              <w:spacing w:before="40" w:after="40"/>
              <w:jc w:val="center"/>
            </w:pPr>
            <w:r/>
            <w:r>
              <w:rPr>
                <w:b w:val="0"/>
                <w:i w:val="0"/>
                <w:color w:val="1C1917"/>
                <w:sz w:val="21"/>
              </w:rPr>
              <w:t>1 000 000</w:t>
            </w:r>
          </w:p>
        </w:tc>
        <w:tc>
          <w:tcPr>
            <w:tcW w:type="dxa" w:w="2256"/>
            <w:shd w:val="clear" w:color="auto" w:fill="FFFFFF"/>
            <w:tcBorders>
              <w:top w:val="single" w:sz="4" w:space="0" w:color="CFBDA6"/>
              <w:left w:val="single" w:sz="4" w:space="0" w:color="CFBDA6"/>
              <w:bottom w:val="single" w:sz="4" w:space="0" w:color="CFBDA6"/>
              <w:right w:val="single" w:sz="4" w:space="0" w:color="CFBDA6"/>
            </w:tcBorders>
          </w:tcPr>
          <w:p>
            <w:pPr>
              <w:spacing w:before="40" w:after="40"/>
              <w:jc w:val="center"/>
            </w:pPr>
            <w:r/>
            <w:r>
              <w:rPr>
                <w:b w:val="0"/>
                <w:i w:val="0"/>
                <w:color w:val="1C1917"/>
                <w:sz w:val="21"/>
              </w:rPr>
              <w:t>2 000 000 000 FCFA</w:t>
            </w:r>
          </w:p>
        </w:tc>
        <w:tc>
          <w:tcPr>
            <w:tcW w:type="dxa" w:w="2256"/>
            <w:shd w:val="clear" w:color="auto" w:fill="FFFFFF"/>
            <w:tcBorders>
              <w:top w:val="single" w:sz="4" w:space="0" w:color="CFBDA6"/>
              <w:left w:val="single" w:sz="4" w:space="0" w:color="CFBDA6"/>
              <w:bottom w:val="single" w:sz="4" w:space="0" w:color="CFBDA6"/>
              <w:right w:val="single" w:sz="4" w:space="0" w:color="CFBDA6"/>
            </w:tcBorders>
          </w:tcPr>
          <w:p>
            <w:pPr>
              <w:spacing w:before="40" w:after="40"/>
              <w:jc w:val="center"/>
            </w:pPr>
            <w:r/>
            <w:r>
              <w:rPr>
                <w:b w:val="0"/>
                <w:i w:val="0"/>
                <w:color w:val="1C1917"/>
                <w:sz w:val="21"/>
              </w:rPr>
              <w:t>100 000 000 FCFA</w:t>
            </w:r>
          </w:p>
        </w:tc>
      </w:tr>
      <w:tr>
        <w:tc>
          <w:tcPr>
            <w:tcW w:type="dxa" w:w="2256"/>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Nationale (Phase 3)</w:t>
            </w:r>
          </w:p>
        </w:tc>
        <w:tc>
          <w:tcPr>
            <w:tcW w:type="dxa" w:w="2256"/>
            <w:shd w:val="clear" w:color="auto" w:fill="FBF0F2"/>
            <w:tcBorders>
              <w:top w:val="single" w:sz="4" w:space="0" w:color="CFBDA6"/>
              <w:left w:val="single" w:sz="4" w:space="0" w:color="CFBDA6"/>
              <w:bottom w:val="single" w:sz="4" w:space="0" w:color="CFBDA6"/>
              <w:right w:val="single" w:sz="4" w:space="0" w:color="CFBDA6"/>
            </w:tcBorders>
          </w:tcPr>
          <w:p>
            <w:pPr>
              <w:spacing w:before="40" w:after="40"/>
              <w:jc w:val="center"/>
            </w:pPr>
            <w:r/>
            <w:r>
              <w:rPr>
                <w:b w:val="0"/>
                <w:i w:val="0"/>
                <w:color w:val="1C1917"/>
                <w:sz w:val="21"/>
              </w:rPr>
              <w:t>6 000 000</w:t>
            </w:r>
          </w:p>
        </w:tc>
        <w:tc>
          <w:tcPr>
            <w:tcW w:type="dxa" w:w="2256"/>
            <w:shd w:val="clear" w:color="auto" w:fill="FBF0F2"/>
            <w:tcBorders>
              <w:top w:val="single" w:sz="4" w:space="0" w:color="CFBDA6"/>
              <w:left w:val="single" w:sz="4" w:space="0" w:color="CFBDA6"/>
              <w:bottom w:val="single" w:sz="4" w:space="0" w:color="CFBDA6"/>
              <w:right w:val="single" w:sz="4" w:space="0" w:color="CFBDA6"/>
            </w:tcBorders>
          </w:tcPr>
          <w:p>
            <w:pPr>
              <w:spacing w:before="40" w:after="40"/>
              <w:jc w:val="center"/>
            </w:pPr>
            <w:r/>
            <w:r>
              <w:rPr>
                <w:b w:val="0"/>
                <w:i w:val="0"/>
                <w:color w:val="1C1917"/>
                <w:sz w:val="21"/>
              </w:rPr>
              <w:t>12 000 000 000 FCFA</w:t>
            </w:r>
          </w:p>
        </w:tc>
        <w:tc>
          <w:tcPr>
            <w:tcW w:type="dxa" w:w="2256"/>
            <w:shd w:val="clear" w:color="auto" w:fill="FBF0F2"/>
            <w:tcBorders>
              <w:top w:val="single" w:sz="4" w:space="0" w:color="CFBDA6"/>
              <w:left w:val="single" w:sz="4" w:space="0" w:color="CFBDA6"/>
              <w:bottom w:val="single" w:sz="4" w:space="0" w:color="CFBDA6"/>
              <w:right w:val="single" w:sz="4" w:space="0" w:color="CFBDA6"/>
            </w:tcBorders>
          </w:tcPr>
          <w:p>
            <w:pPr>
              <w:spacing w:before="40" w:after="40"/>
              <w:jc w:val="center"/>
            </w:pPr>
            <w:r/>
            <w:r>
              <w:rPr>
                <w:b w:val="0"/>
                <w:i w:val="0"/>
                <w:color w:val="1C1917"/>
                <w:sz w:val="21"/>
              </w:rPr>
              <w:t>600 000 000 FCFA</w:t>
            </w:r>
          </w:p>
        </w:tc>
      </w:tr>
    </w:tbl>
    <w:p>
      <w:pPr>
        <w:pStyle w:val="MdSpace"/>
      </w:pPr>
    </w:p>
    <w:p>
      <w:pPr>
        <w:pStyle w:val="MdParagraph"/>
      </w:pPr>
      <w:r>
        <w:rPr>
          <w:color w:val="57534E"/>
          <w:sz w:val="21"/>
        </w:rPr>
        <w:t>Chiffres indicatifs de modélisation, fondés sur une hypothèse de commission de 5 % ; le taux définitif sera fixé par convention avec les ministères de tutelle. Ils illustrent néanmoins un potentiel de revenu récurrent annuel de l'ordre de 600 millions de FCFA à pleine échelle nationale, à comparer au besoin de financement initial de 50 millions de FCFA détaillé ci-après.</w:t>
      </w:r>
    </w:p>
    <w:p>
      <w:pPr>
        <w:pStyle w:val="MdSpace"/>
      </w:pPr>
    </w:p>
    <w:p>
      <w:pPr>
        <w:pStyle w:val="Heading1"/>
      </w:pPr>
      <w:r>
        <w:t>8. Besoin de Financement — 50 000 000 FCFA sur 18 Mois</w:t>
      </w:r>
    </w:p>
    <w:p>
      <w:pPr>
        <w:pStyle w:val="MdParagraph"/>
      </w:pPr>
      <w:r>
        <w:t>Ce financement — distinct du flux macro-économique national de 12 milliards de FCFA décrit en section 5, qui n'intervient qu'à pleine échelle et après quitus de l'État — est l'investissement d'amorçage nécessaire pour faire passer Kamili EduCampus du stade de maquette au stade de plateforme de production opérant un pilote réel dans 50 établissements.</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val="clear" w:color="auto" w:fill="7E1A31"/>
            <w:tcBorders>
              <w:top w:val="single" w:sz="4" w:space="0" w:color="641028"/>
              <w:left w:val="single" w:sz="4" w:space="0" w:color="641028"/>
              <w:bottom w:val="single" w:sz="4" w:space="0" w:color="641028"/>
              <w:right w:val="single" w:sz="4" w:space="0" w:color="641028"/>
            </w:tcBorders>
          </w:tcPr>
          <w:p>
            <w:pPr>
              <w:spacing w:before="40" w:after="40"/>
            </w:pPr>
            <w:r/>
            <w:r>
              <w:rPr>
                <w:b/>
                <w:i w:val="0"/>
                <w:color w:val="FFFFFF"/>
                <w:sz w:val="21"/>
              </w:rPr>
              <w:t>Poste de dépense</w:t>
            </w:r>
          </w:p>
        </w:tc>
        <w:tc>
          <w:tcPr>
            <w:tcW w:type="dxa" w:w="3009"/>
            <w:shd w:val="clear" w:color="auto" w:fill="7E1A31"/>
            <w:tcBorders>
              <w:top w:val="single" w:sz="4" w:space="0" w:color="641028"/>
              <w:left w:val="single" w:sz="4" w:space="0" w:color="641028"/>
              <w:bottom w:val="single" w:sz="4" w:space="0" w:color="641028"/>
              <w:right w:val="single" w:sz="4" w:space="0" w:color="641028"/>
            </w:tcBorders>
          </w:tcPr>
          <w:p>
            <w:pPr>
              <w:spacing w:before="40" w:after="40"/>
              <w:jc w:val="right"/>
            </w:pPr>
            <w:r/>
            <w:r>
              <w:rPr>
                <w:b/>
                <w:i w:val="0"/>
                <w:color w:val="FFFFFF"/>
                <w:sz w:val="21"/>
              </w:rPr>
              <w:t>Montant (FCFA)</w:t>
            </w:r>
          </w:p>
        </w:tc>
        <w:tc>
          <w:tcPr>
            <w:tcW w:type="dxa" w:w="3009"/>
            <w:shd w:val="clear" w:color="auto" w:fill="7E1A31"/>
            <w:tcBorders>
              <w:top w:val="single" w:sz="4" w:space="0" w:color="641028"/>
              <w:left w:val="single" w:sz="4" w:space="0" w:color="641028"/>
              <w:bottom w:val="single" w:sz="4" w:space="0" w:color="641028"/>
              <w:right w:val="single" w:sz="4" w:space="0" w:color="641028"/>
            </w:tcBorders>
          </w:tcPr>
          <w:p>
            <w:pPr>
              <w:spacing w:before="40" w:after="40"/>
              <w:jc w:val="center"/>
            </w:pPr>
            <w:r/>
            <w:r>
              <w:rPr>
                <w:b/>
                <w:i w:val="0"/>
                <w:color w:val="FFFFFF"/>
                <w:sz w:val="21"/>
              </w:rPr>
              <w:t>%</w:t>
            </w:r>
          </w:p>
        </w:tc>
      </w:tr>
      <w:tr>
        <w:tc>
          <w:tcPr>
            <w:tcW w:type="dxa" w:w="3009"/>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Développement plateforme (back-end, API, base de données, paiement Mobile Money, sécurité applicative)</w:t>
            </w:r>
          </w:p>
        </w:tc>
        <w:tc>
          <w:tcPr>
            <w:tcW w:type="dxa" w:w="3009"/>
            <w:shd w:val="clear" w:color="auto" w:fill="FBF0F2"/>
            <w:tcBorders>
              <w:top w:val="single" w:sz="4" w:space="0" w:color="CFBDA6"/>
              <w:left w:val="single" w:sz="4" w:space="0" w:color="CFBDA6"/>
              <w:bottom w:val="single" w:sz="4" w:space="0" w:color="CFBDA6"/>
              <w:right w:val="single" w:sz="4" w:space="0" w:color="CFBDA6"/>
            </w:tcBorders>
          </w:tcPr>
          <w:p>
            <w:pPr>
              <w:spacing w:before="40" w:after="40"/>
              <w:jc w:val="right"/>
            </w:pPr>
            <w:r/>
            <w:r>
              <w:rPr>
                <w:b w:val="0"/>
                <w:i w:val="0"/>
                <w:color w:val="1C1917"/>
                <w:sz w:val="21"/>
              </w:rPr>
              <w:t>15 000 000</w:t>
            </w:r>
          </w:p>
        </w:tc>
        <w:tc>
          <w:tcPr>
            <w:tcW w:type="dxa" w:w="3009"/>
            <w:shd w:val="clear" w:color="auto" w:fill="FBF0F2"/>
            <w:tcBorders>
              <w:top w:val="single" w:sz="4" w:space="0" w:color="CFBDA6"/>
              <w:left w:val="single" w:sz="4" w:space="0" w:color="CFBDA6"/>
              <w:bottom w:val="single" w:sz="4" w:space="0" w:color="CFBDA6"/>
              <w:right w:val="single" w:sz="4" w:space="0" w:color="CFBDA6"/>
            </w:tcBorders>
          </w:tcPr>
          <w:p>
            <w:pPr>
              <w:spacing w:before="40" w:after="40"/>
              <w:jc w:val="center"/>
            </w:pPr>
            <w:r/>
            <w:r>
              <w:rPr>
                <w:b w:val="0"/>
                <w:i w:val="0"/>
                <w:color w:val="1C1917"/>
                <w:sz w:val="21"/>
              </w:rPr>
              <w:t>30,0 %</w:t>
            </w:r>
          </w:p>
        </w:tc>
      </w:tr>
      <w:tr>
        <w:tc>
          <w:tcPr>
            <w:tcW w:type="dxa" w:w="3009"/>
            <w:shd w:val="clear" w:color="auto" w:fill="FFFFFF"/>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Ressources humaines (équipe produit sur 18 mois)</w:t>
            </w:r>
          </w:p>
        </w:tc>
        <w:tc>
          <w:tcPr>
            <w:tcW w:type="dxa" w:w="3009"/>
            <w:shd w:val="clear" w:color="auto" w:fill="FFFFFF"/>
            <w:tcBorders>
              <w:top w:val="single" w:sz="4" w:space="0" w:color="CFBDA6"/>
              <w:left w:val="single" w:sz="4" w:space="0" w:color="CFBDA6"/>
              <w:bottom w:val="single" w:sz="4" w:space="0" w:color="CFBDA6"/>
              <w:right w:val="single" w:sz="4" w:space="0" w:color="CFBDA6"/>
            </w:tcBorders>
          </w:tcPr>
          <w:p>
            <w:pPr>
              <w:spacing w:before="40" w:after="40"/>
              <w:jc w:val="right"/>
            </w:pPr>
            <w:r/>
            <w:r>
              <w:rPr>
                <w:b w:val="0"/>
                <w:i w:val="0"/>
                <w:color w:val="1C1917"/>
                <w:sz w:val="21"/>
              </w:rPr>
              <w:t>13 000 000</w:t>
            </w:r>
          </w:p>
        </w:tc>
        <w:tc>
          <w:tcPr>
            <w:tcW w:type="dxa" w:w="3009"/>
            <w:shd w:val="clear" w:color="auto" w:fill="FFFFFF"/>
            <w:tcBorders>
              <w:top w:val="single" w:sz="4" w:space="0" w:color="CFBDA6"/>
              <w:left w:val="single" w:sz="4" w:space="0" w:color="CFBDA6"/>
              <w:bottom w:val="single" w:sz="4" w:space="0" w:color="CFBDA6"/>
              <w:right w:val="single" w:sz="4" w:space="0" w:color="CFBDA6"/>
            </w:tcBorders>
          </w:tcPr>
          <w:p>
            <w:pPr>
              <w:spacing w:before="40" w:after="40"/>
              <w:jc w:val="center"/>
            </w:pPr>
            <w:r/>
            <w:r>
              <w:rPr>
                <w:b w:val="0"/>
                <w:i w:val="0"/>
                <w:color w:val="1C1917"/>
                <w:sz w:val="21"/>
              </w:rPr>
              <w:t>26,0 %</w:t>
            </w:r>
          </w:p>
        </w:tc>
      </w:tr>
      <w:tr>
        <w:tc>
          <w:tcPr>
            <w:tcW w:type="dxa" w:w="3009"/>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Déploiement pilote — 50 établissements (formation, équipement, support terrain)</w:t>
            </w:r>
          </w:p>
        </w:tc>
        <w:tc>
          <w:tcPr>
            <w:tcW w:type="dxa" w:w="3009"/>
            <w:shd w:val="clear" w:color="auto" w:fill="FBF0F2"/>
            <w:tcBorders>
              <w:top w:val="single" w:sz="4" w:space="0" w:color="CFBDA6"/>
              <w:left w:val="single" w:sz="4" w:space="0" w:color="CFBDA6"/>
              <w:bottom w:val="single" w:sz="4" w:space="0" w:color="CFBDA6"/>
              <w:right w:val="single" w:sz="4" w:space="0" w:color="CFBDA6"/>
            </w:tcBorders>
          </w:tcPr>
          <w:p>
            <w:pPr>
              <w:spacing w:before="40" w:after="40"/>
              <w:jc w:val="right"/>
            </w:pPr>
            <w:r/>
            <w:r>
              <w:rPr>
                <w:b w:val="0"/>
                <w:i w:val="0"/>
                <w:color w:val="1C1917"/>
                <w:sz w:val="21"/>
              </w:rPr>
              <w:t>10 000 000</w:t>
            </w:r>
          </w:p>
        </w:tc>
        <w:tc>
          <w:tcPr>
            <w:tcW w:type="dxa" w:w="3009"/>
            <w:shd w:val="clear" w:color="auto" w:fill="FBF0F2"/>
            <w:tcBorders>
              <w:top w:val="single" w:sz="4" w:space="0" w:color="CFBDA6"/>
              <w:left w:val="single" w:sz="4" w:space="0" w:color="CFBDA6"/>
              <w:bottom w:val="single" w:sz="4" w:space="0" w:color="CFBDA6"/>
              <w:right w:val="single" w:sz="4" w:space="0" w:color="CFBDA6"/>
            </w:tcBorders>
          </w:tcPr>
          <w:p>
            <w:pPr>
              <w:spacing w:before="40" w:after="40"/>
              <w:jc w:val="center"/>
            </w:pPr>
            <w:r/>
            <w:r>
              <w:rPr>
                <w:b w:val="0"/>
                <w:i w:val="0"/>
                <w:color w:val="1C1917"/>
                <w:sz w:val="21"/>
              </w:rPr>
              <w:t>20,0 %</w:t>
            </w:r>
          </w:p>
        </w:tc>
      </w:tr>
      <w:tr>
        <w:tc>
          <w:tcPr>
            <w:tcW w:type="dxa" w:w="3009"/>
            <w:shd w:val="clear" w:color="auto" w:fill="FFFFFF"/>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Infrastructure cloud &amp; hébergement souverain</w:t>
            </w:r>
          </w:p>
        </w:tc>
        <w:tc>
          <w:tcPr>
            <w:tcW w:type="dxa" w:w="3009"/>
            <w:shd w:val="clear" w:color="auto" w:fill="FFFFFF"/>
            <w:tcBorders>
              <w:top w:val="single" w:sz="4" w:space="0" w:color="CFBDA6"/>
              <w:left w:val="single" w:sz="4" w:space="0" w:color="CFBDA6"/>
              <w:bottom w:val="single" w:sz="4" w:space="0" w:color="CFBDA6"/>
              <w:right w:val="single" w:sz="4" w:space="0" w:color="CFBDA6"/>
            </w:tcBorders>
          </w:tcPr>
          <w:p>
            <w:pPr>
              <w:spacing w:before="40" w:after="40"/>
              <w:jc w:val="right"/>
            </w:pPr>
            <w:r/>
            <w:r>
              <w:rPr>
                <w:b w:val="0"/>
                <w:i w:val="0"/>
                <w:color w:val="1C1917"/>
                <w:sz w:val="21"/>
              </w:rPr>
              <w:t>3 500 000</w:t>
            </w:r>
          </w:p>
        </w:tc>
        <w:tc>
          <w:tcPr>
            <w:tcW w:type="dxa" w:w="3009"/>
            <w:shd w:val="clear" w:color="auto" w:fill="FFFFFF"/>
            <w:tcBorders>
              <w:top w:val="single" w:sz="4" w:space="0" w:color="CFBDA6"/>
              <w:left w:val="single" w:sz="4" w:space="0" w:color="CFBDA6"/>
              <w:bottom w:val="single" w:sz="4" w:space="0" w:color="CFBDA6"/>
              <w:right w:val="single" w:sz="4" w:space="0" w:color="CFBDA6"/>
            </w:tcBorders>
          </w:tcPr>
          <w:p>
            <w:pPr>
              <w:spacing w:before="40" w:after="40"/>
              <w:jc w:val="center"/>
            </w:pPr>
            <w:r/>
            <w:r>
              <w:rPr>
                <w:b w:val="0"/>
                <w:i w:val="0"/>
                <w:color w:val="1C1917"/>
                <w:sz w:val="21"/>
              </w:rPr>
              <w:t>7,0 %</w:t>
            </w:r>
          </w:p>
        </w:tc>
      </w:tr>
      <w:tr>
        <w:tc>
          <w:tcPr>
            <w:tcW w:type="dxa" w:w="3009"/>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Sécurité, conformité &amp; protection des données</w:t>
            </w:r>
          </w:p>
        </w:tc>
        <w:tc>
          <w:tcPr>
            <w:tcW w:type="dxa" w:w="3009"/>
            <w:shd w:val="clear" w:color="auto" w:fill="FBF0F2"/>
            <w:tcBorders>
              <w:top w:val="single" w:sz="4" w:space="0" w:color="CFBDA6"/>
              <w:left w:val="single" w:sz="4" w:space="0" w:color="CFBDA6"/>
              <w:bottom w:val="single" w:sz="4" w:space="0" w:color="CFBDA6"/>
              <w:right w:val="single" w:sz="4" w:space="0" w:color="CFBDA6"/>
            </w:tcBorders>
          </w:tcPr>
          <w:p>
            <w:pPr>
              <w:spacing w:before="40" w:after="40"/>
              <w:jc w:val="right"/>
            </w:pPr>
            <w:r/>
            <w:r>
              <w:rPr>
                <w:b w:val="0"/>
                <w:i w:val="0"/>
                <w:color w:val="1C1917"/>
                <w:sz w:val="21"/>
              </w:rPr>
              <w:t>2 500 000</w:t>
            </w:r>
          </w:p>
        </w:tc>
        <w:tc>
          <w:tcPr>
            <w:tcW w:type="dxa" w:w="3009"/>
            <w:shd w:val="clear" w:color="auto" w:fill="FBF0F2"/>
            <w:tcBorders>
              <w:top w:val="single" w:sz="4" w:space="0" w:color="CFBDA6"/>
              <w:left w:val="single" w:sz="4" w:space="0" w:color="CFBDA6"/>
              <w:bottom w:val="single" w:sz="4" w:space="0" w:color="CFBDA6"/>
              <w:right w:val="single" w:sz="4" w:space="0" w:color="CFBDA6"/>
            </w:tcBorders>
          </w:tcPr>
          <w:p>
            <w:pPr>
              <w:spacing w:before="40" w:after="40"/>
              <w:jc w:val="center"/>
            </w:pPr>
            <w:r/>
            <w:r>
              <w:rPr>
                <w:b w:val="0"/>
                <w:i w:val="0"/>
                <w:color w:val="1C1917"/>
                <w:sz w:val="21"/>
              </w:rPr>
              <w:t>5,0 %</w:t>
            </w:r>
          </w:p>
        </w:tc>
      </w:tr>
      <w:tr>
        <w:tc>
          <w:tcPr>
            <w:tcW w:type="dxa" w:w="3009"/>
            <w:shd w:val="clear" w:color="auto" w:fill="FFFFFF"/>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Marketing, communication &amp; relations institutionnelles</w:t>
            </w:r>
          </w:p>
        </w:tc>
        <w:tc>
          <w:tcPr>
            <w:tcW w:type="dxa" w:w="3009"/>
            <w:shd w:val="clear" w:color="auto" w:fill="FFFFFF"/>
            <w:tcBorders>
              <w:top w:val="single" w:sz="4" w:space="0" w:color="CFBDA6"/>
              <w:left w:val="single" w:sz="4" w:space="0" w:color="CFBDA6"/>
              <w:bottom w:val="single" w:sz="4" w:space="0" w:color="CFBDA6"/>
              <w:right w:val="single" w:sz="4" w:space="0" w:color="CFBDA6"/>
            </w:tcBorders>
          </w:tcPr>
          <w:p>
            <w:pPr>
              <w:spacing w:before="40" w:after="40"/>
              <w:jc w:val="right"/>
            </w:pPr>
            <w:r/>
            <w:r>
              <w:rPr>
                <w:b w:val="0"/>
                <w:i w:val="0"/>
                <w:color w:val="1C1917"/>
                <w:sz w:val="21"/>
              </w:rPr>
              <w:t>2 500 000</w:t>
            </w:r>
          </w:p>
        </w:tc>
        <w:tc>
          <w:tcPr>
            <w:tcW w:type="dxa" w:w="3009"/>
            <w:shd w:val="clear" w:color="auto" w:fill="FFFFFF"/>
            <w:tcBorders>
              <w:top w:val="single" w:sz="4" w:space="0" w:color="CFBDA6"/>
              <w:left w:val="single" w:sz="4" w:space="0" w:color="CFBDA6"/>
              <w:bottom w:val="single" w:sz="4" w:space="0" w:color="CFBDA6"/>
              <w:right w:val="single" w:sz="4" w:space="0" w:color="CFBDA6"/>
            </w:tcBorders>
          </w:tcPr>
          <w:p>
            <w:pPr>
              <w:spacing w:before="40" w:after="40"/>
              <w:jc w:val="center"/>
            </w:pPr>
            <w:r/>
            <w:r>
              <w:rPr>
                <w:b w:val="0"/>
                <w:i w:val="0"/>
                <w:color w:val="1C1917"/>
                <w:sz w:val="21"/>
              </w:rPr>
              <w:t>5,0 %</w:t>
            </w:r>
          </w:p>
        </w:tc>
      </w:tr>
      <w:tr>
        <w:tc>
          <w:tcPr>
            <w:tcW w:type="dxa" w:w="3009"/>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Juridique, administratif &amp; propriété intellectuelle</w:t>
            </w:r>
          </w:p>
        </w:tc>
        <w:tc>
          <w:tcPr>
            <w:tcW w:type="dxa" w:w="3009"/>
            <w:shd w:val="clear" w:color="auto" w:fill="FBF0F2"/>
            <w:tcBorders>
              <w:top w:val="single" w:sz="4" w:space="0" w:color="CFBDA6"/>
              <w:left w:val="single" w:sz="4" w:space="0" w:color="CFBDA6"/>
              <w:bottom w:val="single" w:sz="4" w:space="0" w:color="CFBDA6"/>
              <w:right w:val="single" w:sz="4" w:space="0" w:color="CFBDA6"/>
            </w:tcBorders>
          </w:tcPr>
          <w:p>
            <w:pPr>
              <w:spacing w:before="40" w:after="40"/>
              <w:jc w:val="right"/>
            </w:pPr>
            <w:r/>
            <w:r>
              <w:rPr>
                <w:b w:val="0"/>
                <w:i w:val="0"/>
                <w:color w:val="1C1917"/>
                <w:sz w:val="21"/>
              </w:rPr>
              <w:t>1 500 000</w:t>
            </w:r>
          </w:p>
        </w:tc>
        <w:tc>
          <w:tcPr>
            <w:tcW w:type="dxa" w:w="3009"/>
            <w:shd w:val="clear" w:color="auto" w:fill="FBF0F2"/>
            <w:tcBorders>
              <w:top w:val="single" w:sz="4" w:space="0" w:color="CFBDA6"/>
              <w:left w:val="single" w:sz="4" w:space="0" w:color="CFBDA6"/>
              <w:bottom w:val="single" w:sz="4" w:space="0" w:color="CFBDA6"/>
              <w:right w:val="single" w:sz="4" w:space="0" w:color="CFBDA6"/>
            </w:tcBorders>
          </w:tcPr>
          <w:p>
            <w:pPr>
              <w:spacing w:before="40" w:after="40"/>
              <w:jc w:val="center"/>
            </w:pPr>
            <w:r/>
            <w:r>
              <w:rPr>
                <w:b w:val="0"/>
                <w:i w:val="0"/>
                <w:color w:val="1C1917"/>
                <w:sz w:val="21"/>
              </w:rPr>
              <w:t>3,0 %</w:t>
            </w:r>
          </w:p>
        </w:tc>
      </w:tr>
      <w:tr>
        <w:tc>
          <w:tcPr>
            <w:tcW w:type="dxa" w:w="3009"/>
            <w:shd w:val="clear" w:color="auto" w:fill="FFFFFF"/>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Contingence (imprévus)</w:t>
            </w:r>
          </w:p>
        </w:tc>
        <w:tc>
          <w:tcPr>
            <w:tcW w:type="dxa" w:w="3009"/>
            <w:shd w:val="clear" w:color="auto" w:fill="FFFFFF"/>
            <w:tcBorders>
              <w:top w:val="single" w:sz="4" w:space="0" w:color="CFBDA6"/>
              <w:left w:val="single" w:sz="4" w:space="0" w:color="CFBDA6"/>
              <w:bottom w:val="single" w:sz="4" w:space="0" w:color="CFBDA6"/>
              <w:right w:val="single" w:sz="4" w:space="0" w:color="CFBDA6"/>
            </w:tcBorders>
          </w:tcPr>
          <w:p>
            <w:pPr>
              <w:spacing w:before="40" w:after="40"/>
              <w:jc w:val="right"/>
            </w:pPr>
            <w:r/>
            <w:r>
              <w:rPr>
                <w:b w:val="0"/>
                <w:i w:val="0"/>
                <w:color w:val="1C1917"/>
                <w:sz w:val="21"/>
              </w:rPr>
              <w:t>2 000 000</w:t>
            </w:r>
          </w:p>
        </w:tc>
        <w:tc>
          <w:tcPr>
            <w:tcW w:type="dxa" w:w="3009"/>
            <w:shd w:val="clear" w:color="auto" w:fill="FFFFFF"/>
            <w:tcBorders>
              <w:top w:val="single" w:sz="4" w:space="0" w:color="CFBDA6"/>
              <w:left w:val="single" w:sz="4" w:space="0" w:color="CFBDA6"/>
              <w:bottom w:val="single" w:sz="4" w:space="0" w:color="CFBDA6"/>
              <w:right w:val="single" w:sz="4" w:space="0" w:color="CFBDA6"/>
            </w:tcBorders>
          </w:tcPr>
          <w:p>
            <w:pPr>
              <w:spacing w:before="40" w:after="40"/>
              <w:jc w:val="center"/>
            </w:pPr>
            <w:r/>
            <w:r>
              <w:rPr>
                <w:b w:val="0"/>
                <w:i w:val="0"/>
                <w:color w:val="1C1917"/>
                <w:sz w:val="21"/>
              </w:rPr>
              <w:t>4,0 %</w:t>
            </w:r>
          </w:p>
        </w:tc>
      </w:tr>
      <w:tr>
        <w:tc>
          <w:tcPr>
            <w:tcW w:type="dxa" w:w="3009"/>
            <w:shd w:val="clear" w:color="auto" w:fill="E6B02C"/>
            <w:tcBorders>
              <w:top w:val="single" w:sz="4" w:space="0" w:color="CFBDA6"/>
              <w:left w:val="single" w:sz="4" w:space="0" w:color="CFBDA6"/>
              <w:bottom w:val="single" w:sz="4" w:space="0" w:color="CFBDA6"/>
              <w:right w:val="single" w:sz="4" w:space="0" w:color="CFBDA6"/>
            </w:tcBorders>
          </w:tcPr>
          <w:p>
            <w:pPr>
              <w:spacing w:before="40" w:after="40"/>
            </w:pPr>
            <w:r/>
            <w:r>
              <w:rPr>
                <w:b/>
                <w:i w:val="0"/>
                <w:color w:val="4A0C1E"/>
                <w:sz w:val="21"/>
              </w:rPr>
              <w:t>TOTAL</w:t>
            </w:r>
          </w:p>
        </w:tc>
        <w:tc>
          <w:tcPr>
            <w:tcW w:type="dxa" w:w="3009"/>
            <w:shd w:val="clear" w:color="auto" w:fill="E6B02C"/>
            <w:tcBorders>
              <w:top w:val="single" w:sz="4" w:space="0" w:color="CFBDA6"/>
              <w:left w:val="single" w:sz="4" w:space="0" w:color="CFBDA6"/>
              <w:bottom w:val="single" w:sz="4" w:space="0" w:color="CFBDA6"/>
              <w:right w:val="single" w:sz="4" w:space="0" w:color="CFBDA6"/>
            </w:tcBorders>
          </w:tcPr>
          <w:p>
            <w:pPr>
              <w:spacing w:before="40" w:after="40"/>
              <w:jc w:val="right"/>
            </w:pPr>
            <w:r/>
            <w:r>
              <w:rPr>
                <w:b/>
                <w:i w:val="0"/>
                <w:color w:val="4A0C1E"/>
                <w:sz w:val="21"/>
              </w:rPr>
              <w:t>50 000 000</w:t>
            </w:r>
          </w:p>
        </w:tc>
        <w:tc>
          <w:tcPr>
            <w:tcW w:type="dxa" w:w="3009"/>
            <w:shd w:val="clear" w:color="auto" w:fill="E6B02C"/>
            <w:tcBorders>
              <w:top w:val="single" w:sz="4" w:space="0" w:color="CFBDA6"/>
              <w:left w:val="single" w:sz="4" w:space="0" w:color="CFBDA6"/>
              <w:bottom w:val="single" w:sz="4" w:space="0" w:color="CFBDA6"/>
              <w:right w:val="single" w:sz="4" w:space="0" w:color="CFBDA6"/>
            </w:tcBorders>
          </w:tcPr>
          <w:p>
            <w:pPr>
              <w:spacing w:before="40" w:after="40"/>
              <w:jc w:val="center"/>
            </w:pPr>
            <w:r/>
            <w:r>
              <w:rPr>
                <w:b/>
                <w:i w:val="0"/>
                <w:color w:val="4A0C1E"/>
                <w:sz w:val="21"/>
              </w:rPr>
              <w:t>100 %</w:t>
            </w:r>
          </w:p>
        </w:tc>
      </w:tr>
    </w:tbl>
    <w:p>
      <w:pPr>
        <w:pStyle w:val="MdSpace"/>
      </w:pPr>
    </w:p>
    <w:p>
      <w:pPr>
        <w:pStyle w:val="MdParagraph"/>
      </w:pPr>
      <w:r>
        <w:t>Le détail complet du budget — chronogramme par phase, calendrier de décaissement trimestriel et hypothèses de retour sur investissement — est présenté dans le document budgétaire dédié joint à ce dossier (« Kamili EduCampus — Budget d'Investissement, 50 M FCFA / 18 mois »).</w:t>
      </w:r>
    </w:p>
    <w:p>
      <w:pPr>
        <w:pStyle w:val="MdSpace"/>
      </w:pPr>
    </w:p>
    <w:p>
      <w:pPr>
        <w:pStyle w:val="Heading1"/>
      </w:pPr>
      <w:r>
        <w:t>9. Gouvernance, Sécurité &amp; Souveraineté des Données</w:t>
      </w:r>
    </w:p>
    <w:p>
      <w:pPr>
        <w:pStyle w:val="MdListItem"/>
        <w:numPr>
          <w:ilvl w:val="0"/>
          <w:numId w:val="2"/>
        </w:numPr>
      </w:pPr>
      <w:r>
        <w:rPr>
          <w:b/>
          <w:color w:val="641028"/>
        </w:rPr>
        <w:t xml:space="preserve">Hébergement souverain : </w:t>
      </w:r>
      <w:r>
        <w:t>les données scolaires nationales sont hébergées et sauvegardées dans un cadre conforme à la réglementation camerounaise en matière de cybersécurité et de protection des données personnelles.</w:t>
      </w:r>
    </w:p>
    <w:p>
      <w:pPr>
        <w:pStyle w:val="MdListItem"/>
        <w:numPr>
          <w:ilvl w:val="0"/>
          <w:numId w:val="2"/>
        </w:numPr>
      </w:pPr>
      <w:r>
        <w:rPr>
          <w:b/>
          <w:color w:val="641028"/>
        </w:rPr>
        <w:t xml:space="preserve">Sécurité applicative : </w:t>
      </w:r>
      <w:r>
        <w:t>chiffrement des données sensibles, contrôle d'accès par rôle (déjà modélisé dans la maquette via la gestion des permissions), audits de sécurité réguliers.</w:t>
      </w:r>
    </w:p>
    <w:p>
      <w:pPr>
        <w:pStyle w:val="MdListItem"/>
        <w:numPr>
          <w:ilvl w:val="0"/>
          <w:numId w:val="2"/>
        </w:numPr>
      </w:pPr>
      <w:r>
        <w:rPr>
          <w:b/>
          <w:color w:val="641028"/>
        </w:rPr>
        <w:t xml:space="preserve">Gouvernance partagée : </w:t>
      </w:r>
      <w:r>
        <w:t>comité de pilotage associant ATRIC SARL et les ministères de tutelle pour le suivi de la qualité de service et de l'usage des fonds collectés.</w:t>
      </w:r>
    </w:p>
    <w:p>
      <w:pPr>
        <w:pStyle w:val="MdListItem"/>
        <w:numPr>
          <w:ilvl w:val="0"/>
          <w:numId w:val="2"/>
        </w:numPr>
      </w:pPr>
      <w:r>
        <w:rPr>
          <w:b/>
          <w:color w:val="641028"/>
        </w:rPr>
        <w:t xml:space="preserve">Transparence financière : </w:t>
      </w:r>
      <w:r>
        <w:t>traçabilité intégrale des flux de la micro-cotisation, avec restitution périodique aux ministères sur l'emploi des fonds (enseignants, infrastructures, connectivité).</w:t>
      </w:r>
    </w:p>
    <w:p>
      <w:pPr>
        <w:pStyle w:val="MdSpace"/>
      </w:pPr>
    </w:p>
    <w:p>
      <w:pPr>
        <w:pStyle w:val="Heading1"/>
      </w:pPr>
      <w:r>
        <w:t>10. Facteurs de Risque &amp; Mitigation</w:t>
      </w:r>
    </w:p>
    <w:tbl>
      <w:tblPr>
        <w:tblW w:type="auto" w:w="0"/>
        <w:jc w:val="center"/>
        <w:tblLayout w:type="autofit"/>
        <w:tblLook w:firstColumn="1" w:firstRow="1" w:lastColumn="0" w:lastRow="0" w:noHBand="0" w:noVBand="1" w:val="04A0"/>
      </w:tblPr>
      <w:tblGrid>
        <w:gridCol w:w="4513"/>
        <w:gridCol w:w="4513"/>
      </w:tblGrid>
      <w:tr>
        <w:tc>
          <w:tcPr>
            <w:tcW w:type="dxa" w:w="4513"/>
            <w:shd w:val="clear" w:color="auto" w:fill="7E1A31"/>
            <w:tcBorders>
              <w:top w:val="single" w:sz="4" w:space="0" w:color="641028"/>
              <w:left w:val="single" w:sz="4" w:space="0" w:color="641028"/>
              <w:bottom w:val="single" w:sz="4" w:space="0" w:color="641028"/>
              <w:right w:val="single" w:sz="4" w:space="0" w:color="641028"/>
            </w:tcBorders>
          </w:tcPr>
          <w:p>
            <w:pPr>
              <w:spacing w:before="40" w:after="40"/>
            </w:pPr>
            <w:r/>
            <w:r>
              <w:rPr>
                <w:b/>
                <w:i w:val="0"/>
                <w:color w:val="FFFFFF"/>
                <w:sz w:val="21"/>
              </w:rPr>
              <w:t>Risque</w:t>
            </w:r>
          </w:p>
        </w:tc>
        <w:tc>
          <w:tcPr>
            <w:tcW w:type="dxa" w:w="4513"/>
            <w:shd w:val="clear" w:color="auto" w:fill="7E1A31"/>
            <w:tcBorders>
              <w:top w:val="single" w:sz="4" w:space="0" w:color="641028"/>
              <w:left w:val="single" w:sz="4" w:space="0" w:color="641028"/>
              <w:bottom w:val="single" w:sz="4" w:space="0" w:color="641028"/>
              <w:right w:val="single" w:sz="4" w:space="0" w:color="641028"/>
            </w:tcBorders>
          </w:tcPr>
          <w:p>
            <w:pPr>
              <w:spacing w:before="40" w:after="40"/>
            </w:pPr>
            <w:r/>
            <w:r>
              <w:rPr>
                <w:b/>
                <w:i w:val="0"/>
                <w:color w:val="FFFFFF"/>
                <w:sz w:val="21"/>
              </w:rPr>
              <w:t>Mitigation</w:t>
            </w:r>
          </w:p>
        </w:tc>
      </w:tr>
      <w:tr>
        <w:tc>
          <w:tcPr>
            <w:tcW w:type="dxa" w:w="4513"/>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Adoption par les familles de la micro-cotisation</w:t>
            </w:r>
          </w:p>
        </w:tc>
        <w:tc>
          <w:tcPr>
            <w:tcW w:type="dxa" w:w="4513"/>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Montant volontairement modique (5,5 FCFA/jour), communication institutionnelle et implication directe des directions d'établissement dès la Phase 1.</w:t>
            </w:r>
          </w:p>
        </w:tc>
      </w:tr>
      <w:tr>
        <w:tc>
          <w:tcPr>
            <w:tcW w:type="dxa" w:w="4513"/>
            <w:shd w:val="clear" w:color="auto" w:fill="FFFFFF"/>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Fiabilité de la collecte via Mobile Money</w:t>
            </w:r>
          </w:p>
        </w:tc>
        <w:tc>
          <w:tcPr>
            <w:tcW w:type="dxa" w:w="4513"/>
            <w:shd w:val="clear" w:color="auto" w:fill="FFFFFF"/>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Intégration multi-opérateurs (Orange Money, MTN MoMo), réconciliation automatisée, options de paiement fractionné.</w:t>
            </w:r>
          </w:p>
        </w:tc>
      </w:tr>
      <w:tr>
        <w:tc>
          <w:tcPr>
            <w:tcW w:type="dxa" w:w="4513"/>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Connectivité limitée en zones rurales</w:t>
            </w:r>
          </w:p>
        </w:tc>
        <w:tc>
          <w:tcPr>
            <w:tcW w:type="dxa" w:w="4513"/>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Phasage progressif (urbain → régional → rural) et volet dédié de connectivité (Wi-Fi/Camtel) financé par le modèle lui-même.</w:t>
            </w:r>
          </w:p>
        </w:tc>
      </w:tr>
      <w:tr>
        <w:tc>
          <w:tcPr>
            <w:tcW w:type="dxa" w:w="4513"/>
            <w:shd w:val="clear" w:color="auto" w:fill="FFFFFF"/>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Alignement institutionnel et politique</w:t>
            </w:r>
          </w:p>
        </w:tc>
        <w:tc>
          <w:tcPr>
            <w:tcW w:type="dxa" w:w="4513"/>
            <w:shd w:val="clear" w:color="auto" w:fill="FFFFFF"/>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Ancrage explicite du projet dans les priorités de la SND30 et implication précoce des trois ministères dans la gouvernance du pilote.</w:t>
            </w:r>
          </w:p>
        </w:tc>
      </w:tr>
      <w:tr>
        <w:tc>
          <w:tcPr>
            <w:tcW w:type="dxa" w:w="4513"/>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Concurrence / duplication d'initiatives</w:t>
            </w:r>
          </w:p>
        </w:tc>
        <w:tc>
          <w:tcPr>
            <w:tcW w:type="dxa" w:w="4513"/>
            <w:shd w:val="clear" w:color="auto" w:fill="FBF0F2"/>
            <w:tcBorders>
              <w:top w:val="single" w:sz="4" w:space="0" w:color="CFBDA6"/>
              <w:left w:val="single" w:sz="4" w:space="0" w:color="CFBDA6"/>
              <w:bottom w:val="single" w:sz="4" w:space="0" w:color="CFBDA6"/>
              <w:right w:val="single" w:sz="4" w:space="0" w:color="CFBDA6"/>
            </w:tcBorders>
          </w:tcPr>
          <w:p>
            <w:pPr>
              <w:spacing w:before="40" w:after="40"/>
            </w:pPr>
            <w:r/>
            <w:r>
              <w:rPr>
                <w:b w:val="0"/>
                <w:i w:val="0"/>
                <w:color w:val="1C1917"/>
                <w:sz w:val="21"/>
              </w:rPr>
              <w:t>Avantage de premier entrant avec un produit déjà construit et démontrable, couvrant l'intégralité de la chaîne des acteurs éducatifs.</w:t>
            </w:r>
          </w:p>
        </w:tc>
      </w:tr>
    </w:tbl>
    <w:p>
      <w:pPr>
        <w:pStyle w:val="MdSpace"/>
      </w:pPr>
    </w:p>
    <w:p>
      <w:pPr>
        <w:pStyle w:val="MdSpace"/>
      </w:pPr>
    </w:p>
    <w:p>
      <w:pPr>
        <w:pStyle w:val="Heading1"/>
      </w:pPr>
      <w:r>
        <w:t>11. Pourquoi Investir Maintenant</w:t>
      </w:r>
    </w:p>
    <w:p>
      <w:pPr>
        <w:pStyle w:val="MdListItem"/>
        <w:numPr>
          <w:ilvl w:val="0"/>
          <w:numId w:val="2"/>
        </w:numPr>
      </w:pPr>
      <w:r>
        <w:rPr>
          <w:b/>
          <w:color w:val="641028"/>
        </w:rPr>
        <w:t xml:space="preserve">Un produit déjà construit : </w:t>
      </w:r>
      <w:r>
        <w:t>86 écrans fonctionnels, pas un simple concept — le risque d'exécution technique est déjà largement levé.</w:t>
      </w:r>
    </w:p>
    <w:p>
      <w:pPr>
        <w:pStyle w:val="MdListItem"/>
        <w:numPr>
          <w:ilvl w:val="0"/>
          <w:numId w:val="2"/>
        </w:numPr>
      </w:pPr>
      <w:r>
        <w:rPr>
          <w:b/>
          <w:color w:val="641028"/>
        </w:rPr>
        <w:t xml:space="preserve">Un modèle aligné sur les priorités nationales : </w:t>
      </w:r>
      <w:r>
        <w:t>financement de l'éducation sans endettement, en cohérence directe avec la SND30.</w:t>
      </w:r>
    </w:p>
    <w:p>
      <w:pPr>
        <w:pStyle w:val="MdListItem"/>
        <w:numPr>
          <w:ilvl w:val="0"/>
          <w:numId w:val="2"/>
        </w:numPr>
      </w:pPr>
      <w:r>
        <w:rPr>
          <w:b/>
          <w:color w:val="641028"/>
        </w:rPr>
        <w:t xml:space="preserve">Un effet de levier social et financier unique : </w:t>
      </w:r>
      <w:r>
        <w:t>50 M FCFA d'amorçage pour débloquer un mécanisme capable de mobiliser 12 Md FCFA/an à pleine échelle.</w:t>
      </w:r>
    </w:p>
    <w:p>
      <w:pPr>
        <w:pStyle w:val="MdListItem"/>
        <w:numPr>
          <w:ilvl w:val="0"/>
          <w:numId w:val="2"/>
        </w:numPr>
      </w:pPr>
      <w:r>
        <w:rPr>
          <w:b/>
          <w:color w:val="641028"/>
        </w:rPr>
        <w:t xml:space="preserve">Un modèle de revenu récurrent et scalable : </w:t>
      </w:r>
      <w:r>
        <w:t>commission de plateforme croissant mécaniquement avec chaque établissement onboardé.</w:t>
      </w:r>
    </w:p>
    <w:p>
      <w:pPr>
        <w:pStyle w:val="MdListItem"/>
        <w:numPr>
          <w:ilvl w:val="0"/>
          <w:numId w:val="2"/>
        </w:numPr>
      </w:pPr>
      <w:r>
        <w:rPr>
          <w:b/>
          <w:color w:val="641028"/>
        </w:rPr>
        <w:t xml:space="preserve">Un impact social démontrable : </w:t>
      </w:r>
      <w:r>
        <w:t>enseignants financés, salles de classe construites, écoles connectées — un retour sur investissement mesurable en résultats éducatifs.</w:t>
      </w:r>
    </w:p>
    <w:p>
      <w:pPr>
        <w:pStyle w:val="MdSpace"/>
      </w:pPr>
    </w:p>
    <w:p>
      <w:pPr>
        <w:pStyle w:val="Heading1"/>
      </w:pPr>
      <w:r>
        <w:t>12. Conclusion</w:t>
      </w:r>
    </w:p>
    <w:p>
      <w:pPr>
        <w:pStyle w:val="MdParagraph"/>
      </w:pPr>
      <w:r>
        <w:t>Kamili EduCampus propose une voie crédible et déjà techniquement amorcée vers l'indépendance financière de l'école camerounaise : un mécanisme de financement national, transparent et pérenne, porté par une plateforme numérique déjà construite. Le besoin de financement de 50 000 000 FCFA sur 18 mois est le levier qui permettra de transformer cette maquette en un pilote opérationnel dans 50 établissements — première étape vérifiable et mesurable vers les 6 millions d'élèves et les 12 milliards de FCFA de ressources annuelles pour l'éducation publique camerounaise.</w:t>
      </w:r>
    </w:p>
    <w:p>
      <w:pPr>
        <w:pStyle w:val="MdHr"/>
      </w:pPr>
    </w:p>
    <w:p>
      <w:pPr>
        <w:pStyle w:val="MdParagraph"/>
        <w:jc w:val="center"/>
      </w:pPr>
      <w:r>
        <w:rPr>
          <w:color w:val="57534E"/>
          <w:sz w:val="21"/>
        </w:rPr>
        <w:t>ATRIC SARL — Kamili EduCampus</w:t>
      </w:r>
    </w:p>
    <w:p>
      <w:pPr>
        <w:pStyle w:val="MdParagraph"/>
        <w:jc w:val="center"/>
      </w:pPr>
      <w:r>
        <w:rPr>
          <w:color w:val="57534E"/>
          <w:sz w:val="21"/>
        </w:rPr>
        <w:t>Contact : [coordonnées à compléter par ATRIC SARL]</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drawing>
        <wp:inline xmlns:a="http://schemas.openxmlformats.org/drawingml/2006/main" xmlns:pic="http://schemas.openxmlformats.org/drawingml/2006/picture">
          <wp:extent cx="326052" cy="177800"/>
          <wp:docPr id="1" name="Picture 1"/>
          <wp:cNvGraphicFramePr>
            <a:graphicFrameLocks noChangeAspect="1"/>
          </wp:cNvGraphicFramePr>
          <a:graphic>
            <a:graphicData uri="http://schemas.openxmlformats.org/drawingml/2006/picture">
              <pic:pic>
                <pic:nvPicPr>
                  <pic:cNvPr id="0" name="logo.jpeg"/>
                  <pic:cNvPicPr/>
                </pic:nvPicPr>
                <pic:blipFill>
                  <a:blip r:embed="rId1"/>
                  <a:stretch>
                    <a:fillRect/>
                  </a:stretch>
                </pic:blipFill>
                <pic:spPr>
                  <a:xfrm>
                    <a:off x="0" y="0"/>
                    <a:ext cx="326052" cy="177800"/>
                  </a:xfrm>
                  <a:prstGeom prst="rect"/>
                </pic:spPr>
              </pic:pic>
            </a:graphicData>
          </a:graphic>
        </wp:inline>
      </w:drawing>
    </w:r>
    <w:pPr>
      <w:pStyle w:val="Header"/>
      <w:jc w:val="center"/>
    </w:pPr>
    <w:r/>
    <w:r>
      <w:rPr>
        <w:i/>
        <w:color w:val="666666"/>
        <w:sz w:val="16"/>
      </w:rPr>
      <w:t>ATRIC SARL — RCCM : RC/YAO/2026/M/344 — Yaoundé, Cameroun — www.atricsarl.com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b/>
      <w:color w:val="4A0C1E"/>
      <w:sz w:val="68"/>
      <w:szCs w:val="56"/>
    </w:rPr>
  </w:style>
  <w:style w:type="paragraph" w:styleId="Heading1">
    <w:name w:val="Heading 1"/>
    <w:basedOn w:val="Normal"/>
    <w:next w:val="Normal"/>
    <w:qFormat/>
    <w:rPr>
      <w:b/>
      <w:color w:val="7E1A31"/>
      <w:sz w:val="40"/>
      <w:szCs w:val="32"/>
    </w:rPr>
  </w:style>
  <w:style w:type="paragraph" w:styleId="Heading2">
    <w:name w:val="Heading 2"/>
    <w:basedOn w:val="Normal"/>
    <w:next w:val="Normal"/>
    <w:qFormat/>
    <w:rPr>
      <w:b/>
      <w:color w:val="9C273F"/>
      <w:sz w:val="30"/>
      <w:szCs w:val="26"/>
    </w:rPr>
  </w:style>
  <w:style w:type="paragraph" w:styleId="Heading3">
    <w:name w:val="Heading 3"/>
    <w:basedOn w:val="Normal"/>
    <w:next w:val="Normal"/>
    <w:qFormat/>
    <w:rPr>
      <w:b/>
      <w:color w:val="641028"/>
      <w:sz w:val="26"/>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color w:val="641028"/>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2026-08-05T18:04:52.095Z</dcterms:created>
  <dcterms:modified xsi:type="dcterms:W3CDTF">2026-08-05T18:04:52.095Z</dcterms:modified>
</cp:coreProperties>
</file>

<file path=docProps/custom.xml><?xml version="1.0" encoding="utf-8"?>
<Properties xmlns="http://schemas.openxmlformats.org/officeDocument/2006/custom-properties" xmlns:vt="http://schemas.openxmlformats.org/officeDocument/2006/docPropsVTypes"/>
</file>