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pPr>
        <w:pStyle w:val="57"/>
      </w:pPr>
      <w:r>
        <w:rPr>
          <w:rFonts w:ascii="Times New Roman" w:hAnsi="Times New Roman" w:eastAsia="黑体"/>
          <w:b w:val="0"/>
          <w:sz w:val="28"/>
        </w:rPr>
        <w:t>创新药评价的注意力配置差异与协调路径</w:t>
        <w:br/>
        <w:t>补充材料</w:t>
      </w:r>
    </w:p>
    <w:p>
      <w:pPr>
        <w:pStyle w:val="2"/>
        <w:ind w:firstLine="0" w:firstLineChars="0" w:left="240"/>
        <w:keepNext w:val="1"/>
      </w:pPr>
      <w:r>
        <w:rPr>
          <w:rFonts w:ascii="Times New Roman" w:hAnsi="Times New Roman" w:eastAsia="黑体" w:cs="Times New Roman"/>
          <w:b w:val="0"/>
          <w:color w:val="000000"/>
          <w:sz w:val="24"/>
          <w:szCs w:val="24"/>
        </w:rPr>
        <w:t>补充材料A　编码规范与配套统计</w:t>
      </w:r>
    </w:p>
    <w:p>
      <w:pPr>
        <w:pStyle w:val="28"/>
        <w:spacing w:line="360" w:lineRule="auto"/>
        <w:ind w:firstLine="480"/>
      </w:pPr>
      <w:r>
        <w:rPr>
          <w:rFonts w:ascii="Times New Roman" w:hAnsi="Times New Roman" w:eastAsia="宋体" w:cs="Times New Roman"/>
          <w:color w:val="000000"/>
          <w:sz w:val="24"/>
        </w:rPr>
        <w:t xml:space="preserve">安全性S包括药物损害、用药风险及其识别、评价和控制；涉及质量的内容须明确关联药物风险。有效性E包括防治效果、临床获益及相应证据。经济性Ec包括药品价格、费用、支付和成本效果。创新性I包括技术创新、实质改良及其资格评价，现有创新资格与实质权利义务之间的联系，以及明确的创新研发支持。公平性F包括对药品或患者治疗公平性的实质评价要求，或患者按治疗需要获得、持续接受所需药品的机会和负担关系。临床管理难度、一般可及性或程序名称本身不构成公平性编码的依据。同一句段可计入多个维度，在同一维度至多计一次；一般名称、事务性程序及针对其他对象使用的同名词，不据此自动赋予标签。全文和必要上下文用于解释待判句段的对象、条件及引用内容。</w:t>
      </w:r>
    </w:p>
    <w:p>
      <w:pPr>
        <w:pStyle w:val="3"/>
        <w:spacing w:line="360" w:lineRule="auto"/>
        <w:ind w:firstLine="480"/>
      </w:pPr>
      <w:r>
        <w:rPr>
          <w:rFonts w:ascii="Times New Roman" w:hAnsi="Times New Roman" w:eastAsia="宋体" w:cs="Times New Roman"/>
          <w:color w:val="000000"/>
          <w:sz w:val="24"/>
        </w:rPr>
        <w:t>为考察统计方式对结果的影响，设置九种统计口径：条款等权、来源内同年精确重复降权、部门年度内精确重复降权、剔除联合来源、剔除年度系列来源、剔除多组件来源、限定2018—2025完整自然年、来源等权均值及系列年度成员均值。此外，逐一剔除51个来源条目，比较总体及相关部门的五维计数、注意力占比和排序。待定判断不作0处理；在保持已观察二元标签不变的情况下，允许待定维度在0与1之间取值，计算注意力占比及正文所用条件比例的上下界。这些检验用于区分来源构成、汇总方式和待定信息的影响，完整分母及比较方向见配套统计。</w:t>
      </w:r>
    </w:p>
    <w:p>
      <w:pPr>
        <w:pStyle w:val="3"/>
        <w:spacing w:line="360" w:lineRule="auto"/>
        <w:ind w:firstLine="480"/>
      </w:pPr>
      <w:r>
        <w:rPr>
          <w:rFonts w:ascii="Times New Roman" w:hAnsi="Times New Roman" w:eastAsia="宋体" w:cs="Times New Roman"/>
          <w:color w:val="000000"/>
          <w:sz w:val="24"/>
        </w:rPr>
        <w:t>LLM编码请求的模型设置为gpt-6.1-sol，推理强度为ultra，依据完整手册给出五维判断。三部门主语料共4 481个分析单元，每批实际处理1—12条。各批次使用独立上下文，读取同一版原文及必要语境，不提供参考标签或机器预测结果。依Törnberg⁠</w:t>
      </w:r>
      <w:r>
        <w:rPr>
          <w:rFonts w:ascii="Times New Roman" w:hAnsi="Times New Roman" w:eastAsia="宋体" w:cs="Times New Roman"/>
          <w:color w:val="000000"/>
          <w:sz w:val="24"/>
          <w:vertAlign w:val="superscript"/>
        </w:rPr>
        <w:t>[1]</w:t>
      </w:r>
      <w:r>
        <w:rPr>
          <w:rFonts w:ascii="Times New Roman" w:hAnsi="Times New Roman" w:eastAsia="宋体" w:cs="Times New Roman"/>
          <w:color w:val="000000"/>
          <w:sz w:val="24"/>
        </w:rPr>
        <w:t>关于记录任务和提示的建议，完整手册、规则、提示词及输入输出记录均随研究资料保存；服务未提供的生成参数记为不可得。</w:t>
      </w:r>
    </w:p>
    <w:p>
      <w:pPr>
        <w:pStyle w:val="3"/>
        <w:spacing w:line="360" w:lineRule="auto"/>
        <w:ind w:firstLine="480"/>
      </w:pPr>
      <w:r>
        <w:rPr>
          <w:rFonts w:ascii="Times New Roman" w:hAnsi="Times New Roman" w:eastAsia="宋体" w:cs="Times New Roman"/>
          <w:sz w:val="24"/>
          <w:color w:val="000000"/>
        </w:rPr>
        <w:t>配套材料包括统一编码手册、自动规则、提示词、机器输入输出及各维判定依据，以及466条人工标注结果和相应分类计数表。全量统计分别保存两种机器方法的五维计数、注意力占比、内容覆盖比例及条件比例。九种统计口径、逐一剔除51个政策来源及待定边界的完整结果随文保存。</w:t>
      </w:r>
    </w:p>
    <w:p>
      <w:pPr>
        <w:pStyle w:val="2"/>
        <w:ind w:firstLine="0" w:firstLineChars="0" w:left="240"/>
        <w:keepNext w:val="1"/>
      </w:pPr>
      <w:r>
        <w:rPr>
          <w:rFonts w:ascii="Times New Roman" w:hAnsi="Times New Roman" w:eastAsia="黑体" w:cs="Times New Roman"/>
          <w:sz w:val="24"/>
          <w:b w:val="0"/>
          <w:color w:val="000000"/>
          <w:szCs w:val="24"/>
        </w:rPr>
        <w:t>补充材料B　政策来源范围</w:t>
      </w:r>
    </w:p>
    <w:p>
      <w:pPr>
        <w:pStyle w:val="3"/>
        <w:spacing w:line="360" w:lineRule="auto"/>
        <w:ind w:firstLine="480"/>
      </w:pPr>
      <w:r>
        <w:rPr>
          <w:rFonts w:ascii="Times New Roman" w:hAnsi="Times New Roman" w:eastAsia="宋体" w:cs="Times New Roman"/>
          <w:sz w:val="24"/>
          <w:color w:val="000000"/>
        </w:rPr>
        <w:t>三部门主语料共51个来源条目、4 481个分析单元。其中，药监局17个来源条目、1 848个单元，医保局24个来源条目、2 100个单元，卫健委10个来源条目、533个单元。另有4个中央来源条目、443个单元作为制度背景，不纳入三部门主比较。来源条目可以包括通知、方案、附件和官方问答，其完整名称、文号、实际发布机关及组件关系见配套来源清单。</w:t>
      </w:r>
    </w:p>
    <w:p>
      <w:pPr>
        <w:pStyle w:val="3"/>
        <w:spacing w:line="360" w:lineRule="auto"/>
        <w:ind w:firstLine="480"/>
      </w:pPr>
      <w:r>
        <w:rPr>
          <w:rFonts w:ascii="Times New Roman" w:hAnsi="Times New Roman" w:eastAsia="宋体" w:cs="Times New Roman"/>
          <w:sz w:val="24"/>
          <w:color w:val="000000"/>
        </w:rPr>
        <w:t>官方问答与正文分别标记，重复附件只计一次。联合专业文件保留全部署名机关，并按既定制度系统归入一个部门。来源等权均值先求来源内部比例，再对分母非零的来源取均值；系列年度成员均值按固定系列和年份计算。完整来源名称、部门归属及分析单元对应关系保存在配套来源清单中。</w:t>
      </w:r>
    </w:p>
    <w:p>
      <w:pPr>
        <w:pStyle w:val="2"/>
        <w:pageBreakBefore/>
        <w:ind w:firstLine="0" w:firstLineChars="0" w:left="240"/>
        <w:keepNext w:val="1"/>
        <w:keepLines w:val="0"/>
      </w:pPr>
      <w:r>
        <w:rPr>
          <w:rFonts w:ascii="Times New Roman" w:hAnsi="Times New Roman" w:eastAsia="黑体" w:cs="Times New Roman"/>
          <w:b w:val="0"/>
          <w:color w:val="000000"/>
          <w:sz w:val="24"/>
          <w:szCs w:val="24"/>
        </w:rPr>
        <w:t>补充材料C　编码质量检验</w:t>
      </w:r>
    </w:p>
    <w:p>
      <w:pPr>
        <w:pStyle w:val="28"/>
        <w:spacing w:line="360" w:lineRule="auto"/>
        <w:ind w:firstLine="480"/>
        <w:keepNext w:val="0"/>
        <w:keepLines w:val="0"/>
      </w:pPr>
      <w:r>
        <w:rPr>
          <w:rFonts w:ascii="Times New Roman" w:hAnsi="Times New Roman" w:eastAsia="宋体" w:cs="Times New Roman"/>
          <w:color w:val="000000"/>
          <w:sz w:val="24"/>
        </w:rPr>
        <w:t>466条人工标注结果中，安全性、有效性、经济性、创新性、公平性的正类数分别为133、94、110、33、48。每条材料均完整判断五个维度。表C1列示两种方法与人工标注结果的分类计数，表C2列示核验样本的构成和随机抽取范围。</w:t>
      </w:r>
    </w:p>
    <w:p>
      <w:pPr>
        <w:pStyle w:val="60"/>
        <w:keepNext w:val="1"/>
        <w:keepLines w:val="0"/>
      </w:pPr>
      <w:r>
        <w:rPr>
          <w:rFonts w:ascii="Times New Roman" w:hAnsi="Times New Roman" w:eastAsia="宋体" w:cs="Times New Roman"/>
          <w:color w:val="000000"/>
          <w:sz w:val="21"/>
          <w:szCs w:val="21"/>
          <w:b w:val="0"/>
          <w:bCs w:val="0"/>
        </w:rPr>
        <w:t>表C1 两种编码方法与人工标注的分类计数</w:t>
      </w:r>
    </w:p>
    <w:p>
      <w:pPr>
        <w:pStyle w:val="60"/>
        <w:keepNext w:val="1"/>
        <w:keepLines w:val="0"/>
      </w:pPr>
      <w:r>
        <w:rPr>
          <w:rFonts w:ascii="Times New Roman" w:hAnsi="Times New Roman" w:eastAsia="宋体" w:cs="Times New Roman"/>
          <w:b w:val="0"/>
          <w:color w:val="000000"/>
          <w:sz w:val="21"/>
        </w:rPr>
        <w:t>Table C1 Comparison with Human-Reviewed Labels for 466 Passages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304"/>
        <w:gridCol w:w="850"/>
        <w:gridCol w:w="1134"/>
        <w:gridCol w:w="1134"/>
        <w:gridCol w:w="3515"/>
        <w:gridCol w:w="1191"/>
        <w:gridCol w:w="1191"/>
      </w:tblGrid>
      <w:tr>
        <w:trPr>
          <w:cantSplit/>
          <w:tblHeader/>
        </w:trPr>
        <w:tc>
          <w:tcPr>
            <w:tcW w:type="dxa" w:w="1304"/>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维度</w:t>
            </w:r>
          </w:p>
        </w:tc>
        <w:tc>
          <w:tcPr>
            <w:tcW w:type="dxa" w:w="850"/>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方法</w:t>
            </w:r>
          </w:p>
        </w:tc>
        <w:tc>
          <w:tcPr>
            <w:tcW w:type="dxa" w:w="1134"/>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可判定项</w:t>
            </w:r>
          </w:p>
        </w:tc>
        <w:tc>
          <w:tcPr>
            <w:tcW w:type="dxa" w:w="1134"/>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待定项</w:t>
            </w:r>
          </w:p>
        </w:tc>
        <w:tc>
          <w:tcPr>
            <w:tcW w:type="dxa" w:w="3515"/>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TP/FP/FN/TN</w:t>
            </w:r>
          </w:p>
        </w:tc>
        <w:tc>
          <w:tcPr>
            <w:tcW w:type="dxa" w:w="1191"/>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κ</w:t>
            </w:r>
          </w:p>
        </w:tc>
        <w:tc>
          <w:tcPr>
            <w:tcW w:type="dxa" w:w="1191"/>
            <w:vAlign w:val="center"/>
            <w:tcBorders>
              <w:top w:val="single" w:sz="8" w:color="000000"/>
              <w:bottom w:val="single"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F1</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安全性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465</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131/11/1/322</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0.938</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0.956</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安全性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456</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84/8/41/323</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0.706</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0.774</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有效性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463</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91/5/1/366</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0.960</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0.968</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有效性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456</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58/1/27/370</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0.771</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0.806</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经济性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465</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108/17/2/338</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0.892</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0.919</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经济性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460</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6</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66/4/39/351</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0.699</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0.754</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创新性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465</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33/4/0/428</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0.938</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0.943</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创新性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440</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26</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30/1/0/409</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0.982</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0.984</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公平性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464</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46/10/1/407</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0.880</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0.893</w:t>
            </w:r>
          </w:p>
        </w:tc>
      </w:tr>
      <w:tr>
        <w:trPr>
          <w:cantSplit/>
        </w:trPr>
        <w:tc>
          <w:tcPr>
            <w:tcW w:type="dxa" w:w="130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公平性</w:t>
            </w:r>
          </w:p>
        </w:tc>
        <w:tc>
          <w:tcPr>
            <w:tcW w:type="dxa" w:w="850"/>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439</w:t>
            </w:r>
          </w:p>
        </w:tc>
        <w:tc>
          <w:tcPr>
            <w:tcW w:type="dxa" w:w="113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27</w:t>
            </w:r>
          </w:p>
        </w:tc>
        <w:tc>
          <w:tcPr>
            <w:tcW w:type="dxa" w:w="3515"/>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31/0/14/394</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0.799</w:t>
            </w:r>
          </w:p>
        </w:tc>
        <w:tc>
          <w:tcPr>
            <w:tcW w:type="dxa" w:w="1191"/>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0.816</w:t>
            </w:r>
          </w:p>
        </w:tc>
      </w:tr>
      <w:tr>
        <w:trPr>
          <w:cantSplit/>
        </w:trPr>
        <w:tc>
          <w:tcPr>
            <w:tcW w:type="dxa" w:w="1304"/>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五维合并</w:t>
            </w:r>
          </w:p>
        </w:tc>
        <w:tc>
          <w:tcPr>
            <w:tcW w:type="dxa" w:w="850"/>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LLM</w:t>
            </w:r>
          </w:p>
        </w:tc>
        <w:tc>
          <w:tcPr>
            <w:tcW w:type="dxa" w:w="1134"/>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2 322</w:t>
            </w:r>
          </w:p>
        </w:tc>
        <w:tc>
          <w:tcPr>
            <w:tcW w:type="dxa" w:w="1134"/>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8</w:t>
            </w:r>
          </w:p>
        </w:tc>
        <w:tc>
          <w:tcPr>
            <w:tcW w:type="dxa" w:w="3515"/>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409/47/5/1861</w:t>
            </w:r>
          </w:p>
        </w:tc>
        <w:tc>
          <w:tcPr>
            <w:tcW w:type="dxa" w:w="1191"/>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0.926</w:t>
            </w:r>
          </w:p>
        </w:tc>
        <w:tc>
          <w:tcPr>
            <w:tcW w:type="dxa" w:w="1191"/>
            <w:vAlign w:val="center"/>
            <w:tcBorders>
              <w:top w:val="nil" w:sz="8" w:color="000000"/>
              <w:bottom w:val="nil" w:sz="4"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0.940</w:t>
            </w:r>
          </w:p>
        </w:tc>
      </w:tr>
      <w:tr>
        <w:trPr>
          <w:cantSplit/>
        </w:trPr>
        <w:tc>
          <w:tcPr>
            <w:tcW w:type="dxa" w:w="1304"/>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五维合并</w:t>
            </w:r>
          </w:p>
        </w:tc>
        <w:tc>
          <w:tcPr>
            <w:tcW w:type="dxa" w:w="850"/>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规则</w:t>
            </w:r>
          </w:p>
        </w:tc>
        <w:tc>
          <w:tcPr>
            <w:tcW w:type="dxa" w:w="1134"/>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2 251</w:t>
            </w:r>
          </w:p>
        </w:tc>
        <w:tc>
          <w:tcPr>
            <w:tcW w:type="dxa" w:w="1134"/>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79</w:t>
            </w:r>
          </w:p>
        </w:tc>
        <w:tc>
          <w:tcPr>
            <w:tcW w:type="dxa" w:w="3515"/>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269/14/121/1847</w:t>
            </w:r>
          </w:p>
        </w:tc>
        <w:tc>
          <w:tcPr>
            <w:tcW w:type="dxa" w:w="1191"/>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0.765</w:t>
            </w:r>
          </w:p>
        </w:tc>
        <w:tc>
          <w:tcPr>
            <w:tcW w:type="dxa" w:w="1191"/>
            <w:vAlign w:val="center"/>
            <w:tcBorders>
              <w:top w:val="nil" w:sz="4" w:color="000000"/>
              <w:bottom w:val="single" w:sz="8"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0.799</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注：TP为机器与人工均判为1，FP为机器判1而人工判0，FN为机器判0而人工判1，TN为两者均判0。每一维可判定项与待定项之和为466，合并行之和为2 330。待定项不纳入分类计数。</w:t>
      </w:r>
    </w:p>
    <w:p>
      <w:pPr>
        <w:pStyle w:val="60"/>
        <w:keepNext w:val="1"/>
        <w:keepLines w:val="0"/>
      </w:pPr>
      <w:r>
        <w:rPr>
          <w:rFonts w:ascii="Times New Roman" w:hAnsi="Times New Roman" w:eastAsia="宋体" w:cs="Times New Roman"/>
          <w:color w:val="000000"/>
          <w:sz w:val="21"/>
          <w:szCs w:val="21"/>
          <w:b w:val="0"/>
          <w:bCs w:val="0"/>
        </w:rPr>
        <w:t>表C2 人工核验样本的构成</w:t>
      </w:r>
    </w:p>
    <w:p>
      <w:pPr>
        <w:pStyle w:val="60"/>
        <w:keepNext w:val="1"/>
        <w:keepLines w:val="0"/>
      </w:pPr>
      <w:r>
        <w:rPr>
          <w:rFonts w:ascii="Times New Roman" w:hAnsi="Times New Roman" w:eastAsia="宋体" w:cs="Times New Roman"/>
          <w:b w:val="0"/>
          <w:color w:val="000000"/>
          <w:sz w:val="21"/>
        </w:rPr>
        <w:t>Table C2 Composition of the Human Verification Sample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268"/>
        <w:gridCol w:w="2268"/>
        <w:gridCol w:w="1984"/>
        <w:gridCol w:w="1984"/>
      </w:tblGrid>
      <w:tr>
        <w:trPr>
          <w:cantSplit/>
          <w:tblHeader/>
        </w:trPr>
        <w:tc>
          <w:tcPr>
            <w:tcW w:type="dxa" w:w="1814"/>
            <w:vAlign w:val="center"/>
            <w:tcBorders>
              <w:top w:val="single"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部门</w:t>
            </w:r>
          </w:p>
        </w:tc>
        <w:tc>
          <w:tcPr>
            <w:tcW w:type="dxa" w:w="2268"/>
            <w:vAlign w:val="center"/>
            <w:tcBorders>
              <w:top w:val="single"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重点类别材料</w:t>
            </w:r>
          </w:p>
        </w:tc>
        <w:tc>
          <w:tcPr>
            <w:tcW w:type="dxa" w:w="2268"/>
            <w:vAlign w:val="center"/>
            <w:tcBorders>
              <w:top w:val="single"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随机层规模</w:t>
            </w:r>
          </w:p>
        </w:tc>
        <w:tc>
          <w:tcPr>
            <w:tcW w:type="dxa" w:w="1984"/>
            <w:vAlign w:val="center"/>
            <w:tcBorders>
              <w:top w:val="single"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随机抽取数</w:t>
            </w:r>
          </w:p>
        </w:tc>
        <w:tc>
          <w:tcPr>
            <w:tcW w:type="dxa" w:w="1984"/>
            <w:vAlign w:val="center"/>
            <w:tcBorders>
              <w:top w:val="single"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合计</w:t>
            </w:r>
          </w:p>
        </w:tc>
      </w:tr>
      <w:tr>
        <w:trPr>
          <w:cantSplit/>
        </w:trPr>
        <w:tc>
          <w:tcPr>
            <w:tcW w:type="dxa" w:w="181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药监局</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6</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1 604</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100</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106</w:t>
            </w:r>
          </w:p>
        </w:tc>
      </w:tr>
      <w:tr>
        <w:trPr>
          <w:cantSplit/>
        </w:trPr>
        <w:tc>
          <w:tcPr>
            <w:tcW w:type="dxa" w:w="181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医保局</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102</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1 814</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100</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202</w:t>
            </w:r>
          </w:p>
        </w:tc>
      </w:tr>
      <w:tr>
        <w:trPr>
          <w:cantSplit/>
        </w:trPr>
        <w:tc>
          <w:tcPr>
            <w:tcW w:type="dxa" w:w="181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卫健委</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58</w:t>
            </w:r>
          </w:p>
        </w:tc>
        <w:tc>
          <w:tcPr>
            <w:tcW w:type="dxa" w:w="2268"/>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422</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100</w:t>
            </w:r>
          </w:p>
        </w:tc>
        <w:tc>
          <w:tcPr>
            <w:tcW w:type="dxa" w:w="1984"/>
            <w:vAlign w:val="center"/>
            <w:tcBorders>
              <w:top w:val="nil" w:sz="4" w:color="000000"/>
              <w:bottom w:val="nil" w:sz="4" w:color="000000"/>
              <w:left w:val="nil" w:sz="4" w:color="000000"/>
              <w:right w:val="nil" w:sz="4"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158</w:t>
            </w:r>
          </w:p>
        </w:tc>
      </w:tr>
      <w:tr>
        <w:trPr>
          <w:cantSplit/>
        </w:trPr>
        <w:tc>
          <w:tcPr>
            <w:tcW w:type="dxa" w:w="1814"/>
            <w:vAlign w:val="center"/>
            <w:tcBorders>
              <w:top w:val="nil"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合计</w:t>
            </w:r>
          </w:p>
        </w:tc>
        <w:tc>
          <w:tcPr>
            <w:tcW w:type="dxa" w:w="2268"/>
            <w:vAlign w:val="center"/>
            <w:tcBorders>
              <w:top w:val="nil"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166</w:t>
            </w:r>
          </w:p>
        </w:tc>
        <w:tc>
          <w:tcPr>
            <w:tcW w:type="dxa" w:w="2268"/>
            <w:vAlign w:val="center"/>
            <w:tcBorders>
              <w:top w:val="nil"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3 840</w:t>
            </w:r>
          </w:p>
        </w:tc>
        <w:tc>
          <w:tcPr>
            <w:tcW w:type="dxa" w:w="1984"/>
            <w:vAlign w:val="center"/>
            <w:tcBorders>
              <w:top w:val="nil"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300</w:t>
            </w:r>
          </w:p>
        </w:tc>
        <w:tc>
          <w:tcPr>
            <w:tcW w:type="dxa" w:w="1984"/>
            <w:vAlign w:val="center"/>
            <w:tcBorders>
              <w:top w:val="nil" w:sz="8" w:color="000000"/>
              <w:bottom w:val="single" w:sz="8" w:color="000000"/>
              <w:left w:val="nil" w:sz="8" w:color="000000"/>
              <w:right w:val="nil" w:sz="8" w:color="000000"/>
            </w:tcBorders>
            <w:tcMar>
              <w:top w:w="30" w:type="dxa"/>
              <w:bottom w:w="30" w:type="dxa"/>
              <w:left w:w="75" w:type="dxa"/>
              <w:right w:w="75" w:type="dxa"/>
            </w:tcMar>
          </w:tcPr>
          <w:p>
            <w:pPr>
              <w:spacing w:before="0" w:after="0" w:line="240" w:lineRule="auto"/>
              <w:ind w:firstLine="0"/>
              <w:jc w:val="center"/>
            </w:pPr>
            <w:r>
              <w:rPr>
                <w:rFonts w:ascii="Times New Roman" w:hAnsi="Times New Roman" w:eastAsia="宋体"/>
                <w:b w:val="0"/>
                <w:sz w:val="21"/>
              </w:rPr>
              <w:t>466</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抽取范围为主语料中未纳入既有开发或人工核查的4 006条材料。其中166条按预设重点类别纳入；其余3 840条按部门分层，各层简单随机不放回抽取100条。重点类别材料与随机材料不重叠，每条均核验五个维度。表2按这466条的实际判断计数，不据此推算未抽取材料的人工标签或全量分类准确率。</w:t>
      </w:r>
    </w:p>
    <w:p>
      <w:pPr>
        <w:pStyle w:val="2"/>
        <w:pageBreakBefore/>
        <w:ind w:firstLine="0" w:firstLineChars="0" w:left="240"/>
        <w:keepNext w:val="1"/>
        <w:keepLines w:val="0"/>
      </w:pPr>
      <w:r>
        <w:rPr>
          <w:rFonts w:ascii="Times New Roman" w:hAnsi="Times New Roman" w:eastAsia="黑体" w:cs="Times New Roman"/>
          <w:b w:val="0"/>
          <w:color w:val="000000"/>
          <w:sz w:val="24"/>
          <w:szCs w:val="24"/>
        </w:rPr>
        <w:t>补充材料D　来源构成与待定判断的稳健性分析</w:t>
      </w:r>
    </w:p>
    <w:p>
      <w:pPr>
        <w:pStyle w:val="28"/>
        <w:spacing w:line="360" w:lineRule="auto"/>
        <w:ind w:firstLine="480"/>
        <w:keepNext w:val="0"/>
        <w:keepLines w:val="0"/>
      </w:pPr>
      <w:r>
        <w:rPr>
          <w:rFonts w:ascii="Times New Roman" w:hAnsi="Times New Roman" w:eastAsia="宋体" w:cs="Times New Roman"/>
          <w:b w:val="0"/>
          <w:color w:val="000000"/>
          <w:sz w:val="21"/>
        </w:rPr>
        <w:t>表D1列示九种统计口径及逐一剔除51个来源后的比较方向。计数表示仍符合所列大小关系的次数，未计入的情形详见表注。两种编码方法的完整九种统计口径结果、逐来源结果及五维待定上下界另附可复算统计文件。各表均先列LLM主分析，再列规则对照。</w:t>
      </w:r>
    </w:p>
    <w:p>
      <w:pPr>
        <w:pStyle w:val="60"/>
        <w:keepNext w:val="1"/>
        <w:keepLines w:val="0"/>
      </w:pPr>
      <w:r>
        <w:rPr>
          <w:rFonts w:ascii="Times New Roman" w:hAnsi="Times New Roman" w:eastAsia="宋体" w:cs="Times New Roman"/>
          <w:color w:val="000000"/>
          <w:sz w:val="21"/>
          <w:szCs w:val="21"/>
          <w:b w:val="0"/>
          <w:bCs w:val="0"/>
        </w:rPr>
        <w:t>表D1 主要判断在不同统计口径和来源剔除下的表现</w:t>
      </w:r>
    </w:p>
    <w:p>
      <w:pPr>
        <w:pStyle w:val="60"/>
        <w:keepNext w:val="1"/>
        <w:keepLines w:val="0"/>
      </w:pPr>
      <w:r>
        <w:rPr>
          <w:rFonts w:ascii="Times New Roman" w:hAnsi="Times New Roman" w:eastAsia="宋体" w:cs="Times New Roman"/>
          <w:b w:val="0"/>
          <w:color w:val="000000"/>
          <w:sz w:val="21"/>
        </w:rPr>
        <w:t>Table D1 Robustness across Aggregation Schemes and Source Exclusions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69"/>
        <w:gridCol w:w="1134"/>
        <w:gridCol w:w="1757"/>
        <w:gridCol w:w="1757"/>
      </w:tblGrid>
      <w:tr>
        <w:trPr>
          <w:cantSplit/>
          <w:tblHeader/>
        </w:trPr>
        <w:tc>
          <w:tcPr>
            <w:tcW w:type="dxa" w:w="5669"/>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比较内容</w:t>
            </w:r>
          </w:p>
        </w:tc>
        <w:tc>
          <w:tcPr>
            <w:tcW w:type="dxa" w:w="1134"/>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方法</w:t>
            </w:r>
          </w:p>
        </w:tc>
        <w:tc>
          <w:tcPr>
            <w:tcW w:type="dxa" w:w="1757"/>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九种口径</w:t>
            </w:r>
          </w:p>
        </w:tc>
        <w:tc>
          <w:tcPr>
            <w:tcW w:type="dxa" w:w="1757"/>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逐一剔除来源</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医保局经济性占比高于卫健委</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医保局经济性占比高于卫健委</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药监局内部安全性居首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药监局内部安全性居首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医保局内部经济性居首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医保局内部经济性居首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卫健委内部安全性居首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8/9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50/51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卫健委内部安全性居首</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8/9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50/51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医保局安全性句段中的有效性比例高于药监局</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医保局安全性句段中的有效性比例高于药监局</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医保局安全性句段中的有效性比例高于卫健委</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医保局安全性句段中的有效性比例高于卫健委</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卫健委经济性句段中的公平性比例高于医保局</w:t>
            </w:r>
          </w:p>
        </w:tc>
        <w:tc>
          <w:tcPr>
            <w:tcW w:type="dxa" w:w="1134"/>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1757"/>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w:t>
            </w:r>
          </w:p>
        </w:tc>
        <w:tc>
          <w:tcPr>
            <w:tcW w:type="dxa" w:w="1757"/>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51/51</w:t>
            </w:r>
          </w:p>
        </w:tc>
      </w:tr>
      <w:tr>
        <w:trPr>
          <w:cantSplit/>
        </w:trPr>
        <w:tc>
          <w:tcPr>
            <w:tcW w:type="dxa" w:w="5669"/>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卫健委经济性句段中的公平性比例高于医保局</w:t>
            </w:r>
          </w:p>
        </w:tc>
        <w:tc>
          <w:tcPr>
            <w:tcW w:type="dxa" w:w="1134"/>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1757"/>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8/9</w:t>
            </w:r>
          </w:p>
        </w:tc>
        <w:tc>
          <w:tcPr>
            <w:tcW w:type="dxa" w:w="1757"/>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50/51</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卫健委安全性居首在剔除联合来源、或逐一剔除2022年加强用药安全管理文件时不再保持。卫健委经济性句段中的公平性比例高于医保局，在规则编码剔除联合来源、或逐一剔除2024年基层药品联动管理文件时反转。剔除其他部门来源时，本部门统计不变，这51次检验用于考察逐一剔除来源的影响。</w:t>
      </w:r>
    </w:p>
    <w:p>
      <w:pPr>
        <w:pStyle w:val="60"/>
        <w:keepNext w:val="1"/>
        <w:keepLines w:val="0"/>
        <w:pageBreakBefore/>
      </w:pPr>
      <w:r>
        <w:rPr>
          <w:rFonts w:ascii="Times New Roman" w:hAnsi="Times New Roman" w:eastAsia="宋体" w:cs="Times New Roman"/>
          <w:color w:val="000000"/>
          <w:sz w:val="21"/>
          <w:szCs w:val="21"/>
          <w:b w:val="0"/>
          <w:bCs w:val="0"/>
        </w:rPr>
        <w:t>表D2 条件比例的有效分母与待定值上下界</w:t>
      </w:r>
    </w:p>
    <w:p>
      <w:pPr>
        <w:pStyle w:val="60"/>
        <w:keepNext w:val="1"/>
        <w:keepLines w:val="0"/>
      </w:pPr>
      <w:r>
        <w:rPr>
          <w:rFonts w:ascii="Times New Roman" w:hAnsi="Times New Roman" w:eastAsia="宋体" w:cs="Times New Roman"/>
          <w:b w:val="0"/>
          <w:color w:val="000000"/>
          <w:sz w:val="21"/>
        </w:rPr>
        <w:t>Table D2 Conditional Proportions and Bounds for Undetermined Labels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38"/>
        <w:gridCol w:w="1134"/>
        <w:gridCol w:w="850"/>
        <w:gridCol w:w="2268"/>
        <w:gridCol w:w="1247"/>
        <w:gridCol w:w="2381"/>
      </w:tblGrid>
      <w:tr>
        <w:trPr>
          <w:cantSplit/>
          <w:tblHeader/>
        </w:trPr>
        <w:tc>
          <w:tcPr>
            <w:tcW w:type="dxa" w:w="2438"/>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条件比例</w:t>
            </w:r>
          </w:p>
        </w:tc>
        <w:tc>
          <w:tcPr>
            <w:tcW w:type="dxa" w:w="1134"/>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部门</w:t>
            </w:r>
          </w:p>
        </w:tc>
        <w:tc>
          <w:tcPr>
            <w:tcW w:type="dxa" w:w="850"/>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方法</w:t>
            </w:r>
          </w:p>
        </w:tc>
        <w:tc>
          <w:tcPr>
            <w:tcW w:type="dxa" w:w="2268"/>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共现/有效条件分母</w:t>
            </w:r>
          </w:p>
        </w:tc>
        <w:tc>
          <w:tcPr>
            <w:tcW w:type="dxa" w:w="1247"/>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比例/%</w:t>
            </w:r>
          </w:p>
        </w:tc>
        <w:tc>
          <w:tcPr>
            <w:tcW w:type="dxa" w:w="2381"/>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待定上下界/%</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187/439</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42.60</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41.74–43.75</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99/262</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37.79</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35.23–42.20</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64/79</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81.01</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78.05–81.71</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36/53</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67.92</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48.00–77.63</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13/50</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26.00</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25.49–27.45</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安全性中的有效性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9/37</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24.32</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23.68–26.32</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0/5</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0.00</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0.00–61.54</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0/5</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0.00</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0.00–80.00</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26/877</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2.96</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2.96–3.19</w:t>
            </w:r>
          </w:p>
        </w:tc>
      </w:tr>
      <w:tr>
        <w:trPr>
          <w:cantSplit/>
        </w:trPr>
        <w:tc>
          <w:tcPr>
            <w:tcW w:type="dxa" w:w="243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850"/>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4/590</w:t>
            </w:r>
          </w:p>
        </w:tc>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0.68</w:t>
            </w:r>
          </w:p>
        </w:tc>
        <w:tc>
          <w:tcPr>
            <w:tcW w:type="dxa" w:w="238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0.64–6.69</w:t>
            </w:r>
          </w:p>
        </w:tc>
      </w:tr>
      <w:tr>
        <w:trPr>
          <w:cantSplit/>
        </w:trPr>
        <w:tc>
          <w:tcPr>
            <w:tcW w:type="dxa" w:w="2438"/>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850"/>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w:t>
            </w:r>
          </w:p>
        </w:tc>
        <w:tc>
          <w:tcPr>
            <w:tcW w:type="dxa" w:w="2268"/>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5/36</w:t>
            </w:r>
          </w:p>
        </w:tc>
        <w:tc>
          <w:tcPr>
            <w:tcW w:type="dxa" w:w="1247"/>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13.89</w:t>
            </w:r>
          </w:p>
        </w:tc>
        <w:tc>
          <w:tcPr>
            <w:tcW w:type="dxa" w:w="2381"/>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13.51–16.22</w:t>
            </w:r>
          </w:p>
        </w:tc>
      </w:tr>
      <w:tr>
        <w:trPr>
          <w:cantSplit/>
        </w:trPr>
        <w:tc>
          <w:tcPr>
            <w:tcW w:type="dxa" w:w="2438"/>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经济性中的公平性</w:t>
            </w:r>
          </w:p>
        </w:tc>
        <w:tc>
          <w:tcPr>
            <w:tcW w:type="dxa" w:w="1134"/>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850"/>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w:t>
            </w:r>
          </w:p>
        </w:tc>
        <w:tc>
          <w:tcPr>
            <w:tcW w:type="dxa" w:w="2268"/>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1/25</w:t>
            </w:r>
          </w:p>
        </w:tc>
        <w:tc>
          <w:tcPr>
            <w:tcW w:type="dxa" w:w="1247"/>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4.00</w:t>
            </w:r>
          </w:p>
        </w:tc>
        <w:tc>
          <w:tcPr>
            <w:tcW w:type="dxa" w:w="2381"/>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3.85–7.69</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仅对待定维度枚举可行的0/1取值，保留已知标签，所得范围为待定值敏感性界限，不是置信区间。点值使用两维均可判定的条件分母。医保局安全性句段中的有效性比例在两种编码方法的待定边界下均高于另外两部门；规则编码的经济性—公平性比较范围重叠，故不能作同样概括。</w:t>
      </w:r>
    </w:p>
    <w:p>
      <w:pPr>
        <w:pStyle w:val="2"/>
        <w:pageBreakBefore/>
        <w:ind w:firstLine="0" w:firstLineChars="0" w:left="240"/>
        <w:keepNext w:val="1"/>
        <w:keepLines w:val="0"/>
      </w:pPr>
      <w:r>
        <w:rPr>
          <w:rFonts w:ascii="Times New Roman" w:hAnsi="Times New Roman" w:eastAsia="黑体" w:cs="Times New Roman"/>
          <w:b w:val="0"/>
          <w:color w:val="000000"/>
          <w:sz w:val="24"/>
          <w:szCs w:val="24"/>
        </w:rPr>
        <w:t>补充材料E　两种编码方法的全量对照</w:t>
      </w:r>
    </w:p>
    <w:p>
      <w:pPr>
        <w:pStyle w:val="28"/>
        <w:spacing w:line="360" w:lineRule="auto"/>
        <w:ind w:firstLine="480"/>
        <w:keepNext w:val="0"/>
        <w:keepLines w:val="0"/>
      </w:pPr>
      <w:r>
        <w:rPr>
          <w:rFonts w:ascii="Times New Roman" w:hAnsi="Times New Roman" w:eastAsia="宋体" w:cs="Times New Roman"/>
          <w:b w:val="0"/>
          <w:color w:val="000000"/>
          <w:sz w:val="21"/>
        </w:rPr>
        <w:t>本部分保留规则编码与LLM编码的完整对照。正文采用LLM结果；规则结果用于考察部门比较是否随编码方法变化。各部门的语料及五维定义相同，统计分别使用各方法识别的标签。</w:t>
      </w:r>
    </w:p>
    <w:p>
      <w:pPr>
        <w:pStyle w:val="60"/>
        <w:keepNext w:val="1"/>
        <w:keepLines w:val="0"/>
      </w:pPr>
      <w:r>
        <w:rPr>
          <w:rFonts w:ascii="Times New Roman" w:hAnsi="Times New Roman" w:eastAsia="宋体" w:cs="Times New Roman"/>
          <w:color w:val="000000"/>
          <w:sz w:val="21"/>
          <w:szCs w:val="21"/>
          <w:b w:val="0"/>
          <w:bCs w:val="0"/>
        </w:rPr>
        <w:t>表E1 三部门五维注意力占比/%</w:t>
      </w:r>
    </w:p>
    <w:p>
      <w:pPr>
        <w:pStyle w:val="60"/>
        <w:keepNext w:val="1"/>
        <w:keepLines w:val="0"/>
      </w:pPr>
      <w:r>
        <w:rPr>
          <w:rFonts w:ascii="Times New Roman" w:hAnsi="Times New Roman" w:eastAsia="宋体" w:cs="Times New Roman"/>
          <w:b w:val="0"/>
          <w:color w:val="000000"/>
          <w:sz w:val="21"/>
        </w:rPr>
        <w:t>Table E1 Five-Dimensional Attention Shares by Department /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247"/>
        <w:gridCol w:w="1361"/>
        <w:gridCol w:w="1542"/>
        <w:gridCol w:w="1542"/>
        <w:gridCol w:w="1542"/>
        <w:gridCol w:w="1542"/>
        <w:gridCol w:w="1542"/>
      </w:tblGrid>
      <w:tr>
        <w:trPr>
          <w:cantSplit/>
          <w:tblHeader/>
        </w:trPr>
        <w:tc>
          <w:tcPr>
            <w:tcW w:type="dxa" w:w="1247"/>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部门</w:t>
            </w:r>
          </w:p>
        </w:tc>
        <w:tc>
          <w:tcPr>
            <w:tcW w:type="dxa" w:w="1361"/>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结果</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安全性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有效性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经济性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创新性</w:t>
            </w:r>
          </w:p>
        </w:tc>
        <w:tc>
          <w:tcPr>
            <w:tcW w:type="dxa" w:w="1542"/>
            <w:vAlign w:val="center"/>
            <w:tcBorders>
              <w:top w:val="single" w:sz="8" w:color="000000"/>
              <w:bottom w:val="single"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公平性</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40.44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27.94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0.46</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20.96</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10.20</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药监局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38.12</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25.80</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0.72</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24.64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10.72</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6.97</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6.97</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76.48</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5.84</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3.75</w:t>
            </w:r>
          </w:p>
        </w:tc>
      </w:tr>
      <w:tr>
        <w:trPr>
          <w:cantSplit/>
        </w:trPr>
        <w:tc>
          <w:tcPr>
            <w:tcW w:type="dxa" w:w="1247"/>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医保局</w:t>
            </w:r>
          </w:p>
        </w:tc>
        <w:tc>
          <w:tcPr>
            <w:tcW w:type="dxa" w:w="1361"/>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规则全量</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6.72</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7.21</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76.87</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6.22</w:t>
            </w:r>
          </w:p>
        </w:tc>
        <w:tc>
          <w:tcPr>
            <w:tcW w:type="dxa" w:w="1542"/>
            <w:vAlign w:val="center"/>
            <w:tcBorders>
              <w:top w:val="nil" w:sz="4" w:color="000000"/>
              <w:bottom w:val="nil" w:sz="4"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2.99</w:t>
            </w:r>
          </w:p>
        </w:tc>
      </w:tr>
      <w:tr>
        <w:trPr>
          <w:cantSplit/>
        </w:trPr>
        <w:tc>
          <w:tcPr>
            <w:tcW w:type="dxa" w:w="1247"/>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1361"/>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LLM全量</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39.37</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16.54</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28.35</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3.94</w:t>
            </w:r>
          </w:p>
        </w:tc>
        <w:tc>
          <w:tcPr>
            <w:tcW w:type="dxa" w:w="1542"/>
            <w:vAlign w:val="center"/>
            <w:tcBorders>
              <w:top w:val="nil" w:sz="8" w:color="000000"/>
              <w:bottom w:val="nil" w:sz="4" w:color="000000"/>
              <w:left w:val="nil" w:sz="8" w:color="000000"/>
              <w:right w:val="nil" w:sz="8"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11.81</w:t>
            </w:r>
          </w:p>
        </w:tc>
      </w:tr>
      <w:tr>
        <w:trPr>
          <w:cantSplit/>
        </w:trPr>
        <w:tc>
          <w:tcPr>
            <w:tcW w:type="dxa" w:w="1247"/>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卫健委</w:t>
            </w:r>
          </w:p>
        </w:tc>
        <w:tc>
          <w:tcPr>
            <w:tcW w:type="dxa" w:w="1361"/>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规则全量</w:t>
            </w:r>
          </w:p>
        </w:tc>
        <w:tc>
          <w:tcPr>
            <w:tcW w:type="dxa" w:w="1542"/>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41.11</w:t>
            </w:r>
          </w:p>
        </w:tc>
        <w:tc>
          <w:tcPr>
            <w:tcW w:type="dxa" w:w="1542"/>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15.56</w:t>
            </w:r>
          </w:p>
        </w:tc>
        <w:tc>
          <w:tcPr>
            <w:tcW w:type="dxa" w:w="1542"/>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27.78</w:t>
            </w:r>
          </w:p>
        </w:tc>
        <w:tc>
          <w:tcPr>
            <w:tcW w:type="dxa" w:w="1542"/>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5.56</w:t>
            </w:r>
          </w:p>
        </w:tc>
        <w:tc>
          <w:tcPr>
            <w:tcW w:type="dxa" w:w="1542"/>
            <w:vAlign w:val="center"/>
            <w:tcBorders>
              <w:top w:val="nil" w:sz="4" w:color="000000"/>
              <w:bottom w:val="single" w:sz="8" w:color="000000"/>
              <w:left w:val="nil" w:sz="4" w:color="000000"/>
              <w:right w:val="nil" w:sz="4" w:color="000000"/>
            </w:tcBorders>
            <w:tcMar>
              <w:top w:w="90" w:type="dxa"/>
              <w:bottom w:w="90" w:type="dxa"/>
              <w:left w:w="75" w:type="dxa"/>
              <w:right w:w="75" w:type="dxa"/>
            </w:tcMar>
          </w:tcPr>
          <w:p>
            <w:pPr>
              <w:spacing w:before="0" w:after="0" w:line="276" w:lineRule="auto"/>
              <w:ind w:firstLine="0"/>
              <w:jc w:val="center"/>
            </w:pPr>
            <w:r>
              <w:rPr>
                <w:rFonts w:ascii="Times New Roman" w:hAnsi="Times New Roman" w:eastAsia="宋体"/>
                <w:b w:val="0"/>
                <w:sz w:val="21"/>
              </w:rPr>
              <w:t>10.00</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分母为相应方法在本部门五个维度编码为1的句段数之和，同一句段可涉及多个维度。LLM与规则全量分别有60项、242项待定，均未改为0。两种方法在15项部门间维度占比比较中有13项方向一致；药监局与卫健委的安全性、公平性排序不同。</w:t>
      </w:r>
    </w:p>
    <w:p>
      <w:pPr>
        <w:keepNext/>
        <w:pageBreakBefore/>
        <w:jc w:val="center"/>
      </w:pPr>
      <w:r>
        <w:drawing>
          <wp:inline>
            <wp:extent cx="6547104" cy="2482844"/>
            <wp:docPr id="1" name="Picture 1"/>
            <wp:cNvGraphicFramePr>
              <a:graphicFrameLocks noChangeAspect="1"/>
            </wp:cNvGraphicFramePr>
            <a:graphic>
              <a:graphicData uri="http://schemas.openxmlformats.org/drawingml/2006/picture">
                <pic:pic>
                  <pic:nvPicPr>
                    <pic:cNvPr id="0" name="两种方法全量对照图1.png"/>
                    <pic:cNvPicPr/>
                  </pic:nvPicPr>
                  <pic:blipFill>
                    <a:blip r:embed="rId13"/>
                    <a:stretch>
                      <a:fillRect/>
                    </a:stretch>
                  </pic:blipFill>
                  <pic:spPr>
                    <a:xfrm>
                      <a:off x="0" y="0"/>
                      <a:ext cx="6547104" cy="2482844"/>
                    </a:xfrm>
                    <a:prstGeom prst="rect"/>
                  </pic:spPr>
                </pic:pic>
              </a:graphicData>
            </a:graphic>
          </wp:inline>
        </w:drawing>
      </w:r>
    </w:p>
    <w:p>
      <w:pPr>
        <w:pStyle w:val="60"/>
        <w:keepNext w:val="1"/>
        <w:keepLines w:val="0"/>
      </w:pPr>
      <w:r>
        <w:rPr>
          <w:rFonts w:ascii="Times New Roman" w:hAnsi="Times New Roman" w:eastAsia="宋体" w:cs="Times New Roman"/>
          <w:color w:val="000000"/>
          <w:sz w:val="21"/>
          <w:szCs w:val="21"/>
          <w:b w:val="0"/>
          <w:bCs w:val="0"/>
        </w:rPr>
        <w:t>图E1 三部门五维注意力占比</w:t>
      </w:r>
    </w:p>
    <w:p>
      <w:pPr>
        <w:pStyle w:val="60"/>
        <w:keepNext w:val="1"/>
        <w:keepLines w:val="0"/>
      </w:pPr>
      <w:r>
        <w:rPr>
          <w:rFonts w:ascii="Times New Roman" w:hAnsi="Times New Roman" w:eastAsia="宋体" w:cs="Times New Roman"/>
          <w:b w:val="0"/>
          <w:color w:val="000000"/>
          <w:sz w:val="21"/>
        </w:rPr>
        <w:t>Figure E1 Five-Dimensional Attention Shares by Department</w:t>
      </w:r>
    </w:p>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注：黑色柱为LLM，灰色柱为规则编码。分母为各部门五维标签总数，五维合计为100%。数值保留1位小数。</w:t>
      </w:r>
    </w:p>
    <w:p>
      <w:pPr>
        <w:keepNext/>
        <w:jc w:val="center"/>
      </w:pPr>
      <w:r>
        <w:drawing>
          <wp:inline>
            <wp:extent cx="6547104" cy="2462940"/>
            <wp:docPr id="2" name="Picture 2"/>
            <wp:cNvGraphicFramePr>
              <a:graphicFrameLocks noChangeAspect="1"/>
            </wp:cNvGraphicFramePr>
            <a:graphic>
              <a:graphicData uri="http://schemas.openxmlformats.org/drawingml/2006/picture">
                <pic:pic>
                  <pic:nvPicPr>
                    <pic:cNvPr id="0" name="两种方法全量对照图2.png"/>
                    <pic:cNvPicPr/>
                  </pic:nvPicPr>
                  <pic:blipFill>
                    <a:blip r:embed="rId14"/>
                    <a:stretch>
                      <a:fillRect/>
                    </a:stretch>
                  </pic:blipFill>
                  <pic:spPr>
                    <a:xfrm>
                      <a:off x="0" y="0"/>
                      <a:ext cx="6547104" cy="2462940"/>
                    </a:xfrm>
                    <a:prstGeom prst="rect"/>
                  </pic:spPr>
                </pic:pic>
              </a:graphicData>
            </a:graphic>
          </wp:inline>
        </w:drawing>
      </w:r>
    </w:p>
    <w:p>
      <w:pPr>
        <w:pStyle w:val="60"/>
        <w:keepNext w:val="1"/>
        <w:keepLines w:val="0"/>
      </w:pPr>
      <w:r>
        <w:rPr>
          <w:rFonts w:ascii="Times New Roman" w:hAnsi="Times New Roman" w:eastAsia="宋体" w:cs="Times New Roman"/>
          <w:color w:val="000000"/>
          <w:sz w:val="21"/>
          <w:szCs w:val="21"/>
          <w:b w:val="0"/>
          <w:bCs w:val="0"/>
        </w:rPr>
        <w:t>图E2 三部门五维评价内容占全部句段的比例</w:t>
      </w:r>
    </w:p>
    <w:p>
      <w:pPr>
        <w:pStyle w:val="60"/>
        <w:keepNext w:val="1"/>
        <w:keepLines w:val="0"/>
      </w:pPr>
      <w:r>
        <w:rPr>
          <w:rFonts w:ascii="Times New Roman" w:hAnsi="Times New Roman" w:eastAsia="宋体" w:cs="Times New Roman"/>
          <w:b w:val="0"/>
          <w:color w:val="000000"/>
          <w:sz w:val="21"/>
        </w:rPr>
        <w:t>Figure E2 Proportion of All Passages Addressing Each Evaluation Dimension by Department</w:t>
      </w:r>
    </w:p>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注：黑色柱为LLM，灰色柱为规则编码。分母为各部门全部句段数，同一句段可涉及多个维度，五维之和不必为100%。数值保留1位小数。</w:t>
      </w:r>
    </w:p>
    <w:p>
      <w:r>
        <w:t>参考文献</w:t>
      </w:r>
    </w:p>
    <w:p>
      <w:r>
        <w:rPr>
          <w:rFonts w:ascii="Times New Roman" w:hAnsi="Times New Roman" w:eastAsia="宋体"/>
          <w:b w:val="0"/>
          <w:sz w:val="21"/>
        </w:rPr>
        <w:t>[1] TÖRNBERG P. Best practices for text annotation with large language models[J]. Sociologica,2024,18(2):67-85. DOI:10.6092/issn.1971-8853/19461.</w:t>
      </w:r>
    </w:p>
    <w:sectPr>
      <w:footnotePr>
        <w:numRestart w:val="eachSect"/>
      </w:footnotePr>
      <w:pgSz w:w="11906" w:h="16838"/>
      <w:pgMar w:top="720" w:right="720" w:bottom="720" w:left="72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color w:val="000000"/>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ascii="Times New Roman" w:hAnsi="Times New Roman" w:eastAsia="黑体" w:cs="Times New Roman"/>
      <w:b/>
      <w:color w:val="000000"/>
      <w:sz w:val="21"/>
      <w:szCs w:val="21"/>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21"/>
      <w:szCs w:val="21"/>
      <w:rFonts w:ascii="Times New Roman" w:hAnsi="Times New Roman" w:eastAsia="宋体" w:cs="Times New Roman"/>
      <w:color w:val="000000"/>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3" Type="http://schemas.openxmlformats.org/officeDocument/2006/relationships/image" Target="media/image3.png"/><Relationship Id="rId4"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1288</TotalTime>
  <ScaleCrop>false</ScaleCrop>
  <LinksUpToDate>false</LinksUpToDate>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
  <cp:lastModifiedBy/>
  <dcterms:modified xsi:type="dcterms:W3CDTF">2026-09-15T09:45:02Z</dcterms:modified>
  <cp:revision>33</cp:revision>
  <dc:subject/>
  <cp:keywords/>
  <dc:description/>
  <cp:category/>
  <dc:identifier/>
  <dc:language/>
  <dc:title>创新药评价的注意力配置差异与协调路径</dc:title>
</cp:coreProperties>
</file>