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eastAsia="宋体"/>
          <w:b/>
          <w:sz w:val="18"/>
        </w:rPr>
      </w:r>
    </w:p>
    <w:p>
      <w:pPr>
        <w:spacing w:before="0" w:after="240"/>
        <w:jc w:val="left"/>
      </w:pPr>
      <w:r>
        <w:rPr>
          <w:rFonts w:ascii="Times New Roman" w:hAnsi="Times New Roman" w:eastAsia="宋体"/>
          <w:b w:val="0"/>
          <w:sz w:val="18"/>
        </w:rPr>
      </w:r>
    </w:p>
    <w:p>
      <w:pPr>
        <w:spacing w:after="120"/>
        <w:pBdr>
          <w:bottom w:val="single" w:sz="6" w:space="1" w:color="000000"/>
        </w:pBdr>
      </w:pPr>
    </w:p>
    <w:p>
      <w:pPr>
        <w:spacing w:before="240" w:after="120"/>
        <w:jc w:val="center"/>
      </w:pPr>
      <w:r>
        <w:rPr>
          <w:rFonts w:ascii="Arial" w:hAnsi="Arial" w:eastAsia="黑体"/>
          <w:b/>
          <w:sz w:val="36"/>
        </w:rPr>
        <w:t>＂医保—创新药目录—商业保险＂</w:t>
        <w:br/>
        <w:t>三层支付体系的构建逻辑与制度设计*</w:t>
      </w:r>
    </w:p>
    <w:p>
      <w:pPr>
        <w:spacing w:before="160" w:after="80"/>
        <w:jc w:val="center"/>
      </w:pPr>
      <w:r>
        <w:rPr>
          <w:rFonts w:ascii="Times New Roman" w:hAnsi="Times New Roman" w:eastAsia="宋体"/>
          <w:b w:val="0"/>
          <w:sz w:val="21"/>
        </w:rPr>
      </w:r>
    </w:p>
    <w:p>
      <w:pPr>
        <w:spacing w:before="0" w:after="40"/>
        <w:jc w:val="center"/>
      </w:pPr>
      <w:r>
        <w:rPr>
          <w:rFonts w:ascii="Times New Roman" w:hAnsi="Times New Roman" w:eastAsia="宋体"/>
          <w:b w:val="0"/>
          <w:sz w:val="18"/>
        </w:rPr>
      </w:r>
    </w:p>
    <w:p>
      <w:pPr>
        <w:spacing w:before="0" w:after="40"/>
        <w:jc w:val="center"/>
      </w:pPr>
      <w:r>
        <w:rPr>
          <w:rFonts w:ascii="Times New Roman" w:hAnsi="Times New Roman" w:eastAsia="宋体"/>
          <w:b w:val="0"/>
          <w:sz w:val="18"/>
        </w:rPr>
      </w:r>
    </w:p>
    <w:p>
      <w:pPr>
        <w:spacing w:before="0" w:after="200"/>
        <w:jc w:val="center"/>
      </w:pPr>
      <w:r>
        <w:rPr>
          <w:rFonts w:ascii="Times New Roman" w:hAnsi="Times New Roman" w:eastAsia="宋体"/>
          <w:b w:val="0"/>
          <w:sz w:val="18"/>
        </w:rPr>
      </w:r>
    </w:p>
    <w:p>
      <w:pPr>
        <w:spacing w:before="80" w:after="80"/>
        <w:ind w:left="567" w:right="567"/>
        <w:jc w:val="both"/>
      </w:pPr>
      <w:r>
        <w:rPr>
          <w:rFonts w:ascii="Arial" w:hAnsi="Arial" w:eastAsia="黑体"/>
          <w:b/>
          <w:sz w:val="21"/>
        </w:rPr>
        <w:t>摘  要：</w:t>
      </w:r>
      <w:r>
        <w:rPr>
          <w:rFonts w:ascii="Times New Roman" w:hAnsi="Times New Roman" w:eastAsia="宋体"/>
          <w:b w:val="0"/>
          <w:sz w:val="21"/>
        </w:rPr>
        <w:t>我国现行单一医保目录体系在“保基本”与“促创新”两个目标之间存在内在制度张力，导致创新药在准入、定价、续约全链条遭遇系统性价值折损，商业保险的补充功能亦长期缺位。十五五规划明确提出“完善创新药目录、鼓励商业保险扩大创新药支付范围”，为破解上述制度困境指明方向。本文基于制度经济学视角，归纳现行支付体系的四重困境，剖析单一目录承载双重目标的根源矛盾，提出构建“医保基本目录—创新药目录—商业保险”三层支付体系的制度框架与协同机制，并结合英国、德国、中国台湾等国际经验，提出分阶段推进的政策路径。</w:t>
      </w:r>
    </w:p>
    <w:p>
      <w:pPr>
        <w:spacing w:before="40" w:after="80"/>
        <w:ind w:left="567" w:right="567"/>
        <w:jc w:val="left"/>
      </w:pPr>
      <w:r>
        <w:rPr>
          <w:rFonts w:ascii="Arial" w:hAnsi="Arial" w:eastAsia="黑体"/>
          <w:b/>
          <w:sz w:val="21"/>
        </w:rPr>
        <w:t>关键词：</w:t>
      </w:r>
      <w:r>
        <w:rPr>
          <w:rFonts w:ascii="Times New Roman" w:hAnsi="Times New Roman" w:eastAsia="宋体"/>
          <w:b w:val="0"/>
          <w:sz w:val="21"/>
        </w:rPr>
        <w:t>创新药目录  三层支付体系  商业保险  医保改革</w:t>
      </w:r>
    </w:p>
    <w:p>
      <w:pPr>
        <w:spacing w:before="40" w:after="200"/>
        <w:jc w:val="left"/>
      </w:pPr>
      <w:r>
        <w:rPr>
          <w:rFonts w:ascii="Times New Roman" w:hAnsi="Times New Roman" w:eastAsia="宋体"/>
          <w:b w:val="0"/>
          <w:sz w:val="18"/>
        </w:rPr>
      </w:r>
    </w:p>
    <w:p>
      <w:pPr>
        <w:spacing w:before="200" w:after="80"/>
        <w:jc w:val="left"/>
      </w:pPr>
      <w:r>
        <w:rPr>
          <w:rFonts w:ascii="Arial" w:hAnsi="Arial" w:eastAsia="黑体"/>
          <w:b/>
          <w:sz w:val="24"/>
        </w:rPr>
        <w:t>0  引言</w:t>
      </w:r>
    </w:p>
    <w:p>
      <w:pPr>
        <w:spacing w:before="0" w:after="80"/>
        <w:ind w:firstLine="420"/>
        <w:jc w:val="both"/>
      </w:pPr>
      <w:r>
        <w:rPr>
          <w:rFonts w:ascii="Times New Roman" w:hAnsi="Times New Roman" w:eastAsia="宋体"/>
          <w:b w:val="0"/>
          <w:sz w:val="21"/>
        </w:rPr>
        <w:t>党的二十届三中全会与“十五五”规划明确提出“健全医保支持创新药和医疗器械高质量发展机制，完善创新药目录，鼓励商业保险扩大创新药支付范围”[1]，将创新药支付体系改革列为深化医药卫生体制改革的核心议题。近年来，我国创新药研发能力快速提升，2025年国家药监局批准1类创新药76个，同比增长58.3%，创历史新高[2]。然而，创新药获批上市后面临的支付困境日益突出：医保谈判价格压降幅度过大、高价创新药商业保险覆盖不足、续约规则不透明等问题严重制约了创新药的可及性与产业可持续发展。</w:t>
      </w:r>
    </w:p>
    <w:p>
      <w:pPr>
        <w:spacing w:before="0" w:after="80"/>
        <w:ind w:firstLine="420"/>
        <w:jc w:val="both"/>
      </w:pPr>
      <w:r>
        <w:rPr>
          <w:rFonts w:ascii="Times New Roman" w:hAnsi="Times New Roman" w:eastAsia="宋体"/>
          <w:b w:val="0"/>
          <w:sz w:val="21"/>
        </w:rPr>
        <w:t>现有研究多聚焦于医保谈判机制优化、药物经济学评价方法改进等单一环节，鲜有研究从制度整体视角审视支付体系的结构性矛盾。本文认为，上述问题的根源在于现行单一医保目录被同时赋予“保基本”与“促创新”两个内在冲突的政策目标，制度性价值折损因此成为必然。本文基于制度经济学视角，提出“医保基本目录—创新药目录—商业保险”三层支付体系的构建逻辑与制度设计方案，并结合国际经验为“十五五”时期的政策推进提供参考。</w:t>
      </w:r>
    </w:p>
    <w:p>
      <w:pPr>
        <w:spacing w:before="200" w:after="80"/>
        <w:jc w:val="left"/>
      </w:pPr>
      <w:r>
        <w:rPr>
          <w:rFonts w:ascii="Arial" w:hAnsi="Arial" w:eastAsia="黑体"/>
          <w:b/>
          <w:sz w:val="24"/>
        </w:rPr>
        <w:t>1  现行单一目录体系的制度困境</w:t>
      </w:r>
    </w:p>
    <w:p>
      <w:pPr>
        <w:spacing w:before="0" w:after="80"/>
        <w:ind w:firstLine="420"/>
        <w:jc w:val="both"/>
      </w:pPr>
      <w:r>
        <w:rPr>
          <w:rFonts w:ascii="Times New Roman" w:hAnsi="Times New Roman" w:eastAsia="宋体"/>
          <w:b w:val="0"/>
          <w:sz w:val="21"/>
        </w:rPr>
        <w:t>我国创新药支付体系的困境并非单一环节的技术性问题，而是涉及评价、定价、续约、商保四个层面的系统性失衡，这四重困境共同指向同一制度根源。</w:t>
      </w:r>
    </w:p>
    <w:p>
      <w:pPr>
        <w:spacing w:before="120" w:after="60"/>
        <w:jc w:val="left"/>
      </w:pPr>
      <w:r>
        <w:rPr>
          <w:rFonts w:ascii="Arial" w:hAnsi="Arial" w:eastAsia="黑体"/>
          <w:b/>
          <w:sz w:val="21"/>
        </w:rPr>
        <w:t>1.1  评价体系的多维失衡</w:t>
      </w:r>
    </w:p>
    <w:p>
      <w:pPr>
        <w:spacing w:before="0" w:after="80"/>
        <w:ind w:firstLine="420"/>
        <w:jc w:val="both"/>
      </w:pPr>
      <w:r>
        <w:rPr>
          <w:rFonts w:ascii="Times New Roman" w:hAnsi="Times New Roman" w:eastAsia="宋体"/>
          <w:b w:val="0"/>
          <w:color w:val="000000"/>
          <w:sz w:val="21"/>
        </w:rPr>
        <w:t>在临床价值评价维度，现行体系对临床需求导向不足，同质化竞争严重。数据显示，我国上市的Ⅰ类创新药中抗肿瘤药物占比过高，大量创新药聚焦相同热门靶点，靶点集中度显著高于全球平均水平【待补充：具体数据及来源】。真实世界证据（RWE）应用严重不足，医保谈判高度依赖临床试验数据，忽视上市后实际疗效差异，导致部分药物评价依据失真【待补充：引用来源】。</w:t>
      </w:r>
      <w:r>
        <w:rPr>
          <w:b w:val="0"/>
          <w:color w:val="CC6600"/>
          <w:sz w:val="18"/>
        </w:rPr>
      </w:r>
    </w:p>
    <w:p>
      <w:pPr>
        <w:spacing w:before="0" w:after="80"/>
        <w:ind w:firstLine="420"/>
        <w:jc w:val="both"/>
      </w:pPr>
      <w:r>
        <w:rPr>
          <w:rFonts w:ascii="Times New Roman" w:hAnsi="Times New Roman" w:eastAsia="宋体"/>
          <w:b w:val="0"/>
          <w:color w:val="000000"/>
          <w:sz w:val="21"/>
        </w:rPr>
        <w:t>在经济价值评价维度，药物经济学评价的科学性不足是核心问题。健康效用值（QALY权重）本土化缺失，多直接套用欧美人群EQ-5D权重；支付阈值设定僵化，机械采用倍数人均GDP作为阈值，未能因地制宜【待补充：引用来源】。以PD-1抑制剂为例，经医保谈判后年治疗费用大幅下降，企业毛利率显著压缩，被迫削减早期研发管线，形成“研发投入高—定价被压缩—回报不足—创新动力下降”的恶性循环【待补充：具体数据及来源】。</w:t>
      </w:r>
      <w:r>
        <w:rPr>
          <w:b w:val="0"/>
          <w:color w:val="CC6600"/>
          <w:sz w:val="18"/>
        </w:rPr>
      </w:r>
    </w:p>
    <w:p>
      <w:pPr>
        <w:spacing w:before="0" w:after="80"/>
        <w:ind w:firstLine="420"/>
        <w:jc w:val="both"/>
      </w:pPr>
      <w:r>
        <w:rPr>
          <w:rFonts w:ascii="Times New Roman" w:hAnsi="Times New Roman" w:eastAsia="宋体"/>
          <w:b w:val="0"/>
          <w:color w:val="000000"/>
          <w:sz w:val="21"/>
        </w:rPr>
        <w:t>在社会价值评价维度，罕见病与公共卫生药物评价缺位。现有评价体系过度依赖“成本—效果比”，而罕见病药物因患者基数小，在现行框架内必然“不经济”。我国医保目录中罕见病药物覆盖数量与发达国家相比存在较大差距【待补充：具体数据及来源】。此外，创新药可及性存在显著区域失衡，城市三甲医院与县级医院之间的覆盖率差距突出【待补充：具体数据及来源】。</w:t>
      </w:r>
      <w:r>
        <w:rPr>
          <w:b w:val="0"/>
          <w:color w:val="CC6600"/>
          <w:sz w:val="18"/>
        </w:rPr>
      </w:r>
    </w:p>
    <w:p>
      <w:pPr>
        <w:spacing w:before="120" w:after="60"/>
        <w:jc w:val="left"/>
      </w:pPr>
      <w:r>
        <w:rPr>
          <w:rFonts w:ascii="Arial" w:hAnsi="Arial" w:eastAsia="黑体"/>
          <w:b/>
          <w:sz w:val="21"/>
        </w:rPr>
        <w:t>1.2  谈判定价与续约机制的结构性扭曲</w:t>
      </w:r>
    </w:p>
    <w:p>
      <w:pPr>
        <w:spacing w:before="0" w:after="80"/>
        <w:ind w:firstLine="420"/>
        <w:jc w:val="both"/>
      </w:pPr>
      <w:r>
        <w:rPr>
          <w:rFonts w:ascii="Times New Roman" w:hAnsi="Times New Roman" w:eastAsia="宋体"/>
          <w:b w:val="0"/>
          <w:color w:val="000000"/>
          <w:sz w:val="21"/>
        </w:rPr>
        <w:t>在谈判定价环节，“定价机制与价值脱钩”是核心矛盾。国际参考定价存在明显“水土不服”：谈判过程中对标价格的选取未能充分考虑中国承担的研发成本与市场特殊性【待补充：具体案例及来源】。同类药物定价趋同问题突出，未能体现不同产品在临床价值上的实质差异【待补充：具体数据及来源】。市场独占期保护不足进一步削弱创新回报，仿制药上市速度较快，导致原研药回报周期大幅压缩【待补充：引用来源】。</w:t>
      </w:r>
      <w:r>
        <w:rPr>
          <w:b w:val="0"/>
          <w:color w:val="CC6600"/>
          <w:sz w:val="18"/>
        </w:rPr>
      </w:r>
    </w:p>
    <w:p>
      <w:pPr>
        <w:spacing w:before="0" w:after="80"/>
        <w:ind w:firstLine="420"/>
        <w:jc w:val="both"/>
      </w:pPr>
      <w:r>
        <w:rPr>
          <w:rFonts w:ascii="Times New Roman" w:hAnsi="Times New Roman" w:eastAsia="宋体"/>
          <w:b w:val="0"/>
          <w:color w:val="000000"/>
          <w:sz w:val="21"/>
        </w:rPr>
        <w:t>在续约环节，短期控费逻辑与长期创新激励之间的冲突贯穿始终。续约规则透明度不足，同类产品续约降幅差异悬殊，企业长期策略制定极为困难【待补充：引用来源】。续约评估过度依赖短期数据，而部分创新药需较长时间才能体现长期价值。风险共担机制完全缺失，高不确定性药物在续约时被迫大幅降价，而非采用“疗效对赌协议”等国际通行的创新支付方式【待补充：引用来源】。</w:t>
      </w:r>
      <w:r>
        <w:rPr>
          <w:b w:val="0"/>
          <w:color w:val="CC6600"/>
          <w:sz w:val="18"/>
        </w:rPr>
      </w:r>
    </w:p>
    <w:p>
      <w:pPr>
        <w:spacing w:before="120" w:after="60"/>
        <w:jc w:val="left"/>
      </w:pPr>
      <w:r>
        <w:rPr>
          <w:rFonts w:ascii="Arial" w:hAnsi="Arial" w:eastAsia="黑体"/>
          <w:b/>
          <w:sz w:val="21"/>
        </w:rPr>
        <w:t>1.3  利益相关方的深层博弈困境</w:t>
      </w:r>
    </w:p>
    <w:p>
      <w:pPr>
        <w:spacing w:before="0" w:after="80"/>
        <w:ind w:firstLine="420"/>
        <w:jc w:val="both"/>
      </w:pPr>
      <w:r>
        <w:rPr>
          <w:rFonts w:ascii="Times New Roman" w:hAnsi="Times New Roman" w:eastAsia="宋体"/>
          <w:b w:val="0"/>
          <w:color w:val="000000"/>
          <w:sz w:val="21"/>
        </w:rPr>
        <w:t>上述制度困境背后，是企业、医保、医疗机构三方之间的系统性激励失调。医保部门面临“短期控费保基本”与“长期创新保供给”的零和博弈：近年来医保基金支出增速持续高于收入增速，部分省份出现当期赤字，控费压力持续强化【待补充：具体数据来源】。医疗机构受制于药占比考核与DRG/DIP支付压力，高价创新药进院壁垒依然显著【待补充：具体案例来源】。三方博弈在现行制度框架内趋向“低价续约—回报不足—研发收缩—患者无药可用”的恶性均衡。</w:t>
      </w:r>
      <w:r>
        <w:rPr>
          <w:b w:val="0"/>
          <w:color w:val="CC6600"/>
          <w:sz w:val="18"/>
        </w:rPr>
      </w:r>
    </w:p>
    <w:p>
      <w:pPr>
        <w:spacing w:before="120" w:after="60"/>
        <w:jc w:val="left"/>
      </w:pPr>
      <w:r>
        <w:rPr>
          <w:rFonts w:ascii="Arial" w:hAnsi="Arial" w:eastAsia="黑体"/>
          <w:b/>
          <w:sz w:val="21"/>
        </w:rPr>
        <w:t>1.4  商业保险的功能性缺位</w:t>
      </w:r>
    </w:p>
    <w:p>
      <w:pPr>
        <w:spacing w:before="0" w:after="80"/>
        <w:ind w:firstLine="420"/>
        <w:jc w:val="both"/>
      </w:pPr>
      <w:r>
        <w:rPr>
          <w:rFonts w:ascii="Times New Roman" w:hAnsi="Times New Roman" w:eastAsia="宋体"/>
          <w:b w:val="0"/>
          <w:color w:val="000000"/>
          <w:sz w:val="21"/>
        </w:rPr>
        <w:t>商业保险在我国创新药支付体系中长期处于边缘地位。从覆盖现状看，高价创新药几乎完全依赖患者自费，“惠民保”等普惠型产品覆盖面广但赔付标准低、产品同质化严重，无法有效承接高价创新药的支付缺口【待补充：具体数据来源】。从制度设计看，医保与商保之间存在严重的数据壁垒与系统割裂，全国层面尚无统一的数据共享标准与清分平台【待补充：引用来源】。更深层的问题是商保定位模糊，致使其应有的价格发现与风险分担功能无从发挥。</w:t>
      </w:r>
      <w:r>
        <w:rPr>
          <w:b w:val="0"/>
          <w:color w:val="CC6600"/>
          <w:sz w:val="18"/>
        </w:rPr>
      </w:r>
    </w:p>
    <w:p>
      <w:pPr>
        <w:spacing w:before="200" w:after="80"/>
        <w:jc w:val="left"/>
      </w:pPr>
      <w:r>
        <w:rPr>
          <w:rFonts w:ascii="Arial" w:hAnsi="Arial" w:eastAsia="黑体"/>
          <w:b/>
          <w:sz w:val="24"/>
        </w:rPr>
        <w:t>2  制度困境的根源：单一目录承载双重目标的内在悖论</w:t>
      </w:r>
    </w:p>
    <w:p>
      <w:pPr>
        <w:spacing w:before="120" w:after="60"/>
        <w:jc w:val="left"/>
      </w:pPr>
      <w:r>
        <w:rPr>
          <w:rFonts w:ascii="Arial" w:hAnsi="Arial" w:eastAsia="黑体"/>
          <w:b/>
          <w:sz w:val="21"/>
        </w:rPr>
        <w:t>2.1  “保基本”与“促创新”的制度性冲突</w:t>
      </w:r>
    </w:p>
    <w:p>
      <w:pPr>
        <w:spacing w:before="0" w:after="80"/>
        <w:ind w:firstLine="420"/>
        <w:jc w:val="both"/>
      </w:pPr>
      <w:r>
        <w:rPr>
          <w:rFonts w:ascii="Times New Roman" w:hAnsi="Times New Roman" w:eastAsia="宋体"/>
          <w:b w:val="0"/>
          <w:sz w:val="21"/>
        </w:rPr>
        <w:t>现行医保目录的根本困境，在于一套以“保基本、控费用”为核心逻辑的制度框架，被同时赋予了“促进创新药可及性”这一内在冲突的政策目标。基本医保的制度逻辑要求在有限基金池约束下优先保障广泛人群受益，天然导向“价格压缩”与“标准化支付”，而与创新药所需的“价值溢价”与“差异化定价”形成根本冲突。在此背景下，要求同一目录同时实现“广覆盖保基本”与“高价值促创新”，本质上是一个制度性悖论。</w:t>
      </w:r>
    </w:p>
    <w:p>
      <w:pPr>
        <w:spacing w:before="0" w:after="80"/>
        <w:ind w:firstLine="420"/>
        <w:jc w:val="both"/>
      </w:pPr>
      <w:r>
        <w:rPr>
          <w:rFonts w:ascii="Times New Roman" w:hAnsi="Times New Roman" w:eastAsia="宋体"/>
          <w:b w:val="0"/>
          <w:color w:val="000000"/>
          <w:sz w:val="21"/>
        </w:rPr>
        <w:t>这一悖论的后果是系统性的“价值折损”：创新药进入医保前须大幅降价，进入后又面临持续压价的续约机制，研发投入回收周期大幅延长，最终导致企业创新动力的系统性衰减【待补充：具体数据来源】。近年来，已有企业主动放弃部分创新药的医保续约，选择退守自费市场，正是这一制度悖论的直接后果。</w:t>
      </w:r>
      <w:r>
        <w:rPr>
          <w:b w:val="0"/>
          <w:color w:val="CC6600"/>
          <w:sz w:val="18"/>
        </w:rPr>
      </w:r>
    </w:p>
    <w:p>
      <w:pPr>
        <w:spacing w:before="120" w:after="60"/>
        <w:jc w:val="left"/>
      </w:pPr>
      <w:r>
        <w:rPr>
          <w:rFonts w:ascii="Arial" w:hAnsi="Arial" w:eastAsia="黑体"/>
          <w:b/>
          <w:sz w:val="21"/>
        </w:rPr>
        <w:t>2.2  国际分层支付体系的启示</w:t>
      </w:r>
    </w:p>
    <w:p>
      <w:pPr>
        <w:spacing w:before="0" w:after="80"/>
        <w:ind w:firstLine="420"/>
        <w:jc w:val="both"/>
      </w:pPr>
      <w:r>
        <w:rPr>
          <w:rFonts w:ascii="Times New Roman" w:hAnsi="Times New Roman" w:eastAsia="宋体"/>
          <w:b w:val="0"/>
          <w:sz w:val="21"/>
        </w:rPr>
        <w:t>国际主要创新药大国普遍通过制度分层解决这一矛盾。英国建立了NHS基础医疗保障与“癌症药物基金（Cancer Drugs Fund）”并行的双轨制度，后者专门用于具有潜力但证据尚不充分的创新肿瘤药物，配合NICE疗效支付协议（Outcome-based Agreements），以真实世界数据动态调整支付比例[21]。德国通过《药品市场再组织法案（AMNOG）》建立创新药上市后附加价值评估体系，将定价与附加临床价值直接挂钩，商业保险在前期提供补充支付以保障可及性[22]。中国台湾地区自2023年起启动“药品真实世界绩效验证计划”，形成“先商保验证、后健保准入”的梯度机制[23]。</w:t>
      </w:r>
    </w:p>
    <w:p>
      <w:pPr>
        <w:spacing w:before="0" w:after="80"/>
        <w:ind w:firstLine="420"/>
        <w:jc w:val="both"/>
      </w:pPr>
      <w:r>
        <w:rPr>
          <w:rFonts w:ascii="Times New Roman" w:hAnsi="Times New Roman" w:eastAsia="宋体"/>
          <w:b w:val="0"/>
          <w:sz w:val="21"/>
        </w:rPr>
        <w:t>国际经验的共同启示在于：有效的创新药支付体系，必然是功能分工清晰的多层次结构，而非单一目录的无限拉伸。制度分层是破解“保基本—促创新”双重目标悖论的核心路径。</w:t>
      </w:r>
    </w:p>
    <w:p>
      <w:pPr>
        <w:spacing w:before="200" w:after="80"/>
        <w:jc w:val="left"/>
      </w:pPr>
      <w:r>
        <w:rPr>
          <w:rFonts w:ascii="Arial" w:hAnsi="Arial" w:eastAsia="黑体"/>
          <w:b/>
          <w:sz w:val="24"/>
        </w:rPr>
        <w:t>3  三层支付体系的构建逻辑与制度设计</w:t>
      </w:r>
    </w:p>
    <w:p>
      <w:pPr>
        <w:spacing w:before="0" w:after="80"/>
        <w:ind w:firstLine="420"/>
        <w:jc w:val="both"/>
      </w:pPr>
      <w:r>
        <w:rPr>
          <w:rFonts w:ascii="Times New Roman" w:hAnsi="Times New Roman" w:eastAsia="宋体"/>
          <w:b w:val="0"/>
          <w:sz w:val="21"/>
        </w:rPr>
        <w:t>基于上述分析，本文提出“医保基本目录—创新药目录—商业保险”三层支付体系。三层体系的核心逻辑是通过制度分层实现功能分工：基本医保聚焦“保基本”，创新药目录承载“促创新”，商业保险负责“补高端、担风险”，三者通过数据协同与机制协同形成有机整体（见图1）。</w:t>
      </w:r>
      <w:r>
        <w:rPr>
          <w:b/>
          <w:color w:val="CC0000"/>
          <w:sz w:val="18"/>
        </w:rPr>
        <w:br/>
      </w:r>
    </w:p>
    <w:p>
      <w:pPr>
        <w:spacing w:before="120" w:after="60"/>
        <w:jc w:val="left"/>
      </w:pPr>
      <w:r>
        <w:rPr>
          <w:rFonts w:ascii="Arial" w:hAnsi="Arial" w:eastAsia="黑体"/>
          <w:b/>
          <w:sz w:val="21"/>
        </w:rPr>
        <w:t>3.1  第一层：医保基本目录——保基本、划边界</w:t>
      </w:r>
    </w:p>
    <w:p>
      <w:pPr>
        <w:spacing w:before="0" w:after="80"/>
        <w:ind w:firstLine="420"/>
        <w:jc w:val="both"/>
      </w:pPr>
      <w:r>
        <w:rPr>
          <w:rFonts w:ascii="Times New Roman" w:hAnsi="Times New Roman" w:eastAsia="宋体"/>
          <w:b w:val="0"/>
          <w:sz w:val="21"/>
        </w:rPr>
        <w:t>第一层医保基本目录的功能定位应明确聚焦“保基本”：优先纳入临床必需、疗效确切、经济可及的药品，以广覆盖为首要目标，实施标准化定价与均一化支付。在此定位下，创新药进入基本目录应设置更严格的经济性门槛，避免以“促可及”为由无限纳入高价药品，从而压缩基金空间。</w:t>
      </w:r>
    </w:p>
    <w:p>
      <w:pPr>
        <w:spacing w:before="0" w:after="80"/>
        <w:ind w:firstLine="420"/>
        <w:jc w:val="both"/>
      </w:pPr>
      <w:r>
        <w:rPr>
          <w:rFonts w:ascii="Times New Roman" w:hAnsi="Times New Roman" w:eastAsia="宋体"/>
          <w:b w:val="0"/>
          <w:sz w:val="21"/>
        </w:rPr>
        <w:t>对于已纳入基本目录的创新药，应建立基于真实世界证据的动态调整机制：疗效数据持续支撑者维持支付，疗效不达预期者启动重议，将有限基金资源集中于有明确价值依据的药品，同时为第二层目录的建立腾出制度空间。</w:t>
      </w:r>
    </w:p>
    <w:p>
      <w:pPr>
        <w:spacing w:before="120" w:after="60"/>
        <w:jc w:val="left"/>
      </w:pPr>
      <w:r>
        <w:rPr>
          <w:rFonts w:ascii="Arial" w:hAnsi="Arial" w:eastAsia="黑体"/>
          <w:b/>
          <w:sz w:val="21"/>
        </w:rPr>
        <w:t>3.2  第二层：创新药目录——价值导向的独立评价通道</w:t>
      </w:r>
    </w:p>
    <w:p>
      <w:pPr>
        <w:spacing w:before="0" w:after="80"/>
        <w:ind w:firstLine="420"/>
        <w:jc w:val="both"/>
      </w:pPr>
      <w:r>
        <w:rPr>
          <w:rFonts w:ascii="Times New Roman" w:hAnsi="Times New Roman" w:eastAsia="宋体"/>
          <w:b w:val="0"/>
          <w:sz w:val="21"/>
        </w:rPr>
        <w:t>创新药目录是三层体系的核心创新所在，其根本逻辑是将“促创新”目标从基本医保中剥离，建立独立的价值导向评价机制。这一独立目录的设立，直接回应了十五五规划“完善创新药目录”的政策要求。</w:t>
      </w:r>
    </w:p>
    <w:p>
      <w:pPr>
        <w:spacing w:before="0" w:after="80"/>
        <w:ind w:firstLine="420"/>
        <w:jc w:val="both"/>
      </w:pPr>
      <w:r>
        <w:rPr>
          <w:rFonts w:ascii="Times New Roman" w:hAnsi="Times New Roman" w:eastAsia="宋体"/>
          <w:b w:val="0"/>
          <w:sz w:val="21"/>
        </w:rPr>
        <w:t>在准入标准上，创新药目录应以“临床价值增量”为核心评价指标，优先纳入具有显著未满足临床需求的突破性创新药、罕见病药物及高临床价值的首创药物（FIC）。评价方法应引入卫生技术评估（HTA）框架，建立本土化QALY计算标准，并将社会价值（传染病防控收益、患者家庭经济负担缓解等）纳入评估模型，突破现行“成本—效果比”单一维度的局限。</w:t>
      </w:r>
    </w:p>
    <w:p>
      <w:pPr>
        <w:spacing w:before="0" w:after="80"/>
        <w:ind w:firstLine="420"/>
        <w:jc w:val="both"/>
      </w:pPr>
      <w:r>
        <w:rPr>
          <w:rFonts w:ascii="Times New Roman" w:hAnsi="Times New Roman" w:eastAsia="宋体"/>
          <w:b w:val="0"/>
          <w:sz w:val="21"/>
        </w:rPr>
        <w:t>在支付机制上，创新药目录应推行基于疗效的风险共担协议：企业与支付方约定疗效阈值，达标则维持约定价格，未达标则触发价格重议或部分退款；对高价值不确定性药物（如细胞与基因疗法），可采用“分期支付”模式，将单次高额支付分散至3～5年疗效观察期，有效降低支付方风险。</w:t>
      </w:r>
    </w:p>
    <w:p>
      <w:pPr>
        <w:spacing w:before="0" w:after="80"/>
        <w:ind w:firstLine="420"/>
        <w:jc w:val="both"/>
      </w:pPr>
      <w:r>
        <w:rPr>
          <w:rFonts w:ascii="Times New Roman" w:hAnsi="Times New Roman" w:eastAsia="宋体"/>
          <w:b w:val="0"/>
          <w:sz w:val="21"/>
        </w:rPr>
        <w:t>在目录管理上，创新药目录应建立独立的动态调整机制，纳入周期从现行“一年一调”缩短至“按需评审”，并与商业保险目录建立联动——商保阶段积累的真实世界数据，可作为药品进入创新药目录的重要评估依据，形成“商保前置验证→数据沉淀→创新药目录准入”的梯度机制。</w:t>
      </w:r>
    </w:p>
    <w:p>
      <w:pPr>
        <w:spacing w:before="120" w:after="60"/>
        <w:jc w:val="left"/>
      </w:pPr>
      <w:r>
        <w:rPr>
          <w:rFonts w:ascii="Arial" w:hAnsi="Arial" w:eastAsia="黑体"/>
          <w:b/>
          <w:sz w:val="21"/>
        </w:rPr>
        <w:t>3.3  第三层：商业保险——风险共担与补充覆盖</w:t>
      </w:r>
    </w:p>
    <w:p>
      <w:pPr>
        <w:spacing w:before="0" w:after="80"/>
        <w:ind w:firstLine="420"/>
        <w:jc w:val="both"/>
      </w:pPr>
      <w:r>
        <w:rPr>
          <w:rFonts w:ascii="Times New Roman" w:hAnsi="Times New Roman" w:eastAsia="宋体"/>
          <w:b w:val="0"/>
          <w:sz w:val="21"/>
        </w:rPr>
        <w:t>商业保险在三层体系中承担双重功能：一是为医保尚未覆盖的高价创新药提供前置支付通道，通过“先商保验证、后目录准入”缩短患者等待期；二是通过真实世界数据积累，为创新药目录的准入决策提供实证依据，形成“商保验证—数据回流—目录准入”的良性闭环。</w:t>
      </w:r>
    </w:p>
    <w:p>
      <w:pPr>
        <w:spacing w:before="0" w:after="80"/>
        <w:ind w:firstLine="420"/>
        <w:jc w:val="both"/>
      </w:pPr>
      <w:r>
        <w:rPr>
          <w:rFonts w:ascii="Times New Roman" w:hAnsi="Times New Roman" w:eastAsia="宋体"/>
          <w:b w:val="0"/>
          <w:sz w:val="21"/>
        </w:rPr>
        <w:t>在制度设计上，应建立全国统一的商保创新药目录，明确准入标准与数据共享规范，结合本文调研中企业方提出的“一站式结算与清分平台”建议[26]，推动医保、商保与医院之间的实时清算与数据互通，目标是将理赔周期从现行7个工作日压缩至实时结算。在风险管理上，应构建由财政、医保与商保共同出资的风险分担基金，参照德国再保险机制分摊高价药物赔付的尾部风险，增强商保机构参与创新药支付的持续动力。</w:t>
      </w:r>
    </w:p>
    <w:p>
      <w:pPr>
        <w:spacing w:before="120" w:after="60"/>
        <w:jc w:val="left"/>
      </w:pPr>
      <w:r>
        <w:rPr>
          <w:rFonts w:ascii="Arial" w:hAnsi="Arial" w:eastAsia="黑体"/>
          <w:b/>
          <w:sz w:val="21"/>
        </w:rPr>
        <w:t>3.4  三层体系的协同机制</w:t>
      </w:r>
    </w:p>
    <w:p>
      <w:pPr>
        <w:spacing w:before="0" w:after="80"/>
        <w:ind w:firstLine="420"/>
        <w:jc w:val="both"/>
      </w:pPr>
      <w:r>
        <w:rPr>
          <w:rFonts w:ascii="Times New Roman" w:hAnsi="Times New Roman" w:eastAsia="宋体"/>
          <w:b w:val="0"/>
          <w:sz w:val="21"/>
        </w:rPr>
        <w:t>三层体系的有效运转依赖两个核心协同机制。其一为数据协同：建立覆盖三层体系的真实世界数据共享平台，以“原始数据不出域、数据可用不可见”的隐私计算技术标准实现安全流通，支撑各层级的动态决策与价格调整。其二为制度协同：建立由发改委统筹、医保局、银保监会、药监局、卫健委联合参与的跨部门协同机制，明确各层级的监管边界与职责分工，防止“医保局主导商保谈判”等角色错位现象，确保各层制度功能充分发挥。</w:t>
      </w:r>
    </w:p>
    <w:p>
      <w:pPr>
        <w:spacing w:before="200" w:after="80"/>
        <w:jc w:val="left"/>
      </w:pPr>
      <w:r>
        <w:rPr>
          <w:rFonts w:ascii="Arial" w:hAnsi="Arial" w:eastAsia="黑体"/>
          <w:b/>
          <w:sz w:val="24"/>
        </w:rPr>
        <w:t>4  政策建议</w:t>
      </w:r>
    </w:p>
    <w:p>
      <w:pPr>
        <w:spacing w:before="120" w:after="60"/>
        <w:jc w:val="left"/>
      </w:pPr>
      <w:r>
        <w:rPr>
          <w:rFonts w:ascii="Arial" w:hAnsi="Arial" w:eastAsia="黑体"/>
          <w:b/>
          <w:sz w:val="21"/>
        </w:rPr>
        <w:t>4.1  加快建立创新药独立目录制度</w:t>
      </w:r>
    </w:p>
    <w:p>
      <w:pPr>
        <w:spacing w:before="0" w:after="80"/>
        <w:ind w:firstLine="420"/>
        <w:jc w:val="both"/>
      </w:pPr>
      <w:r>
        <w:rPr>
          <w:rFonts w:ascii="Times New Roman" w:hAnsi="Times New Roman" w:eastAsia="宋体"/>
          <w:b w:val="0"/>
          <w:sz w:val="21"/>
        </w:rPr>
        <w:t>建议国家医保局会同卫健委、药监局，在现行医保目录体系之外建立独立的“创新药支付目录”，明确与基本目录的功能边界与衔接机制。近期可在肿瘤、罕见病领域先行试点，建立差异化的准入标准、支付方式与动态调整机制，积累经验后逐步扩展至其他治疗领域。</w:t>
      </w:r>
    </w:p>
    <w:p>
      <w:pPr>
        <w:spacing w:before="120" w:after="60"/>
        <w:jc w:val="left"/>
      </w:pPr>
      <w:r>
        <w:rPr>
          <w:rFonts w:ascii="Arial" w:hAnsi="Arial" w:eastAsia="黑体"/>
          <w:b/>
          <w:sz w:val="21"/>
        </w:rPr>
        <w:t>4.2  建立多维价值评估标准体系</w:t>
      </w:r>
    </w:p>
    <w:p>
      <w:pPr>
        <w:spacing w:before="0" w:after="80"/>
        <w:ind w:firstLine="420"/>
        <w:jc w:val="both"/>
      </w:pPr>
      <w:r>
        <w:rPr>
          <w:rFonts w:ascii="Times New Roman" w:hAnsi="Times New Roman" w:eastAsia="宋体"/>
          <w:b w:val="0"/>
          <w:sz w:val="21"/>
        </w:rPr>
        <w:t>推进药物经济学评价本土化改革：一是完善中国人群QALY权重数据库；二是建立分类支付阈值体系，针对罕见病、终末期疾病等特殊情境设置差异化阈值；三是将社会价值纳入评估模型，逐步引入基于疗效的风险共担协议机制，使支付标准真正反映创新药的多维价值而非单一价格。</w:t>
      </w:r>
    </w:p>
    <w:p>
      <w:pPr>
        <w:spacing w:before="120" w:after="60"/>
        <w:jc w:val="left"/>
      </w:pPr>
      <w:r>
        <w:rPr>
          <w:rFonts w:ascii="Arial" w:hAnsi="Arial" w:eastAsia="黑体"/>
          <w:b/>
          <w:sz w:val="21"/>
        </w:rPr>
        <w:t>4.3  完善商业保险创新药激励机制</w:t>
      </w:r>
    </w:p>
    <w:p>
      <w:pPr>
        <w:spacing w:before="0" w:after="80"/>
        <w:ind w:firstLine="420"/>
        <w:jc w:val="both"/>
      </w:pPr>
      <w:r>
        <w:rPr>
          <w:rFonts w:ascii="Times New Roman" w:hAnsi="Times New Roman" w:eastAsia="宋体"/>
          <w:b w:val="0"/>
          <w:sz w:val="21"/>
        </w:rPr>
        <w:t>建立国家层面的商保创新药目录准入制度，明确数据共享规范与激励政策；出台税收优惠与再保险支持政策，鼓励保险公司开发创新药专项产品；推进全国统一商保清分平台建设，以上海、深圳“一站式结算”试点为基础，分阶段实现三甲医院全覆盖；明确商业保险在三层体系中的独立定位，避免行政化运作对市场功能的替代。</w:t>
      </w:r>
    </w:p>
    <w:p>
      <w:pPr>
        <w:spacing w:before="120" w:after="60"/>
        <w:jc w:val="left"/>
      </w:pPr>
      <w:r>
        <w:rPr>
          <w:rFonts w:ascii="Arial" w:hAnsi="Arial" w:eastAsia="黑体"/>
          <w:b/>
          <w:sz w:val="21"/>
        </w:rPr>
        <w:t>4.4  “十五五”分阶段推进路径</w:t>
      </w:r>
    </w:p>
    <w:p>
      <w:pPr>
        <w:spacing w:before="0" w:after="80"/>
        <w:ind w:firstLine="420"/>
        <w:jc w:val="both"/>
      </w:pPr>
      <w:r>
        <w:rPr>
          <w:rFonts w:ascii="Times New Roman" w:hAnsi="Times New Roman" w:eastAsia="宋体"/>
          <w:b w:val="0"/>
          <w:sz w:val="21"/>
        </w:rPr>
        <w:t>建议按三阶段推进：2025—2026年为制度奠基期，完成创新药目录制度框架设计，在若干省份启动商保创新药支付试点并完成数据平台一期建设；2027—2029年为推广深化期，建立全国统一的目录标准与清分规范，实现医保与商保数据互通，商保覆盖率显著提升；2030年后进入制度固化期，推动相关立法与标准化建设，形成稳定高效的三层支付体系，实现“企业敢投入、医保可持续、患者得实惠”的三方共赢格局。</w:t>
      </w:r>
    </w:p>
    <w:p>
      <w:pPr>
        <w:spacing w:before="200" w:after="80"/>
        <w:jc w:val="left"/>
      </w:pPr>
      <w:r>
        <w:rPr>
          <w:rFonts w:ascii="Arial" w:hAnsi="Arial" w:eastAsia="黑体"/>
          <w:b/>
          <w:sz w:val="24"/>
        </w:rPr>
        <w:t>5  结论</w:t>
      </w:r>
    </w:p>
    <w:p>
      <w:pPr>
        <w:spacing w:before="0" w:after="80"/>
        <w:ind w:firstLine="420"/>
        <w:jc w:val="both"/>
      </w:pPr>
      <w:r>
        <w:rPr>
          <w:rFonts w:ascii="Times New Roman" w:hAnsi="Times New Roman" w:eastAsia="宋体"/>
          <w:b w:val="0"/>
          <w:sz w:val="21"/>
        </w:rPr>
        <w:t>我国创新药支付体系的系统性困境，根源在于单一医保目录被迫承载“保基本”与“促创新”两个内在冲突的制度目标。十五五规划提出“完善创新药目录、鼓励商业保险扩大创新药支付范围”，为破解这一困境提供了明确的政策方向和制度空间。本文提出的“医保基本目录—创新药目录—商业保险”三层支付体系，通过功能分层实现制度目标的分离与协同：基本医保专注“保基本”、创新药目录聚焦“促创新”、商业保险承担“补高端、担风险”，三者依托数据协同与跨部门机制形成有机整体。推进上述改革既需顶层制度设计，更需跨部门政策合力，以期在“十五五”期间切实推动我国医药创新生态从“跟随”迈向“引领”。</w:t>
      </w:r>
    </w:p>
    <w:p>
      <w:pPr>
        <w:spacing w:before="120" w:after="40"/>
        <w:jc w:val="left"/>
      </w:pPr>
      <w:r>
        <w:rPr>
          <w:rFonts w:ascii="Times New Roman" w:hAnsi="Times New Roman" w:eastAsia="宋体"/>
          <w:b w:val="0"/>
          <w:sz w:val="18"/>
        </w:rPr>
        <w:t>* 本研究得到[基金项目名称]（编号：XXXXXXXX）的基金支持。</w:t>
      </w:r>
    </w:p>
    <w:p>
      <w:pPr>
        <w:spacing w:before="0" w:after="160"/>
        <w:jc w:val="left"/>
      </w:pPr>
      <w:r>
        <w:rPr>
          <w:rFonts w:ascii="Times New Roman" w:hAnsi="Times New Roman" w:eastAsia="宋体"/>
          <w:b w:val="0"/>
          <w:sz w:val="18"/>
        </w:rPr>
        <w:t>** 第一作者简介，职务，研究方向：医保政策、创新药支付体系；通讯作者（✉），博士，研究员，研究方向：卫生政策与管理。</w:t>
      </w:r>
    </w:p>
    <w:p>
      <w:pPr>
        <w:spacing w:before="200" w:after="80"/>
        <w:jc w:val="left"/>
      </w:pPr>
      <w:r>
        <w:rPr>
          <w:rFonts w:ascii="Arial" w:hAnsi="Arial" w:eastAsia="黑体"/>
          <w:b/>
          <w:sz w:val="21"/>
        </w:rPr>
        <w:t xml:space="preserve">参考文献：  </w:t>
      </w:r>
    </w:p>
    <w:p>
      <w:pPr>
        <w:spacing w:before="0" w:after="40"/>
        <w:ind w:left="420" w:hanging="420"/>
        <w:jc w:val="both"/>
      </w:pPr>
      <w:r>
        <w:rPr>
          <w:rFonts w:ascii="Times New Roman" w:hAnsi="Times New Roman" w:eastAsia="宋体"/>
          <w:b w:val="0"/>
          <w:sz w:val="18"/>
        </w:rPr>
        <w:t>[1] 国家发展改革委. 中华人民共和国国民经济和社会发展第十五个五年规划纲要[Z]. 2025.</w:t>
      </w:r>
      <w:r>
        <w:rPr>
          <w:b/>
          <w:color w:val="CC6600"/>
          <w:sz w:val="18"/>
        </w:rPr>
        <w:t xml:space="preserve">  【待核实】</w:t>
      </w:r>
    </w:p>
    <w:p>
      <w:pPr>
        <w:spacing w:before="0" w:after="40"/>
        <w:ind w:left="420" w:hanging="420"/>
        <w:jc w:val="both"/>
      </w:pPr>
      <w:r>
        <w:rPr>
          <w:rFonts w:ascii="Times New Roman" w:hAnsi="Times New Roman" w:eastAsia="宋体"/>
          <w:b/>
          <w:color w:val="CC0000"/>
          <w:sz w:val="21"/>
        </w:rPr>
        <w:t>[2] 【待补充】</w:t>
      </w:r>
      <w:r>
        <w:rPr>
          <w:b/>
          <w:color w:val="CC6600"/>
          <w:sz w:val="18"/>
        </w:rPr>
      </w:r>
    </w:p>
    <w:p>
      <w:pPr>
        <w:spacing w:before="0" w:after="40"/>
        <w:ind w:left="420" w:hanging="420"/>
        <w:jc w:val="both"/>
      </w:pPr>
      <w:r>
        <w:rPr>
          <w:rFonts w:ascii="Times New Roman" w:hAnsi="Times New Roman" w:eastAsia="宋体"/>
          <w:b/>
          <w:color w:val="CC0000"/>
          <w:sz w:val="21"/>
        </w:rPr>
        <w:t>[3] 【待补充】</w:t>
      </w:r>
    </w:p>
    <w:p>
      <w:pPr>
        <w:spacing w:before="0" w:after="40"/>
        <w:ind w:left="420" w:hanging="420"/>
        <w:jc w:val="both"/>
      </w:pPr>
      <w:r>
        <w:rPr>
          <w:rFonts w:ascii="Times New Roman" w:hAnsi="Times New Roman" w:eastAsia="宋体"/>
          <w:b/>
          <w:color w:val="CC0000"/>
          <w:sz w:val="21"/>
        </w:rPr>
        <w:t>[4] 【待补充】</w:t>
      </w:r>
    </w:p>
    <w:p>
      <w:pPr>
        <w:spacing w:before="0" w:after="40"/>
        <w:ind w:left="420" w:hanging="420"/>
        <w:jc w:val="both"/>
      </w:pPr>
      <w:r>
        <w:rPr>
          <w:rFonts w:ascii="Times New Roman" w:hAnsi="Times New Roman" w:eastAsia="宋体"/>
          <w:b w:val="0"/>
          <w:sz w:val="18"/>
        </w:rPr>
        <w:t>[5] 中国外商投资企业协会药品研制和开发行业委员会(RDPAC). 国家医保谈判药品落地现状和地方实践经验研究报告[R]. 2024.</w:t>
      </w:r>
      <w:r>
        <w:rPr>
          <w:b/>
          <w:color w:val="CC6600"/>
          <w:sz w:val="18"/>
        </w:rPr>
        <w:t xml:space="preserve">  【待核实】</w:t>
      </w:r>
    </w:p>
    <w:p>
      <w:pPr>
        <w:spacing w:before="0" w:after="40"/>
        <w:ind w:left="420" w:hanging="420"/>
        <w:jc w:val="both"/>
      </w:pPr>
      <w:r>
        <w:rPr>
          <w:rFonts w:ascii="Times New Roman" w:hAnsi="Times New Roman" w:eastAsia="宋体"/>
          <w:b/>
          <w:color w:val="CC0000"/>
          <w:sz w:val="21"/>
        </w:rPr>
        <w:t>[6] 【待补充】</w:t>
      </w:r>
      <w:r>
        <w:rPr>
          <w:b/>
          <w:color w:val="CC6600"/>
          <w:sz w:val="18"/>
        </w:rPr>
      </w:r>
    </w:p>
    <w:p>
      <w:pPr>
        <w:spacing w:before="0" w:after="40"/>
        <w:ind w:left="420" w:hanging="420"/>
        <w:jc w:val="both"/>
      </w:pPr>
      <w:r>
        <w:rPr>
          <w:rFonts w:ascii="Times New Roman" w:hAnsi="Times New Roman" w:eastAsia="宋体"/>
          <w:b/>
          <w:color w:val="CC0000"/>
          <w:sz w:val="21"/>
        </w:rPr>
        <w:t>[7] 【待补充】</w:t>
      </w:r>
    </w:p>
    <w:p>
      <w:pPr>
        <w:spacing w:before="0" w:after="40"/>
        <w:ind w:left="420" w:hanging="420"/>
        <w:jc w:val="both"/>
      </w:pPr>
      <w:r>
        <w:rPr>
          <w:rFonts w:ascii="Times New Roman" w:hAnsi="Times New Roman" w:eastAsia="宋体"/>
          <w:b/>
          <w:color w:val="CC0000"/>
          <w:sz w:val="21"/>
        </w:rPr>
        <w:t>[8] 【待补充】</w:t>
      </w:r>
      <w:r>
        <w:rPr>
          <w:b/>
          <w:color w:val="CC6600"/>
          <w:sz w:val="18"/>
        </w:rPr>
      </w:r>
    </w:p>
    <w:p>
      <w:pPr>
        <w:spacing w:before="0" w:after="40"/>
        <w:ind w:left="420" w:hanging="420"/>
        <w:jc w:val="both"/>
      </w:pPr>
      <w:r>
        <w:rPr>
          <w:rFonts w:ascii="Times New Roman" w:hAnsi="Times New Roman" w:eastAsia="宋体"/>
          <w:b w:val="0"/>
          <w:sz w:val="18"/>
        </w:rPr>
        <w:t>[9] 国家医疗保障局. 2023年国家基本医疗保险、工伤保险和生育保险药品目录[Z]. 2023.</w:t>
      </w:r>
      <w:r>
        <w:rPr>
          <w:b/>
          <w:color w:val="CC6600"/>
          <w:sz w:val="18"/>
        </w:rPr>
        <w:t xml:space="preserve">  【待核实】</w:t>
      </w:r>
    </w:p>
    <w:p>
      <w:pPr>
        <w:spacing w:before="0" w:after="40"/>
        <w:ind w:left="420" w:hanging="420"/>
        <w:jc w:val="both"/>
      </w:pPr>
      <w:r>
        <w:rPr>
          <w:rFonts w:ascii="Times New Roman" w:hAnsi="Times New Roman" w:eastAsia="宋体"/>
          <w:b w:val="0"/>
          <w:sz w:val="18"/>
        </w:rPr>
        <w:t>[10] 国家卫生健康委员会. 中国卫生健康统计年鉴2024[M]. 北京: 中国协和医科大学出版社, 2024.</w:t>
      </w:r>
      <w:r>
        <w:rPr>
          <w:b/>
          <w:color w:val="CC6600"/>
          <w:sz w:val="18"/>
        </w:rPr>
        <w:t xml:space="preserve">  【待核实】</w:t>
      </w:r>
    </w:p>
    <w:p>
      <w:pPr>
        <w:spacing w:before="0" w:after="40"/>
        <w:ind w:left="420" w:hanging="420"/>
        <w:jc w:val="both"/>
      </w:pPr>
      <w:r>
        <w:rPr>
          <w:rFonts w:ascii="Times New Roman" w:hAnsi="Times New Roman" w:eastAsia="宋体"/>
          <w:b/>
          <w:color w:val="CC0000"/>
          <w:sz w:val="21"/>
        </w:rPr>
        <w:t>[11] 【待补充】</w:t>
      </w:r>
    </w:p>
    <w:p>
      <w:pPr>
        <w:spacing w:before="0" w:after="40"/>
        <w:ind w:left="420" w:hanging="420"/>
        <w:jc w:val="both"/>
      </w:pPr>
      <w:r>
        <w:rPr>
          <w:rFonts w:ascii="Times New Roman" w:hAnsi="Times New Roman" w:eastAsia="宋体"/>
          <w:b/>
          <w:color w:val="CC0000"/>
          <w:sz w:val="21"/>
        </w:rPr>
        <w:t>[12] 【待补充】</w:t>
      </w:r>
    </w:p>
    <w:p>
      <w:pPr>
        <w:spacing w:before="0" w:after="40"/>
        <w:ind w:left="420" w:hanging="420"/>
        <w:jc w:val="both"/>
      </w:pPr>
      <w:r>
        <w:rPr>
          <w:rFonts w:ascii="Times New Roman" w:hAnsi="Times New Roman" w:eastAsia="宋体"/>
          <w:b/>
          <w:color w:val="CC0000"/>
          <w:sz w:val="21"/>
        </w:rPr>
        <w:t>[13] 【待补充】</w:t>
      </w:r>
    </w:p>
    <w:p>
      <w:pPr>
        <w:spacing w:before="0" w:after="40"/>
        <w:ind w:left="420" w:hanging="420"/>
        <w:jc w:val="both"/>
      </w:pPr>
      <w:r>
        <w:rPr>
          <w:rFonts w:ascii="Times New Roman" w:hAnsi="Times New Roman" w:eastAsia="宋体"/>
          <w:b/>
          <w:color w:val="CC0000"/>
          <w:sz w:val="21"/>
        </w:rPr>
        <w:t>[14] 【待补充】</w:t>
      </w:r>
    </w:p>
    <w:p>
      <w:pPr>
        <w:spacing w:before="0" w:after="40"/>
        <w:ind w:left="420" w:hanging="420"/>
        <w:jc w:val="both"/>
      </w:pPr>
      <w:r>
        <w:rPr>
          <w:rFonts w:ascii="Times New Roman" w:hAnsi="Times New Roman" w:eastAsia="宋体"/>
          <w:b/>
          <w:color w:val="CC0000"/>
          <w:sz w:val="21"/>
        </w:rPr>
        <w:t>[15] 【待补充】</w:t>
      </w:r>
    </w:p>
    <w:p>
      <w:pPr>
        <w:spacing w:before="0" w:after="40"/>
        <w:ind w:left="420" w:hanging="420"/>
        <w:jc w:val="both"/>
      </w:pPr>
      <w:r>
        <w:rPr>
          <w:rFonts w:ascii="Times New Roman" w:hAnsi="Times New Roman" w:eastAsia="宋体"/>
          <w:b w:val="0"/>
          <w:sz w:val="18"/>
        </w:rPr>
        <w:t>[16] 国家医疗保障局. 2023年全国医疗保障事业发展统计公报[R]. 2024.</w:t>
      </w:r>
      <w:r>
        <w:rPr>
          <w:b/>
          <w:color w:val="CC6600"/>
          <w:sz w:val="18"/>
        </w:rPr>
        <w:t xml:space="preserve">  【待核实】</w:t>
      </w:r>
    </w:p>
    <w:p>
      <w:pPr>
        <w:spacing w:before="0" w:after="40"/>
        <w:ind w:left="420" w:hanging="420"/>
        <w:jc w:val="both"/>
      </w:pPr>
      <w:r>
        <w:rPr>
          <w:rFonts w:ascii="Times New Roman" w:hAnsi="Times New Roman" w:eastAsia="宋体"/>
          <w:b/>
          <w:color w:val="CC0000"/>
          <w:sz w:val="21"/>
        </w:rPr>
        <w:t>[17] 【待补充】</w:t>
      </w:r>
    </w:p>
    <w:p>
      <w:pPr>
        <w:spacing w:before="0" w:after="40"/>
        <w:ind w:left="420" w:hanging="420"/>
        <w:jc w:val="both"/>
      </w:pPr>
      <w:r>
        <w:rPr>
          <w:rFonts w:ascii="Times New Roman" w:hAnsi="Times New Roman" w:eastAsia="宋体"/>
          <w:b/>
          <w:color w:val="CC0000"/>
          <w:sz w:val="21"/>
        </w:rPr>
        <w:t>[18] 【待补充】</w:t>
      </w:r>
    </w:p>
    <w:p>
      <w:pPr>
        <w:spacing w:before="0" w:after="40"/>
        <w:ind w:left="420" w:hanging="420"/>
        <w:jc w:val="both"/>
      </w:pPr>
      <w:r>
        <w:rPr>
          <w:rFonts w:ascii="Times New Roman" w:hAnsi="Times New Roman" w:eastAsia="宋体"/>
          <w:b/>
          <w:color w:val="CC0000"/>
          <w:sz w:val="21"/>
        </w:rPr>
        <w:t>[19] 【待补充】</w:t>
      </w:r>
    </w:p>
    <w:p>
      <w:pPr>
        <w:spacing w:before="0" w:after="40"/>
        <w:ind w:left="420" w:hanging="420"/>
        <w:jc w:val="both"/>
      </w:pPr>
      <w:r>
        <w:rPr>
          <w:rFonts w:ascii="Times New Roman" w:hAnsi="Times New Roman" w:eastAsia="宋体"/>
          <w:b w:val="0"/>
          <w:sz w:val="18"/>
        </w:rPr>
        <w:t>[20] 中国科学院科技战略咨询研究院. 创新药政策方向与商保支持机制研究[R]. 2024.</w:t>
      </w:r>
      <w:r>
        <w:rPr>
          <w:b/>
          <w:color w:val="CC6600"/>
          <w:sz w:val="18"/>
        </w:rPr>
        <w:t xml:space="preserve">  【待核实】</w:t>
      </w:r>
    </w:p>
    <w:p>
      <w:pPr>
        <w:spacing w:before="0" w:after="40"/>
        <w:ind w:left="420" w:hanging="420"/>
        <w:jc w:val="both"/>
      </w:pPr>
      <w:r>
        <w:rPr>
          <w:rFonts w:ascii="Times New Roman" w:hAnsi="Times New Roman" w:eastAsia="宋体"/>
          <w:b/>
          <w:color w:val="CC0000"/>
          <w:sz w:val="21"/>
        </w:rPr>
        <w:t>[21] 【待补充】</w:t>
      </w:r>
      <w:r>
        <w:rPr>
          <w:b/>
          <w:color w:val="CC6600"/>
          <w:sz w:val="18"/>
        </w:rPr>
      </w:r>
    </w:p>
    <w:p>
      <w:pPr>
        <w:spacing w:before="0" w:after="40"/>
        <w:ind w:left="420" w:hanging="420"/>
        <w:jc w:val="both"/>
      </w:pPr>
      <w:r>
        <w:rPr>
          <w:rFonts w:ascii="Times New Roman" w:hAnsi="Times New Roman" w:eastAsia="宋体"/>
          <w:b/>
          <w:color w:val="CC0000"/>
          <w:sz w:val="21"/>
        </w:rPr>
        <w:t>[22] 【待补充】</w:t>
      </w:r>
      <w:r>
        <w:rPr>
          <w:b/>
          <w:color w:val="CC6600"/>
          <w:sz w:val="18"/>
        </w:rPr>
      </w:r>
    </w:p>
    <w:p>
      <w:pPr>
        <w:spacing w:before="0" w:after="40"/>
        <w:ind w:left="420" w:hanging="420"/>
        <w:jc w:val="both"/>
      </w:pPr>
      <w:r>
        <w:rPr>
          <w:rFonts w:ascii="Times New Roman" w:hAnsi="Times New Roman" w:eastAsia="宋体"/>
          <w:b/>
          <w:color w:val="CC0000"/>
          <w:sz w:val="21"/>
        </w:rPr>
        <w:t>[23] 【待补充】</w:t>
      </w:r>
      <w:r>
        <w:rPr>
          <w:b/>
          <w:color w:val="CC6600"/>
          <w:sz w:val="18"/>
        </w:rPr>
      </w:r>
    </w:p>
    <w:p>
      <w:pPr>
        <w:spacing w:before="0" w:after="40"/>
        <w:ind w:left="420" w:hanging="420"/>
        <w:jc w:val="both"/>
      </w:pPr>
      <w:r>
        <w:rPr>
          <w:rFonts w:ascii="Times New Roman" w:hAnsi="Times New Roman" w:eastAsia="宋体"/>
          <w:b/>
          <w:color w:val="CC0000"/>
          <w:sz w:val="21"/>
        </w:rPr>
        <w:t>[24] 【待补充】</w:t>
      </w:r>
    </w:p>
    <w:p>
      <w:pPr>
        <w:spacing w:before="0" w:after="40"/>
        <w:ind w:left="420" w:hanging="420"/>
        <w:jc w:val="both"/>
      </w:pPr>
      <w:r>
        <w:rPr>
          <w:rFonts w:ascii="Times New Roman" w:hAnsi="Times New Roman" w:eastAsia="宋体"/>
          <w:b/>
          <w:color w:val="CC0000"/>
          <w:sz w:val="21"/>
        </w:rPr>
        <w:t>[25] 【待补充】</w:t>
      </w:r>
    </w:p>
    <w:p>
      <w:pPr>
        <w:spacing w:before="0" w:after="40"/>
        <w:ind w:left="420" w:hanging="420"/>
        <w:jc w:val="both"/>
      </w:pPr>
      <w:r>
        <w:rPr>
          <w:rFonts w:ascii="Times New Roman" w:hAnsi="Times New Roman" w:eastAsia="宋体"/>
          <w:b w:val="0"/>
          <w:sz w:val="18"/>
        </w:rPr>
        <w:t>[26] 中国外商投资企业协会药品研制和开发行业委员会(RDPAC). 商业健康险、医药行业与医疗机构协同创新案例研究[R]. 2024.</w:t>
      </w:r>
      <w:r>
        <w:rPr>
          <w:b/>
          <w:color w:val="CC6600"/>
          <w:sz w:val="18"/>
        </w:rPr>
        <w:t xml:space="preserve">  【待核实】</w:t>
      </w:r>
    </w:p>
    <w:p>
      <w:r>
        <w:br w:type="page"/>
      </w:r>
    </w:p>
    <w:p>
      <w:pPr>
        <w:spacing w:before="0" w:after="40"/>
        <w:jc w:val="left"/>
      </w:pPr>
      <w:r>
        <w:rPr>
          <w:rFonts w:ascii="Times New Roman" w:hAnsi="Times New Roman" w:eastAsia="黑体"/>
          <w:b/>
          <w:sz w:val="18"/>
        </w:rPr>
        <w:t>Strategic Research</w:t>
      </w:r>
    </w:p>
    <w:p>
      <w:pPr>
        <w:spacing w:before="0" w:after="240"/>
        <w:jc w:val="left"/>
      </w:pPr>
      <w:r>
        <w:rPr>
          <w:rFonts w:ascii="Times New Roman" w:hAnsi="Times New Roman" w:eastAsia="宋体"/>
          <w:b w:val="0"/>
          <w:sz w:val="18"/>
        </w:rPr>
        <w:t>SCIENCE AND TECHNOLOGY FOR DEVELOPMENT</w:t>
      </w:r>
    </w:p>
    <w:p>
      <w:pPr>
        <w:spacing w:before="120" w:after="160"/>
        <w:jc w:val="left"/>
      </w:pPr>
      <w:r>
        <w:rPr>
          <w:rFonts w:ascii="Times New Roman" w:hAnsi="Times New Roman" w:eastAsia="Times New Roman"/>
          <w:b/>
          <w:sz w:val="28"/>
        </w:rPr>
        <w:t>Construction Logic and Institutional Design of a Three-Tier Payment</w:t>
        <w:br/>
        <w:t>System: "Basic Medical Insurance — Innovative Drug Catalogue —</w:t>
        <w:br/>
        <w:t>Commercial Insurance"</w:t>
      </w:r>
    </w:p>
    <w:p>
      <w:pPr>
        <w:spacing w:before="0" w:after="60"/>
        <w:jc w:val="left"/>
      </w:pPr>
      <w:r>
        <w:rPr>
          <w:rFonts w:ascii="Times New Roman" w:hAnsi="Times New Roman" w:eastAsia="宋体"/>
          <w:b w:val="0"/>
          <w:sz w:val="21"/>
        </w:rPr>
        <w:t>CHEN XX¹, LI XX¹·², WANG XX³</w:t>
      </w:r>
    </w:p>
    <w:p>
      <w:pPr>
        <w:spacing w:before="0" w:after="40"/>
        <w:jc w:val="left"/>
      </w:pPr>
      <w:r>
        <w:rPr>
          <w:rFonts w:ascii="Times New Roman" w:hAnsi="Times New Roman" w:eastAsia="宋体"/>
          <w:b w:val="0"/>
          <w:sz w:val="18"/>
        </w:rPr>
        <w:t>1. Institutes of Science and Development, Chinese Academy of Sciences, Beijing 100190</w:t>
      </w:r>
    </w:p>
    <w:p>
      <w:pPr>
        <w:spacing w:before="0" w:after="40"/>
        <w:jc w:val="left"/>
      </w:pPr>
      <w:r>
        <w:rPr>
          <w:rFonts w:ascii="Times New Roman" w:hAnsi="Times New Roman" w:eastAsia="宋体"/>
          <w:b w:val="0"/>
          <w:sz w:val="18"/>
        </w:rPr>
        <w:t>2. School of Public Policy and Management, University of Chinese Academy of Sciences, Beijing 100049</w:t>
      </w:r>
    </w:p>
    <w:p>
      <w:pPr>
        <w:spacing w:before="0" w:after="200"/>
        <w:jc w:val="left"/>
      </w:pPr>
      <w:r>
        <w:rPr>
          <w:rFonts w:ascii="Times New Roman" w:hAnsi="Times New Roman" w:eastAsia="宋体"/>
          <w:b w:val="0"/>
          <w:sz w:val="18"/>
        </w:rPr>
        <w:t>3. [Institution], Beijing 100000</w:t>
      </w:r>
    </w:p>
    <w:p>
      <w:pPr>
        <w:spacing w:before="80" w:after="120"/>
        <w:jc w:val="both"/>
      </w:pPr>
      <w:r>
        <w:rPr>
          <w:rFonts w:ascii="Times New Roman" w:hAnsi="Times New Roman" w:eastAsia="Times New Roman"/>
          <w:b/>
          <w:sz w:val="21"/>
        </w:rPr>
        <w:t xml:space="preserve">Abstract: </w:t>
      </w:r>
      <w:r>
        <w:rPr>
          <w:rFonts w:ascii="Times New Roman" w:hAnsi="Times New Roman" w:eastAsia="Times New Roman"/>
          <w:b w:val="0"/>
          <w:sz w:val="21"/>
        </w:rPr>
        <w:t>China's current single medical insurance catalogue faces an inherent institutional tension between two conflicting objectives — ensuring basic healthcare coverage and promoting pharmaceutical innovation — resulting in systematic value discounting of innovative drugs across the full chain of market access, pricing, and renewal, alongside the long-term absence of commercial insurance functions. The 15th Five-Year Plan explicitly proposes to 'improve the innovative drug catalogue and encourage commercial insurance to expand coverage of innovative drugs,' charting a clear direction for resolving these institutional dilemmas. Drawing on institutional economics, this paper diagnoses the four-fold dilemma of the current payment system, identifies the root contradiction of a single catalogue bearing dual objectives, and proposes a three-tier payment framework comprising 'basic medical insurance catalogue — innovative drug catalogue — commercial insurance,' along with its coordination mechanisms. The paper further draws on international experiences from the UK, Germany, and Chinese Taiwan to propose a phased policy roadmap for the 15th Five-Year Plan period.</w:t>
      </w:r>
    </w:p>
    <w:p>
      <w:pPr>
        <w:spacing w:before="80" w:after="120"/>
      </w:pPr>
      <w:r>
        <w:rPr>
          <w:rFonts w:ascii="Times New Roman" w:hAnsi="Times New Roman" w:eastAsia="Times New Roman"/>
          <w:b/>
          <w:sz w:val="21"/>
        </w:rPr>
        <w:t xml:space="preserve">Keywords: </w:t>
      </w:r>
      <w:r>
        <w:rPr>
          <w:rFonts w:ascii="Times New Roman" w:hAnsi="Times New Roman" w:eastAsia="Times New Roman"/>
          <w:b w:val="0"/>
          <w:sz w:val="21"/>
        </w:rPr>
        <w:t>innovative drug catalogue; three-tier payment system; commercial insurance; medical insurance reform</w:t>
      </w:r>
    </w:p>
    <w:p>
      <w:pPr>
        <w:spacing w:before="400" w:after="120"/>
        <w:jc w:val="right"/>
      </w:pPr>
      <w:r>
        <w:rPr>
          <w:rFonts w:ascii="Times New Roman" w:hAnsi="Times New Roman" w:eastAsia="宋体"/>
          <w:b w:val="0"/>
          <w:sz w:val="18"/>
        </w:rPr>
        <w:t>（责任编辑：XXX  XXX）</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