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A3EA">
      <w:pPr>
        <w:pStyle w:val="53"/>
      </w:pPr>
      <w:commentRangeStart w:id="0"/>
      <w:r>
        <w:rPr>
          <w:rFonts w:hint="eastAsia"/>
          <w:highlight w:val="yellow"/>
        </w:rPr>
        <w:t>制度视角下创新药多主体评价的认知分歧与协调路径</w:t>
      </w:r>
      <w:r>
        <w:rPr>
          <w:rStyle w:val="23"/>
        </w:rPr>
        <w:footnoteReference w:id="0"/>
      </w:r>
    </w:p>
    <w:p w14:paraId="01193132">
      <w:pPr>
        <w:pStyle w:val="54"/>
      </w:pPr>
      <w:r>
        <w:rPr>
          <w:rFonts w:hint="eastAsia"/>
          <w:highlight w:val="yellow"/>
        </w:rPr>
        <w:t>［作者姓名</w:t>
      </w:r>
      <w:r>
        <w:rPr>
          <w:highlight w:val="yellow"/>
        </w:rPr>
        <w:t>　</w:t>
      </w:r>
      <w:r>
        <w:rPr>
          <w:rFonts w:hint="eastAsia"/>
          <w:highlight w:val="yellow"/>
        </w:rPr>
        <w:t>作者姓名］</w:t>
      </w:r>
      <w:commentRangeEnd w:id="0"/>
      <w:r>
        <w:commentReference w:id="0"/>
      </w:r>
    </w:p>
    <w:p w14:paraId="471F885A">
      <w:pPr>
        <w:pStyle w:val="55"/>
      </w:pPr>
      <w:r>
        <w:rPr>
          <w:rFonts w:hint="eastAsia"/>
          <w:b/>
          <w:bCs/>
        </w:rPr>
        <w:t>摘要：</w:t>
      </w:r>
      <w:r>
        <w:t xml:space="preserve"> </w:t>
      </w:r>
      <w:r>
        <w:rPr>
          <w:rFonts w:hint="eastAsia"/>
        </w:rPr>
        <w:t>药监局、医保局、卫健委三部门对创新药评价缺乏共识，制约三医协同。基于“制度逻辑—组织注意力”框架，将认知分歧操作化为注意力配置差异，对2017-2026年55份政策文件进行句子级计算编码，以关键词词典与大语言模型双编码检验信度（Cohen’s</w:t>
      </w:r>
      <w:r>
        <w:t xml:space="preserve"> </w:t>
      </w:r>
      <w:r>
        <w:rPr>
          <w:rFonts w:hint="eastAsia"/>
        </w:rPr>
        <w:t>κ为0.867），辅以专家访谈印证。研究发现：药监局的注意力集中于有效性与安全性，经济性近乎缺位；医保局由经济性主导，其创新性关注高于一般预期、但以临床价值增量界定创新；卫健委呈公平性与安全性双主导；分歧根植于制度逻辑而非沟通不足。据此提出对话与分级、动态评价与衔接、信息共享与透明三条协调路径，主张制度化管理分歧。</w:t>
      </w:r>
    </w:p>
    <w:p w14:paraId="4185C832">
      <w:pPr>
        <w:pStyle w:val="55"/>
      </w:pPr>
      <w:r>
        <w:rPr>
          <w:rFonts w:hint="eastAsia"/>
          <w:b/>
          <w:bCs/>
        </w:rPr>
        <w:t>关键词：</w:t>
      </w:r>
      <w:r>
        <w:t xml:space="preserve"> </w:t>
      </w:r>
      <w:r>
        <w:rPr>
          <w:rFonts w:hint="eastAsia"/>
        </w:rPr>
        <w:t>创新药评价；制度逻辑；认知分歧；注意力配置；三医协同</w:t>
      </w:r>
    </w:p>
    <w:p w14:paraId="1F5F04D6">
      <w:pPr>
        <w:pStyle w:val="55"/>
      </w:pPr>
      <w:r>
        <w:t>DOI:</w:t>
      </w:r>
    </w:p>
    <w:p w14:paraId="75C4CFC7">
      <w:pPr>
        <w:pStyle w:val="55"/>
      </w:pPr>
      <w:r>
        <w:rPr>
          <w:rFonts w:hint="eastAsia"/>
          <w:b/>
          <w:bCs/>
        </w:rPr>
        <w:t>中图分类号： C934</w:t>
      </w:r>
      <w:r>
        <w:t xml:space="preserve">　　</w:t>
      </w:r>
      <w:r>
        <w:rPr>
          <w:rFonts w:hint="eastAsia"/>
          <w:b/>
          <w:bCs/>
        </w:rPr>
        <w:t>文献标识码：</w:t>
      </w:r>
      <w:r>
        <w:t xml:space="preserve"> A　　</w:t>
      </w:r>
      <w:r>
        <w:rPr>
          <w:rFonts w:hint="eastAsia"/>
          <w:b/>
          <w:bCs/>
        </w:rPr>
        <w:t>文章编号：</w:t>
      </w:r>
    </w:p>
    <w:p w14:paraId="2C67E22E">
      <w:pPr>
        <w:pStyle w:val="55"/>
      </w:pPr>
      <w:commentRangeStart w:id="1"/>
      <w:r>
        <w:rPr>
          <w:rFonts w:hint="eastAsia"/>
          <w:b/>
          <w:bCs/>
        </w:rPr>
        <w:t>作者简介：</w:t>
      </w:r>
      <w:r>
        <w:t xml:space="preserve"> </w:t>
      </w:r>
      <w:r>
        <w:rPr>
          <w:rFonts w:hint="eastAsia"/>
          <w:highlight w:val="yellow"/>
        </w:rPr>
        <w:t>［姓名（出生年-），性别，籍贯（具体到市/县），工作单位及职称职务，研究方向：×××。所有署名作者依序列出——待补充］</w:t>
      </w:r>
      <w:commentRangeEnd w:id="1"/>
      <w:r>
        <w:commentReference w:id="1"/>
      </w:r>
    </w:p>
    <w:p w14:paraId="1C33DD26">
      <w:pPr>
        <w:pStyle w:val="2"/>
      </w:pPr>
      <w:bookmarkStart w:id="0" w:name="引言"/>
      <w:r>
        <w:t xml:space="preserve">1 </w:t>
      </w:r>
      <w:r>
        <w:rPr>
          <w:rFonts w:hint="eastAsia"/>
        </w:rPr>
        <w:t>引言</w:t>
      </w:r>
    </w:p>
    <w:p w14:paraId="13E00833">
      <w:pPr>
        <w:pStyle w:val="24"/>
      </w:pPr>
      <w:r>
        <w:rPr>
          <w:rFonts w:hint="eastAsia"/>
          <w:highlight w:val="yellow"/>
        </w:rPr>
        <w:t>《中华人民共和国国民经济和社会发展第十五个五年规划纲要》</w:t>
      </w:r>
      <w:r>
        <w:rPr>
          <w:rFonts w:hint="eastAsia"/>
        </w:rPr>
        <w:t>（以下简称十五五规划纲要）将生物医药列入“打造集成电路、航空航天、生物医药、低空经济等新兴支柱产业”的战略部署，并专设一节要求“健全医疗、医保、医药协同发展和治理机制”。“三医协同”由此从部门间的工作目标上升为国家战略层面的制度建设任务。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t>
      </w:r>
    </w:p>
    <w:p w14:paraId="488D3936">
      <w:pPr>
        <w:pStyle w:val="3"/>
      </w:pPr>
      <w:r>
        <w:rPr>
          <w:rFonts w:hint="eastAsia"/>
        </w:rPr>
        <w:t>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本质上是依次经历审批、支付、使用三类相互衔接的行政决策，而三部门对“什么是有价值的创新药”这一共同的决策前提并未形成一致标准。本研究开展的专家访谈显示（访谈设计见4.3节），药监局认定的一类创新药，未必能够满足医保局对临床价值增量的评审要求；纳入医保目录的药品，也未必能够在医疗机构得到充分配备和使用。三部门在创新定义、证据要求和价值衡量标准上的差异，使创新药在全链条各环节之间面临重复评估、衔接不畅的问题。这种差异并非单纯的信息沟通不足，而是根植于各部门不同制度位置的认知分歧。</w:t>
      </w:r>
    </w:p>
    <w:p w14:paraId="0A49760A">
      <w:pPr>
        <w:pStyle w:val="3"/>
      </w:pPr>
      <w:r>
        <w:rPr>
          <w:rFonts w:hint="eastAsia"/>
        </w:rPr>
        <w:t>需要说明的是，认知分歧与注意力配置差异这两个概念存在如下关系。本文所称认知分歧，指三部门决策者在评价创新药时所依据的决策前提——判断标准、证据偏好与价值取向——的系统性差异。决策者认知难以直接观测，但按决策理论的经典命题，组织决策取决于决策者将注意力聚焦于哪些议题，而注意力配置受组织所处制度环境的系统塑造，并沉淀于组织的正式文本之中。据此，本文以政策文本中的注意力配置差异作为认知分歧在制度层面的可观测测量：注意力配置差异是认知分歧的测量表征，认知分歧是注意力配置差异的认知根源。</w:t>
      </w:r>
    </w:p>
    <w:p w14:paraId="1CBB070C">
      <w:pPr>
        <w:pStyle w:val="3"/>
      </w:pPr>
      <w:r>
        <w:rPr>
          <w:rFonts w:hint="eastAsia"/>
        </w:rPr>
        <w:t>既有研究已广泛注意到创新药评价中的多主体差异，但多从利益相关者视角作定性描述，缺乏对三部门政策文本的系统比较，也未能揭示差异的制度根源。有鉴于此，本文围绕三个递进式问题展开分析：三部门对创新药的评价差异具体表现在哪些维度，这种差异的制度根源何在，以及十五五“三医协同”框架下的认知协调路径如何构建。</w:t>
      </w:r>
    </w:p>
    <w:p w14:paraId="63DDD1F2">
      <w:pPr>
        <w:pStyle w:val="3"/>
      </w:pPr>
      <w:r>
        <w:rPr>
          <w:rFonts w:hint="eastAsia"/>
        </w:rPr>
        <w:t>为回答上述问题，本文构建“制度逻辑—组织注意力”分析框架，对2017-2026年药监局、医保局、卫健委三部门及国务院发布的55份政策文件进行计算编码分析，量化各部门在安全性、有效性、经济性、创新性、公平性五个维度上的注意力配置差异，并借鉴德国、法国、意大利的健康技术评估经验，为十五五时期健全三医协同治理机制提供基于认知协调的决策分析视角与政策参考。</w:t>
      </w:r>
    </w:p>
    <w:bookmarkEnd w:id="0"/>
    <w:p w14:paraId="2F973B83">
      <w:pPr>
        <w:pStyle w:val="2"/>
      </w:pPr>
      <w:bookmarkStart w:id="1" w:name="文献综述"/>
      <w:r>
        <w:t xml:space="preserve">2 </w:t>
      </w:r>
      <w:r>
        <w:rPr>
          <w:rFonts w:hint="eastAsia"/>
        </w:rPr>
        <w:t>文献综述</w:t>
      </w:r>
    </w:p>
    <w:p w14:paraId="600436E7">
      <w:pPr>
        <w:pStyle w:val="4"/>
      </w:pPr>
      <w:bookmarkStart w:id="2" w:name="创新药多维评价的研究脉络"/>
      <w:r>
        <w:t xml:space="preserve">2.1 </w:t>
      </w:r>
      <w:r>
        <w:rPr>
          <w:rFonts w:hint="eastAsia"/>
        </w:rPr>
        <w:t>创新药多维评价的研究脉络</w:t>
      </w:r>
    </w:p>
    <w:p w14:paraId="472BD6B7">
      <w:pPr>
        <w:pStyle w:val="24"/>
      </w:pPr>
      <w:r>
        <w:rPr>
          <w:rFonts w:hint="eastAsia"/>
        </w:rPr>
        <w:t>在评价标准与准入机制方面，孔繁翠（2022）</w:t>
      </w:r>
      <w:r>
        <w:rPr>
          <w:vertAlign w:val="superscript"/>
        </w:rPr>
        <w:t>[1]</w:t>
      </w:r>
      <w:r>
        <w:rPr>
          <w:rFonts w:hint="eastAsia"/>
        </w:rPr>
        <w:t>对比英、德、法、加四国的创新药价值评估体系，提出中国应构建附加临床收益评估体系并完善医保准入谈判规则；赵华婷等（2019）</w:t>
      </w:r>
      <w:r>
        <w:rPr>
          <w:vertAlign w:val="superscript"/>
        </w:rPr>
        <w:t>[2]</w:t>
      </w:r>
      <w:r>
        <w:rPr>
          <w:rFonts w:hint="eastAsia"/>
        </w:rPr>
        <w:t>则借鉴法国临床效益评价制度，建议建立与医保目录动态调整相衔接的临床获益分级机制。段晓托等（2017）</w:t>
      </w:r>
      <w:r>
        <w:rPr>
          <w:vertAlign w:val="superscript"/>
        </w:rPr>
        <w:t>[3]</w:t>
      </w:r>
      <w:r>
        <w:rPr>
          <w:rFonts w:hint="eastAsia"/>
        </w:rPr>
        <w:t>识别了创新药进入医保目录的障碍，包括遴选依据客观性不足、等待时间过长和谈判机制不健全等；艾丹丹等（2020）</w:t>
      </w:r>
      <w:r>
        <w:rPr>
          <w:vertAlign w:val="superscript"/>
        </w:rPr>
        <w:t>[4]</w:t>
      </w:r>
      <w:r>
        <w:rPr>
          <w:rFonts w:hint="eastAsia"/>
        </w:rPr>
        <w:t>在价值医疗框架下指出，基于价值的定价需以多维评价体系为前提。上述研究共同揭示了一个结构性矛盾：创新药评价涉及安全性、有效性、经济性、创新性和公平性等多个维度，但各维度的权重配置尚无统一标准，不同部门在实际操作中的侧重存在明显差异。</w:t>
      </w:r>
    </w:p>
    <w:p w14:paraId="2F71E647">
      <w:pPr>
        <w:pStyle w:val="3"/>
      </w:pPr>
      <w:r>
        <w:rPr>
          <w:rFonts w:hint="eastAsia"/>
        </w:rPr>
        <w:t>在多主体利益博弈方面，康姗姗等（2010）</w:t>
      </w:r>
      <w:r>
        <w:rPr>
          <w:vertAlign w:val="superscript"/>
        </w:rPr>
        <w:t>[5]</w:t>
      </w:r>
      <w:r>
        <w:rPr>
          <w:rFonts w:hint="eastAsia"/>
        </w:rPr>
        <w:t>较早分析了药品上市决策中企业、经营者、医疗机构和患者的策略互动，发现信息不对称是决策偏离社会最优的关键因素；张新鑫等（2017）</w:t>
      </w:r>
      <w:r>
        <w:rPr>
          <w:vertAlign w:val="superscript"/>
        </w:rPr>
        <w:t>[6]</w:t>
      </w:r>
      <w:r>
        <w:rPr>
          <w:rFonts w:hint="eastAsia"/>
        </w:rPr>
        <w:t>的多阶段动态博弈模型表明，价格管制并非总是降低创新激励，关键在于管制政策与支付政策的匹配。谭清立等（2024）</w:t>
      </w:r>
      <w:r>
        <w:rPr>
          <w:vertAlign w:val="superscript"/>
        </w:rPr>
        <w:t>[7]</w:t>
      </w:r>
      <w:r>
        <w:rPr>
          <w:rFonts w:hint="eastAsia"/>
        </w:rPr>
        <w:t>指出医保谈判药品存在量价不平衡现象；王恩楠和朱铭来（2023）</w:t>
      </w:r>
      <w:r>
        <w:rPr>
          <w:vertAlign w:val="superscript"/>
        </w:rPr>
        <w:t>[8]</w:t>
      </w:r>
      <w:r>
        <w:rPr>
          <w:rFonts w:hint="eastAsia"/>
        </w:rPr>
        <w:t>的演化博弈研究发现，谈判前后药品销售额、双方初始意愿和社会声誉考量均影响博弈均衡。这些研究揭示了多主体差异的利益根源，但多停留在两方或三方博弈层面，尚未从制度层面解释认知差异的结构性特征。在政策工具与制度变迁方面，吕倩鹏等（2024）</w:t>
      </w:r>
      <w:r>
        <w:rPr>
          <w:vertAlign w:val="superscript"/>
        </w:rPr>
        <w:t>[9]</w:t>
      </w:r>
      <w:r>
        <w:rPr>
          <w:rFonts w:hint="eastAsia"/>
        </w:rPr>
        <w:t>对65份国家层面创新药研发政策的量化分析发现，政策工具内部结构失衡、对临床试验阶段关注不足；毛心仪和姚峥嵘（2021）</w:t>
      </w:r>
      <w:r>
        <w:rPr>
          <w:vertAlign w:val="superscript"/>
        </w:rPr>
        <w:t>[10]</w:t>
      </w:r>
      <w:r>
        <w:rPr>
          <w:rFonts w:hint="eastAsia"/>
        </w:rPr>
        <w:t>指出2015年以来审评审批制度改革兼具强制性与诱致性变迁的双重特征；杨钰婷等（2024）</w:t>
      </w:r>
      <w:r>
        <w:rPr>
          <w:vertAlign w:val="superscript"/>
        </w:rPr>
        <w:t>[11]</w:t>
      </w:r>
      <w:r>
        <w:rPr>
          <w:rFonts w:hint="eastAsia"/>
        </w:rPr>
        <w:t>的省际比较研究表明，各地落实创新药准入政策存在显著制度差异，三医协同面临多重政策要素的平衡难题。</w:t>
      </w:r>
    </w:p>
    <w:p w14:paraId="79CB58E0">
      <w:pPr>
        <w:pStyle w:val="3"/>
      </w:pPr>
      <w:r>
        <w:rPr>
          <w:rFonts w:hint="eastAsia"/>
        </w:rPr>
        <w:t>国际研究则从实证层面证实了评价分歧的结构性特征。Casilli等（2023）</w:t>
      </w:r>
      <w:r>
        <w:rPr>
          <w:vertAlign w:val="superscript"/>
        </w:rPr>
        <w:t>[12]</w:t>
      </w:r>
      <w:r>
        <w:rPr>
          <w:rFonts w:hint="eastAsia"/>
        </w:rPr>
        <w:t>对189个药品/适应症在法国高等卫生管理局（HAS）、德国联邦联合委员会（G-BA）、意大利药品管理局（AIFA）之间健康技术评估（Health</w:t>
      </w:r>
      <w:r>
        <w:t xml:space="preserve"> Technology </w:t>
      </w:r>
      <w:r>
        <w:rPr>
          <w:rFonts w:hint="eastAsia"/>
        </w:rPr>
        <w:t>Assessment，HTA）结论一致性进行了比较，发现德法一致率最高（82%，κ=0.61）；意法仅为52%（κ=0.17），意德仅为57%（κ=0.25）。Garau等（2018）</w:t>
      </w:r>
      <w:r>
        <w:rPr>
          <w:vertAlign w:val="superscript"/>
        </w:rPr>
        <w:t>[13]</w:t>
      </w:r>
      <w:r>
        <w:rPr>
          <w:rFonts w:hint="eastAsia"/>
        </w:rPr>
        <w:t>运用多准则决策分析（MCDA）框架发现，患者和临床医生的评价权重集中于疾病严重性与治疗获益，而支付方的权重分布更均匀、对成本和证据质量关注更高。Kesselheim等（2013）</w:t>
      </w:r>
      <w:r>
        <w:rPr>
          <w:vertAlign w:val="superscript"/>
        </w:rPr>
        <w:t>[14]</w:t>
      </w:r>
      <w:r>
        <w:rPr>
          <w:rFonts w:hint="eastAsia"/>
        </w:rPr>
        <w:t>的系统综述表明，采用不同创新定义的研究者对同一时期创新趋势的判断截然相反。Monleón等（2022）</w:t>
      </w:r>
      <w:r>
        <w:rPr>
          <w:vertAlign w:val="superscript"/>
        </w:rPr>
        <w:t>[15]</w:t>
      </w:r>
      <w:r>
        <w:rPr>
          <w:rFonts w:hint="eastAsia"/>
        </w:rPr>
        <w:t>识别出HTA审议过程中伦理、组织文化、功能角色等七类隐性影响因素，指出“当今的审议过程往往是非正式和非结构化的”。</w:t>
      </w:r>
    </w:p>
    <w:bookmarkEnd w:id="2"/>
    <w:p w14:paraId="75FC66AF">
      <w:pPr>
        <w:pStyle w:val="4"/>
      </w:pPr>
      <w:bookmarkStart w:id="3" w:name="多主体认知差异与决策者认知研究"/>
      <w:r>
        <w:t xml:space="preserve">2.2 </w:t>
      </w:r>
      <w:r>
        <w:rPr>
          <w:rFonts w:hint="eastAsia"/>
        </w:rPr>
        <w:t>多主体认知差异与决策者认知研究</w:t>
      </w:r>
    </w:p>
    <w:p w14:paraId="025E2DD9">
      <w:pPr>
        <w:pStyle w:val="24"/>
      </w:pPr>
      <w:r>
        <w:rPr>
          <w:rFonts w:hint="eastAsia"/>
        </w:rPr>
        <w:t>国际文献表明，多主体认知差异是制度结构的产物。Kållberg等（2023）</w:t>
      </w:r>
      <w:r>
        <w:rPr>
          <w:vertAlign w:val="superscript"/>
        </w:rPr>
        <w:t>[16]</w:t>
      </w:r>
      <w:r>
        <w:rPr>
          <w:rFonts w:hint="eastAsia"/>
        </w:rPr>
        <w:t>对19名来自欧洲药品管理局（EMA）、美国食品药品监督管理局（FDA）和欧洲HTA机构的专家进行半结构化访谈后发现：在“新颖性”定义上，部分专家将其界定为“新类别中的首个药物”（技术逻辑），另一些则要求“无已知耐药机制”（临床逻辑）；而加速审批等监管灵活性产生的下游不确定性，给支付方和临床医生带来显著决策困难。Mundy等（2024）</w:t>
      </w:r>
      <w:r>
        <w:rPr>
          <w:vertAlign w:val="superscript"/>
        </w:rPr>
        <w:t>[17]</w:t>
      </w:r>
      <w:r>
        <w:rPr>
          <w:rFonts w:hint="eastAsia"/>
        </w:rPr>
        <w:t>指出，HTA对创新的定义和捕捉方式不一致，创新往往被隐含而非显式地纳入决策，支付方面临既需以价格信号激励创新、又须控制高成本支出的结构性悖论。Janssens等（2023）</w:t>
      </w:r>
      <w:r>
        <w:rPr>
          <w:vertAlign w:val="superscript"/>
        </w:rPr>
        <w:t>[18]</w:t>
      </w:r>
      <w:r>
        <w:rPr>
          <w:rFonts w:hint="eastAsia"/>
        </w:rPr>
        <w:t>基于IMI</w:t>
      </w:r>
      <w:r>
        <w:t xml:space="preserve"> </w:t>
      </w:r>
      <w:r>
        <w:rPr>
          <w:rFonts w:hint="eastAsia"/>
        </w:rPr>
        <w:t>PREFER项目发现，患者对治疗属性的价值排序与监管者和临床医生存在系统性差异。Mountford和Cai（2023）</w:t>
      </w:r>
      <w:r>
        <w:rPr>
          <w:vertAlign w:val="superscript"/>
        </w:rPr>
        <w:t>[19]</w:t>
      </w:r>
      <w:r>
        <w:rPr>
          <w:rFonts w:hint="eastAsia"/>
        </w:rPr>
        <w:t>则在理论层面探讨了医疗领域管理效率逻辑与医学专业主义逻辑之间的张力。</w:t>
      </w:r>
    </w:p>
    <w:p w14:paraId="0F899980">
      <w:pPr>
        <w:pStyle w:val="3"/>
      </w:pPr>
      <w:r>
        <w:rPr>
          <w:rFonts w:hint="eastAsia"/>
        </w:rPr>
        <w:t>从决策理论看，上述分歧可追溯至决策者认知的基本机制。Simon（1997）</w:t>
      </w:r>
      <w:r>
        <w:rPr>
          <w:vertAlign w:val="superscript"/>
        </w:rPr>
        <w:t>[20]</w:t>
      </w:r>
      <w:r>
        <w:rPr>
          <w:rFonts w:hint="eastAsia"/>
        </w:rPr>
        <w:t>指出，决策者受有限理性约束，其选择取决于作为决策前提的价值前提与事实前提，组织正是通过塑造决策前提来影响成员决策；Cyert和March（1963）</w:t>
      </w:r>
      <w:r>
        <w:rPr>
          <w:vertAlign w:val="superscript"/>
        </w:rPr>
        <w:t>[21]</w:t>
      </w:r>
      <w:r>
        <w:rPr>
          <w:rFonts w:hint="eastAsia"/>
        </w:rPr>
        <w:t>进一步指出，组织注意力是稀缺资源，组织以序贯关注目标的方式化解目标间冲突；Walsh（1995）</w:t>
      </w:r>
      <w:r>
        <w:rPr>
          <w:vertAlign w:val="superscript"/>
        </w:rPr>
        <w:t>[22]</w:t>
      </w:r>
      <w:r>
        <w:rPr>
          <w:rFonts w:hint="eastAsia"/>
        </w:rPr>
        <w:t>的管理认知研究表明，决策者信息加工所依赖的知识结构由其所在组织的制度环境持续塑造。将这一脉络引入创新药评价情境即可推知：三部门的评审实为三类行政决策，其分歧首先是决策前提与注意力配置的分歧，这为将“认知分歧”操作化为可测量的注意力配置差异提供了理论依据。</w:t>
      </w:r>
    </w:p>
    <w:p w14:paraId="1A7176C8">
      <w:pPr>
        <w:pStyle w:val="3"/>
      </w:pPr>
      <w:r>
        <w:rPr>
          <w:rFonts w:hint="eastAsia"/>
        </w:rPr>
        <w:t>相较而言，国内研究对主体认知差异虽有大量定性描述，但缺乏系统的实证测量。李梦颖等（2024）</w:t>
      </w:r>
      <w:r>
        <w:rPr>
          <w:vertAlign w:val="superscript"/>
        </w:rPr>
        <w:t>[23]</w:t>
      </w:r>
      <w:r>
        <w:rPr>
          <w:rFonts w:hint="eastAsia"/>
        </w:rPr>
        <w:t>将制度逻辑理论引入医保谈判药品的落地分析，识别出国家逻辑、市场逻辑、社会逻辑和专业逻辑的冲突，是该理论在中国医药政策研究中的重要尝试，但其关注的是落地环节的制度矛盾，而非三部门评价认知的系统性差异。总体而言，尚未见针对药监局、医保局、卫健委三部门评价标准的系统对比研究；主流分析工具仍是Freeman（1984）</w:t>
      </w:r>
      <w:r>
        <w:rPr>
          <w:vertAlign w:val="superscript"/>
        </w:rPr>
        <w:t>[24]</w:t>
      </w:r>
      <w:r>
        <w:rPr>
          <w:rFonts w:hint="eastAsia"/>
        </w:rPr>
        <w:t>的利益相关者理论，该理论能说明“不同主体有不同利益”，但难以解释制度层面的结构性认知差异，特别是三医协同为何难以自动实现。</w:t>
      </w:r>
    </w:p>
    <w:bookmarkEnd w:id="3"/>
    <w:p w14:paraId="7AF30B85">
      <w:pPr>
        <w:pStyle w:val="4"/>
      </w:pPr>
      <w:bookmarkStart w:id="4" w:name="既有研究不足与本文定位"/>
      <w:r>
        <w:t xml:space="preserve">2.3 </w:t>
      </w:r>
      <w:r>
        <w:rPr>
          <w:rFonts w:hint="eastAsia"/>
        </w:rPr>
        <w:t>既有研究不足与本文定位</w:t>
      </w:r>
    </w:p>
    <w:p w14:paraId="6540F9AA">
      <w:pPr>
        <w:pStyle w:val="24"/>
      </w:pPr>
      <w:r>
        <w:rPr>
          <w:rFonts w:hint="eastAsia"/>
        </w:rPr>
        <w:t>综合国内外文献，现有研究的局限集中在三方面。就理论工具而言，多数研究沿用利益相关者视角，制度逻辑理论与注意力基础观在该领域的应用几乎空白，决策者认知的经典理论也尚未被引入创新药评价研究。就分析层次而言，已有成果或侧重宏观制度比较，或聚焦微观认知调查，缺乏将宏观制度逻辑与中观组织注意力贯通、并据以从政策文本中系统识别评价差异的研究。就研究情境而言，国际实证多集中于欧美HTA体系，针对中国三部门体制的专门研究不足，而十五五明确要求“三医协同”，使这一缺口更为紧迫。据此，本文在“制度逻辑—组织注意力”框架下，通过政策文本计算编码量化三部门评价维度配置的系统差异并追溯其制度根源，在借鉴国际经验的基础上提出服务于十五五“三医协同”目标的协调路径。</w:t>
      </w:r>
    </w:p>
    <w:bookmarkEnd w:id="1"/>
    <w:bookmarkEnd w:id="4"/>
    <w:p w14:paraId="3BEC8A31">
      <w:pPr>
        <w:pStyle w:val="2"/>
      </w:pPr>
      <w:bookmarkStart w:id="5" w:name="理论基础与分析框架"/>
      <w:commentRangeStart w:id="2"/>
      <w:r>
        <w:t xml:space="preserve">3 </w:t>
      </w:r>
      <w:r>
        <w:rPr>
          <w:rFonts w:hint="eastAsia"/>
        </w:rPr>
        <w:t>理论基础与分析框架</w:t>
      </w:r>
      <w:commentRangeEnd w:id="2"/>
      <w:r>
        <w:commentReference w:id="2"/>
      </w:r>
    </w:p>
    <w:p w14:paraId="73F97A54">
      <w:pPr>
        <w:pStyle w:val="4"/>
      </w:pPr>
      <w:bookmarkStart w:id="6" w:name="制度逻辑组织注意力的理论逻辑"/>
      <w:r>
        <w:t xml:space="preserve">3.1 </w:t>
      </w:r>
      <w:r>
        <w:rPr>
          <w:rFonts w:hint="eastAsia"/>
        </w:rPr>
        <w:t>“制度逻辑—组织注意力”的理论逻辑</w:t>
      </w:r>
    </w:p>
    <w:p w14:paraId="7383041A">
      <w:pPr>
        <w:pStyle w:val="24"/>
      </w:pPr>
      <w:r>
        <w:rPr>
          <w:rFonts w:hint="eastAsia"/>
        </w:rPr>
        <w:t>本文整合宏观与中观两个层次的理论构建分析框架，二者存在递进关系：制度逻辑界定组织行动的合法性边界，注意力基础观进一步揭示制度逻辑如何约束组织的信息选择，从而在政策文本中沉淀为差异化的评价维度配置。</w:t>
      </w:r>
    </w:p>
    <w:p w14:paraId="494AD39E">
      <w:pPr>
        <w:pStyle w:val="3"/>
      </w:pPr>
      <w:r>
        <w:rPr>
          <w:rFonts w:hint="eastAsia"/>
        </w:rPr>
        <w:t>在宏观层面，本文借鉴Thornton和Ocasio（2008）提出的制度逻辑理论</w:t>
      </w:r>
      <w:r>
        <w:rPr>
          <w:vertAlign w:val="superscript"/>
        </w:rPr>
        <w:t>[25]</w:t>
      </w:r>
      <w:r>
        <w:rPr>
          <w:rFonts w:hint="eastAsia"/>
        </w:rPr>
        <w:t>。该理论认为，不同制度场域中的行动者依据其所处场域的核心原则，发展出特定的认知模式与实践逻辑，这些逻辑界定了行动者的合法性标准和行为取向；Greenwood等（2011）</w:t>
      </w:r>
      <w:r>
        <w:rPr>
          <w:vertAlign w:val="superscript"/>
        </w:rPr>
        <w:t>[26]</w:t>
      </w:r>
      <w:r>
        <w:rPr>
          <w:rFonts w:hint="eastAsia"/>
        </w:rPr>
        <w:t>进一步指出，当组织同时面对多重制度逻辑要求时会产生制度复杂性。在创新药评价领域，药监局、医保局、卫健委三部门分别嵌入不同的制度逻辑：药监局遵循科学-安全逻辑，以确保药品安全有效、鼓励技术创新为首要目标；医保局遵循经济-效率逻辑，以基金可持续性和价值定价为首要目标；卫健委遵循公共服务逻辑，以保障公众健康权益和优化医疗服务为首要目标。三种逻辑各具合理性但并非自然兼容，十五五规划纲要所要求的“三医协同”本质上构成一个制度复杂性管理问题。</w:t>
      </w:r>
    </w:p>
    <w:p w14:paraId="761D8CC0">
      <w:pPr>
        <w:pStyle w:val="3"/>
      </w:pPr>
      <w:r>
        <w:rPr>
          <w:rFonts w:hint="eastAsia"/>
        </w:rPr>
        <w:t>在中观层面，本文引入Ocasio（1997）提出的注意力基础观（attention-based</w:t>
      </w:r>
      <w:r>
        <w:t xml:space="preserve"> </w:t>
      </w:r>
      <w:r>
        <w:rPr>
          <w:rFonts w:hint="eastAsia"/>
        </w:rPr>
        <w:t>view）</w:t>
      </w:r>
      <w:r>
        <w:rPr>
          <w:vertAlign w:val="superscript"/>
        </w:rPr>
        <w:t>[27]</w:t>
      </w:r>
      <w:r>
        <w:rPr>
          <w:rFonts w:hint="eastAsia"/>
        </w:rPr>
        <w:t>。该理论认为，组织行为取决于决策者将注意力聚焦于哪些议题和答案，而注意力的分配受组织所处制度环境和规则结构的系统性约束。在本文框架中，不同的制度逻辑使三部门在审视同一药物时选择性地关注不同信息：药监局聚焦安全信号和技术创新指标，医保局聚焦成本效果和预算影响，卫健委聚焦临床需求和公平可及。政策文本分析正是旨在捕捉这种选择性注意力在制度文本中的沉淀形态。国内研究已表明注意力基础观适用于中国政府组织：文宏（2014）</w:t>
      </w:r>
      <w:r>
        <w:rPr>
          <w:vertAlign w:val="superscript"/>
        </w:rPr>
        <w:t>[28]</w:t>
      </w:r>
      <w:r>
        <w:rPr>
          <w:rFonts w:hint="eastAsia"/>
        </w:rPr>
        <w:t>以历年中央政府工作报告为文本测量了政府对基本公共服务的注意力配置，发现公共服务供给结构与政府注意力直接相关；陶鹏和初春（2020）</w:t>
      </w:r>
      <w:r>
        <w:rPr>
          <w:vertAlign w:val="superscript"/>
        </w:rPr>
        <w:t>[29]</w:t>
      </w:r>
      <w:r>
        <w:rPr>
          <w:rFonts w:hint="eastAsia"/>
        </w:rPr>
        <w:t>对府际领导批示的分析发现，核心议题对其他议题存在挤出效应。组织的注意力最终经由决策者的信息加工得以实现，Walsh（1995）</w:t>
      </w:r>
      <w:r>
        <w:rPr>
          <w:vertAlign w:val="superscript"/>
        </w:rPr>
        <w:t>[22]</w:t>
      </w:r>
      <w:r>
        <w:rPr>
          <w:rFonts w:hint="eastAsia"/>
        </w:rPr>
        <w:t>的管理认知理论解释了制度逻辑何以能够经由组织注意力稳定地沉淀为政策文本中差异化的评价维度配置，这构成本文以政策文本为主要分析对象的理论依据。</w:t>
      </w:r>
    </w:p>
    <w:bookmarkEnd w:id="6"/>
    <w:p w14:paraId="5C670F79">
      <w:pPr>
        <w:pStyle w:val="4"/>
      </w:pPr>
      <w:bookmarkStart w:id="7" w:name="三种制度逻辑的操作化"/>
      <w:r>
        <w:t xml:space="preserve">3.2 </w:t>
      </w:r>
      <w:r>
        <w:rPr>
          <w:rFonts w:hint="eastAsia"/>
        </w:rPr>
        <w:t>三种制度逻辑的操作化</w:t>
      </w:r>
    </w:p>
    <w:p w14:paraId="03AD5143">
      <w:pPr>
        <w:pStyle w:val="24"/>
      </w:pPr>
      <w:r>
        <w:rPr>
          <w:rFonts w:hint="eastAsia"/>
        </w:rPr>
        <w:t>基于上述两层理论的递进关系，本文将三部门的制度逻辑、组织注意力焦点和评价侧重整合为创新药多主体评价的分析框架（见表1、图1），以此作为政策文本编码的理论依据。</w:t>
      </w:r>
    </w:p>
    <w:p w14:paraId="412DB587">
      <w:pPr>
        <w:pStyle w:val="56"/>
      </w:pPr>
      <w:r>
        <w:rPr>
          <w:rFonts w:hint="eastAsia"/>
        </w:rPr>
        <w:t>表1</w:t>
      </w:r>
      <w:r>
        <w:t xml:space="preserve"> </w:t>
      </w:r>
      <w:r>
        <w:rPr>
          <w:rFonts w:hint="eastAsia"/>
        </w:rPr>
        <w:t>创新药评价中的三种制度逻辑</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14:paraId="3674698A">
        <w:trPr>
          <w:tblHeader/>
        </w:trPr>
        <w:tc>
          <w:p w14:paraId="1D8844B1">
            <w:pPr>
              <w:pStyle w:val="25"/>
            </w:pPr>
            <w:r>
              <w:rPr>
                <w:rFonts w:hint="eastAsia"/>
              </w:rPr>
              <w:t>制度逻辑</w:t>
            </w:r>
          </w:p>
        </w:tc>
        <w:tc>
          <w:p w14:paraId="03B59CDD">
            <w:pPr>
              <w:pStyle w:val="25"/>
            </w:pPr>
            <w:r>
              <w:rPr>
                <w:rFonts w:hint="eastAsia"/>
              </w:rPr>
              <w:t>主导部门</w:t>
            </w:r>
          </w:p>
        </w:tc>
        <w:tc>
          <w:p w14:paraId="33FCF7D2">
            <w:pPr>
              <w:pStyle w:val="25"/>
            </w:pPr>
            <w:r>
              <w:rPr>
                <w:rFonts w:hint="eastAsia"/>
              </w:rPr>
              <w:t>核心目标</w:t>
            </w:r>
          </w:p>
        </w:tc>
        <w:tc>
          <w:p w14:paraId="220EE4A6">
            <w:pPr>
              <w:pStyle w:val="25"/>
            </w:pPr>
            <w:r>
              <w:rPr>
                <w:rFonts w:hint="eastAsia"/>
              </w:rPr>
              <w:t>评价侧重</w:t>
            </w:r>
          </w:p>
        </w:tc>
        <w:tc>
          <w:p w14:paraId="2593072F">
            <w:pPr>
              <w:pStyle w:val="25"/>
            </w:pPr>
            <w:r>
              <w:rPr>
                <w:rFonts w:hint="eastAsia"/>
              </w:rPr>
              <w:t>注意力焦点</w:t>
            </w:r>
          </w:p>
        </w:tc>
      </w:tr>
      <w:tr w14:paraId="0D2BB1D2">
        <w:tc>
          <w:p w14:paraId="4A898E4D">
            <w:pPr>
              <w:pStyle w:val="25"/>
            </w:pPr>
            <w:r>
              <w:rPr>
                <w:rFonts w:hint="eastAsia"/>
              </w:rPr>
              <w:t>科学-安全逻辑</w:t>
            </w:r>
          </w:p>
        </w:tc>
        <w:tc>
          <w:p w14:paraId="69365A02">
            <w:pPr>
              <w:pStyle w:val="25"/>
            </w:pPr>
            <w:r>
              <w:rPr>
                <w:rFonts w:hint="eastAsia"/>
              </w:rPr>
              <w:t>药监局</w:t>
            </w:r>
          </w:p>
        </w:tc>
        <w:tc>
          <w:p w14:paraId="2747D864">
            <w:pPr>
              <w:pStyle w:val="25"/>
            </w:pPr>
            <w:r>
              <w:rPr>
                <w:rFonts w:hint="eastAsia"/>
              </w:rPr>
              <w:t>确保安全有效，鼓励技术创新</w:t>
            </w:r>
          </w:p>
        </w:tc>
        <w:tc>
          <w:p w14:paraId="7E38243D">
            <w:pPr>
              <w:pStyle w:val="25"/>
            </w:pPr>
            <w:r>
              <w:rPr>
                <w:rFonts w:hint="eastAsia"/>
              </w:rPr>
              <w:t>安全性、有效性、技术创新性</w:t>
            </w:r>
          </w:p>
        </w:tc>
        <w:tc>
          <w:p w14:paraId="222B8246">
            <w:pPr>
              <w:pStyle w:val="25"/>
            </w:pPr>
            <w:r>
              <w:rPr>
                <w:rFonts w:hint="eastAsia"/>
              </w:rPr>
              <w:t>不良反应信号、临床试验数据、分子新颖性</w:t>
            </w:r>
          </w:p>
        </w:tc>
      </w:tr>
      <w:tr w14:paraId="4B7A86D5">
        <w:tc>
          <w:p w14:paraId="4C2C4E8C">
            <w:pPr>
              <w:pStyle w:val="25"/>
            </w:pPr>
            <w:r>
              <w:rPr>
                <w:rFonts w:hint="eastAsia"/>
              </w:rPr>
              <w:t>经济-效率逻辑</w:t>
            </w:r>
          </w:p>
        </w:tc>
        <w:tc>
          <w:p w14:paraId="30582CCB">
            <w:pPr>
              <w:pStyle w:val="25"/>
            </w:pPr>
            <w:r>
              <w:rPr>
                <w:rFonts w:hint="eastAsia"/>
              </w:rPr>
              <w:t>医保局</w:t>
            </w:r>
          </w:p>
        </w:tc>
        <w:tc>
          <w:p w14:paraId="675C8C2D">
            <w:pPr>
              <w:pStyle w:val="25"/>
            </w:pPr>
            <w:r>
              <w:rPr>
                <w:rFonts w:hint="eastAsia"/>
              </w:rPr>
              <w:t>基金可持续，价值定价</w:t>
            </w:r>
          </w:p>
        </w:tc>
        <w:tc>
          <w:p w14:paraId="7387056D">
            <w:pPr>
              <w:pStyle w:val="25"/>
            </w:pPr>
            <w:r>
              <w:rPr>
                <w:rFonts w:hint="eastAsia"/>
              </w:rPr>
              <w:t>经济性、增量成本效果</w:t>
            </w:r>
          </w:p>
        </w:tc>
        <w:tc>
          <w:p w14:paraId="5D47B23D">
            <w:pPr>
              <w:pStyle w:val="25"/>
            </w:pPr>
            <w:r>
              <w:rPr>
                <w:rFonts w:hint="eastAsia"/>
              </w:rPr>
              <w:t>增量成本效果比、预算影响、替代疗法</w:t>
            </w:r>
          </w:p>
        </w:tc>
      </w:tr>
      <w:tr w14:paraId="3204C847">
        <w:tc>
          <w:p w14:paraId="21CCAD5B">
            <w:pPr>
              <w:pStyle w:val="25"/>
            </w:pPr>
            <w:r>
              <w:rPr>
                <w:rFonts w:hint="eastAsia"/>
              </w:rPr>
              <w:t>公共服务逻辑</w:t>
            </w:r>
          </w:p>
        </w:tc>
        <w:tc>
          <w:p w14:paraId="699202A5">
            <w:pPr>
              <w:pStyle w:val="25"/>
            </w:pPr>
            <w:r>
              <w:rPr>
                <w:rFonts w:hint="eastAsia"/>
              </w:rPr>
              <w:t>卫健委</w:t>
            </w:r>
          </w:p>
        </w:tc>
        <w:tc>
          <w:p w14:paraId="64E781AD">
            <w:pPr>
              <w:pStyle w:val="25"/>
            </w:pPr>
            <w:r>
              <w:rPr>
                <w:rFonts w:hint="eastAsia"/>
              </w:rPr>
              <w:t>保障健康权益，优化医疗服务</w:t>
            </w:r>
          </w:p>
        </w:tc>
        <w:tc>
          <w:p w14:paraId="208BFE42">
            <w:pPr>
              <w:pStyle w:val="25"/>
            </w:pPr>
            <w:r>
              <w:rPr>
                <w:rFonts w:hint="eastAsia"/>
              </w:rPr>
              <w:t>公平性、可及性、临床需求</w:t>
            </w:r>
          </w:p>
        </w:tc>
        <w:tc>
          <w:p w14:paraId="46174A44">
            <w:pPr>
              <w:pStyle w:val="25"/>
            </w:pPr>
            <w:r>
              <w:rPr>
                <w:rFonts w:hint="eastAsia"/>
              </w:rPr>
              <w:t>疾病负担、地区差异、基层配备</w:t>
            </w:r>
          </w:p>
        </w:tc>
      </w:tr>
    </w:tbl>
    <w:p w14:paraId="1614F67B">
      <w:pPr>
        <w:pStyle w:val="58"/>
      </w:pPr>
      <w:r>
        <w:rPr>
          <w:rFonts w:hint="eastAsia"/>
        </w:rPr>
        <w:t>资料来源：作者整理。</w:t>
      </w:r>
    </w:p>
    <w:p w14:paraId="677C771F">
      <w:pPr>
        <w:pStyle w:val="57"/>
      </w:pPr>
      <w:r>
        <w:drawing>
          <wp:inline distT="0" distB="0" distL="114300" distR="114300">
            <wp:extent cx="5334000" cy="345122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14:paraId="7111EF5F">
      <w:pPr>
        <w:pStyle w:val="56"/>
      </w:pPr>
      <w:r>
        <w:rPr>
          <w:rFonts w:hint="eastAsia"/>
        </w:rPr>
        <w:t>图1</w:t>
      </w:r>
      <w:r>
        <w:t xml:space="preserve"> </w:t>
      </w:r>
      <w:r>
        <w:rPr>
          <w:rFonts w:hint="eastAsia"/>
        </w:rPr>
        <w:t>“制度逻辑—组织注意力”分析框架</w:t>
      </w:r>
    </w:p>
    <w:p w14:paraId="2EA99995">
      <w:pPr>
        <w:pStyle w:val="58"/>
      </w:pPr>
      <w:r>
        <w:rPr>
          <w:rFonts w:hint="eastAsia"/>
        </w:rPr>
        <w:t>资料来源：作者绘制。</w:t>
      </w:r>
    </w:p>
    <w:p w14:paraId="67FF0915">
      <w:pPr>
        <w:pStyle w:val="3"/>
      </w:pPr>
      <w:r>
        <w:rPr>
          <w:rFonts w:hint="eastAsia"/>
        </w:rPr>
        <w: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展开与检验。</w:t>
      </w:r>
    </w:p>
    <w:bookmarkEnd w:id="5"/>
    <w:bookmarkEnd w:id="7"/>
    <w:p w14:paraId="247894B9">
      <w:pPr>
        <w:pStyle w:val="2"/>
      </w:pPr>
      <w:bookmarkStart w:id="8" w:name="研究设计"/>
      <w:r>
        <w:t xml:space="preserve">4 </w:t>
      </w:r>
      <w:r>
        <w:rPr>
          <w:rFonts w:hint="eastAsia"/>
        </w:rPr>
        <w:t>研究设计</w:t>
      </w:r>
    </w:p>
    <w:p w14:paraId="479E5379">
      <w:pPr>
        <w:pStyle w:val="4"/>
      </w:pPr>
      <w:bookmarkStart w:id="9" w:name="政策文本选取与编码方案"/>
      <w:r>
        <w:t xml:space="preserve">4.1 </w:t>
      </w:r>
      <w:r>
        <w:rPr>
          <w:rFonts w:hint="eastAsia"/>
        </w:rPr>
        <w:t>政策文本选取与编码方案</w:t>
      </w:r>
    </w:p>
    <w:p w14:paraId="52F6E461">
      <w:pPr>
        <w:pStyle w:val="24"/>
      </w:pPr>
      <w:r>
        <w:rPr>
          <w:rFonts w:hint="eastAsia"/>
        </w:rPr>
        <w:t>本文选取2017-2026年药监局（含其药品审评中心，以下简称药审中心）、医保局、卫健委三部门发布的涉及创新药评价的规范性文件进行计算编码分析。选择2017年为起点，是因为该年度国家医保药品目录调整首次引入谈判准入方式（2015-2016年的国家药品价格谈判试点尚未与目录调整直接挂钩），中国创新药评价由此进入多部门协同阶段；这一时间窗口覆盖了十五五之前的制度积累期，有助于从制度文本中追溯三医协同的制度基础和结构性障碍。</w:t>
      </w:r>
    </w:p>
    <w:p w14:paraId="5889AEFA">
      <w:pPr>
        <w:pStyle w:val="3"/>
      </w:pPr>
      <w:r>
        <w:rPr>
          <w:rFonts w:hint="eastAsia"/>
        </w:rPr>
        <w:t>在文本收集上，以北大法宝和各部门官方网站为来源，收集三部门在上述时间窗口内发布的创新药相关政策文件全文，文本收集截止至</w:t>
      </w:r>
      <w:r>
        <w:rPr>
          <w:rFonts w:hint="eastAsia"/>
          <w:highlight w:val="yellow"/>
        </w:rPr>
        <w:t>2026年7月</w:t>
      </w:r>
      <w:r>
        <w:rPr>
          <w:rFonts w:hint="eastAsia"/>
        </w:rPr>
        <w:t>。筛选过程排除了纯药品清单（医保药品目录本身）、抗肿瘤临床应用指导原则（逐年更新的临床用药手册，非评价框架文件）、年度药品审评报告（统计年鉴性质）、DRG/DIP付费技术规范以及征求意见稿（已有正式版者），最终纳入政策文本共55份，其中药监局系统（含药审中心）19份、医保局系统24份、卫健委系统10份、国务院2份。</w:t>
      </w:r>
    </w:p>
    <w:p w14:paraId="5980407E">
      <w:pPr>
        <w:pStyle w:val="3"/>
      </w:pPr>
      <w:r>
        <w:rPr>
          <w:rFonts w:hint="eastAsia"/>
        </w:rPr>
        <w:t>编码框架采用安全性、有效性、经济性、创新性、公平性五个一级维度。编码方法采用基于关键词词典的计算文本分析（Sevenans等</w:t>
      </w:r>
      <w:r>
        <w:t xml:space="preserve"> 2014</w:t>
      </w:r>
      <w:r>
        <w:rPr>
          <w:vertAlign w:val="superscript"/>
        </w:rPr>
        <w:t>[30]</w:t>
      </w:r>
      <w:r>
        <w:rPr>
          <w:rFonts w:hint="eastAsia"/>
        </w:rPr>
        <w:t>；曾润喜和莫敏丽</w:t>
      </w:r>
      <w:r>
        <w:t xml:space="preserve"> 2023</w:t>
      </w:r>
      <w:r>
        <w:rPr>
          <w:vertAlign w:val="superscript"/>
        </w:rPr>
        <w:t>[31]</w:t>
      </w:r>
      <w:r>
        <w:rPr>
          <w:rFonts w:hint="eastAsia"/>
        </w:rPr>
        <w:t>），词典构建遵循“种子词提取—统计验证与候选发现—迭代扩展”三步流程，其方法论依据在于：通用词典在特定领域中易产生系统性误分类，词典须从领域文本中专门构建（Loughran和McDonald</w:t>
      </w:r>
      <w:r>
        <w:t xml:space="preserve"> 2011</w:t>
      </w:r>
      <w:r>
        <w:rPr>
          <w:vertAlign w:val="superscript"/>
        </w:rPr>
        <w:t>[32]</w:t>
      </w:r>
      <w:r>
        <w:rPr>
          <w:rFonts w:hint="eastAsia"/>
        </w:rPr>
        <w:t>），且词典编码的有效性取决于词表是否经过问题导向的验证和迭代优化（Grimmer和Stewart</w:t>
      </w:r>
      <w:r>
        <w:t xml:space="preserve"> 2013</w:t>
      </w:r>
      <w:r>
        <w:rPr>
          <w:vertAlign w:val="superscript"/>
        </w:rPr>
        <w:t>[33]</w:t>
      </w:r>
      <w:r>
        <w:rPr>
          <w:rFonts w:hint="eastAsia"/>
        </w:rPr>
        <w:t>）。</w:t>
      </w:r>
    </w:p>
    <w:p w14:paraId="03748605">
      <w:pPr>
        <w:pStyle w:val="3"/>
      </w:pPr>
      <w:r>
        <w:rPr>
          <w:rFonts w:hint="eastAsia"/>
        </w:rPr>
        <w:t>第一步，种子词提取。从核心法规条文中提取各维度种子词：安全性来源于《药品注册管理办法》</w:t>
      </w:r>
      <w:r>
        <w:rPr>
          <w:vertAlign w:val="superscript"/>
        </w:rPr>
        <w:t>[34]</w:t>
      </w:r>
      <w:r>
        <w:rPr>
          <w:rFonts w:hint="eastAsia"/>
        </w:rPr>
        <w:t>第1条“安全、有效和质量可控”及《药品临床综合评价管理指南（2021年版）》</w:t>
      </w:r>
      <w:r>
        <w:rPr>
          <w:vertAlign w:val="superscript"/>
        </w:rPr>
        <w:t>[35]</w:t>
      </w:r>
      <w:r>
        <w:rPr>
          <w:rFonts w:hint="eastAsia"/>
        </w:rPr>
        <w:t>（以下简称《管理指南》）安全性指标（如“不良反应”“风险管理”“药物警戒”），有效性来源于《药品注册管理办法》第7条“以临床价值为导向”及《管理指南》有效性指标（如“临床获益”“生存率”“真实世界”），经济性来源于《基本医疗保险用药管理暂行办法》</w:t>
      </w:r>
      <w:r>
        <w:rPr>
          <w:vertAlign w:val="superscript"/>
        </w:rPr>
        <w:t>[36]</w:t>
      </w:r>
      <w:r>
        <w:rPr>
          <w:rFonts w:hint="eastAsia"/>
        </w:rPr>
        <w:t>（以下简称《暂行办法》）第7条“价格合理”及《管理指南》经济性指标（如“成本效果”“预算影响”“支付标准”），创新性来源于《药品注册管理办法》第四章加快上市注册程序及国务院44号文</w:t>
      </w:r>
      <w:r>
        <w:rPr>
          <w:vertAlign w:val="superscript"/>
        </w:rPr>
        <w:t>[37]</w:t>
      </w:r>
      <w:r>
        <w:rPr>
          <w:rFonts w:hint="eastAsia"/>
        </w:rPr>
        <w:t>（如“突破性治疗”“优先审评”“附条件批准”），公平性来源于《管理指南》适宜性和可及性指标（如“基本药物”“合理用药”“供应保障”）。需要说明的是，国务院44号文发布于2015年、早于本文时间窗口，其确立的加快审评审批制度术语为窗口期内政策所沿用，故此处仅作为创新性维度种子词的制度语源，该文件本身不纳入编码语料。五个维度共提取种子关键词61个。</w:t>
      </w:r>
    </w:p>
    <w:p w14:paraId="36347171">
      <w:pPr>
        <w:pStyle w:val="3"/>
      </w:pPr>
      <w:r>
        <w:rPr>
          <w:rFonts w:hint="eastAsia"/>
        </w:rPr>
        <w: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药监局文件，“支付”96%集中于医保局文件，“处方”77%集中于卫健委文件。</w:t>
      </w:r>
    </w:p>
    <w:p w14:paraId="2E6E3B45">
      <w:pPr>
        <w:pStyle w:val="3"/>
      </w:pPr>
      <w:r>
        <w:rPr>
          <w:rFonts w:hint="eastAsia"/>
        </w:rPr>
        <w:t>第三步，迭代扩展。在种子词和候选词基础上扩展复合词与正则表达式模式（如“风险”扩展为“风险管理”“风险评估”“获益-风险”等），最终形成每维度17-21个关键词的操作化词典（五维度共96个，全表见附录A）。</w:t>
      </w:r>
    </w:p>
    <w:p w14:paraId="1D85912C">
      <w:pPr>
        <w:pStyle w:val="3"/>
      </w:pPr>
      <w:r>
        <w:rPr>
          <w:rFonts w:hint="eastAsia"/>
        </w:rPr>
        <w:t>编码以句子为单元：以句号、分号、问号等标点为切分符对文本正文进行切分，</w:t>
      </w:r>
      <w:r>
        <w:rPr>
          <w:rFonts w:hint="eastAsia"/>
          <w:highlight w:val="yellow"/>
        </w:rPr>
        <w:t>剔除空白及无实质内容的片段后</w:t>
      </w:r>
      <w:r>
        <w:rPr>
          <w:rFonts w:hint="eastAsia"/>
        </w:rPr>
        <w:t>，55份文件共得到3387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1次。</w:t>
      </w:r>
    </w:p>
    <w:bookmarkEnd w:id="9"/>
    <w:p w14:paraId="699878E0">
      <w:pPr>
        <w:pStyle w:val="4"/>
      </w:pPr>
      <w:bookmarkStart w:id="10" w:name="编码信度检验"/>
      <w:r>
        <w:t xml:space="preserve">4.2 </w:t>
      </w:r>
      <w:r>
        <w:rPr>
          <w:rFonts w:hint="eastAsia"/>
        </w:rPr>
        <w:t>编码信度检验</w:t>
      </w:r>
    </w:p>
    <w:p w14:paraId="574EBED5">
      <w:pPr>
        <w:pStyle w:val="24"/>
      </w:pPr>
      <w:r>
        <w:rPr>
          <w:rFonts w:hint="eastAsia"/>
        </w:rPr>
        <w:t>为验证编码信度，本文采用“关键词词典编码+大语言模型（LLM）语义编码”双编码员设计。已有研究表明，LLM在文本标注任务中能够达到甚至超过人工编码员的一致性水平（Gilardi等</w:t>
      </w:r>
      <w:r>
        <w:t xml:space="preserve"> 2023</w:t>
      </w:r>
      <w:r>
        <w:rPr>
          <w:vertAlign w:val="superscript"/>
        </w:rPr>
        <w:t>[38]</w:t>
      </w:r>
      <w:r>
        <w:rPr>
          <w:rFonts w:hint="eastAsia"/>
        </w:rPr>
        <w:t>），可作为内容分析中可靠的第二编码员。LLM编码员（Claude Sonnet 4模型，版本号与参数设置见附录A）</w:t>
      </w:r>
      <w:r>
        <w:t xml:space="preserve"/>
      </w:r>
      <w:r>
        <w:rPr>
          <w:rFonts w:hint="eastAsia"/>
        </w:rPr>
        <w:t>对全部3387个句子依据相同的五维度框架独立编码，编码指令要求逐句判断是否涉及各评价维度，并遵循“提及不等于涉及，须实质性涉及方可编码”的保守编码原则。以每个维度为二分类变量计算Cohen’s</w:t>
      </w:r>
      <w:r>
        <w:t xml:space="preserve"> </w:t>
      </w:r>
      <w:r>
        <w:rPr>
          <w:rFonts w:hint="eastAsia"/>
        </w:rPr>
        <w:t>κ系数，结果见表2。</w:t>
      </w:r>
    </w:p>
    <w:p w14:paraId="64E89AA8">
      <w:pPr>
        <w:pStyle w:val="56"/>
      </w:pPr>
      <w:r>
        <w:rPr>
          <w:rFonts w:hint="eastAsia"/>
        </w:rPr>
        <w:t>表2</w:t>
      </w:r>
      <w:r>
        <w:t xml:space="preserve"> </w:t>
      </w:r>
      <w:r>
        <w:rPr>
          <w:rFonts w:hint="eastAsia"/>
        </w:rPr>
        <w:t>编码信度检验结果（Cohen’s</w:t>
      </w:r>
      <w:r>
        <w:t xml:space="preserve"> </w:t>
      </w:r>
      <w:r>
        <w:rPr>
          <w:rFonts w:hint="eastAsia"/>
        </w:rPr>
        <w:t>κ系数）</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14:paraId="5896E9C9">
        <w:trPr>
          <w:tblHeader/>
        </w:trPr>
        <w:tc>
          <w:p w14:paraId="1D3A4D5A">
            <w:pPr>
              <w:pStyle w:val="25"/>
            </w:pPr>
            <w:r>
              <w:rPr>
                <w:rFonts w:hint="eastAsia"/>
              </w:rPr>
              <w:t>评价维度</w:t>
            </w:r>
          </w:p>
        </w:tc>
        <w:tc>
          <w:p w14:paraId="2019BC3A">
            <w:pPr>
              <w:pStyle w:val="25"/>
            </w:pPr>
            <w:r>
              <w:rPr>
                <w:rFonts w:hint="eastAsia"/>
              </w:rPr>
              <w:t>κ值</w:t>
            </w:r>
          </w:p>
        </w:tc>
        <w:tc>
          <w:p w14:paraId="79A579E0">
            <w:pPr>
              <w:pStyle w:val="25"/>
            </w:pPr>
            <w:r>
              <w:rPr>
                <w:rFonts w:hint="eastAsia"/>
              </w:rPr>
              <w:t>一致率（%）</w:t>
            </w:r>
          </w:p>
        </w:tc>
        <w:tc>
          <w:p w14:paraId="7F9C1E9F">
            <w:pPr>
              <w:pStyle w:val="25"/>
            </w:pPr>
            <w:r>
              <w:rPr>
                <w:rFonts w:hint="eastAsia"/>
              </w:rPr>
              <w:t>词典命中句数</w:t>
            </w:r>
          </w:p>
        </w:tc>
        <w:tc>
          <w:p w14:paraId="120BACAA">
            <w:pPr>
              <w:pStyle w:val="25"/>
            </w:pPr>
            <w:r>
              <w:rPr>
                <w:rFonts w:hint="eastAsia"/>
              </w:rPr>
              <w:t>LLM命中句数</w:t>
            </w:r>
          </w:p>
        </w:tc>
        <w:tc>
          <w:p w14:paraId="376BF3E4">
            <w:pPr>
              <w:pStyle w:val="25"/>
            </w:pPr>
            <w:r>
              <w:t xml:space="preserve">Landis &amp; </w:t>
            </w:r>
            <w:r>
              <w:rPr>
                <w:rFonts w:hint="eastAsia"/>
              </w:rPr>
              <w:t>Koch判定</w:t>
            </w:r>
          </w:p>
        </w:tc>
      </w:tr>
      <w:tr w14:paraId="3CD8CF66">
        <w:tc>
          <w:p w14:paraId="161CAB52">
            <w:pPr>
              <w:pStyle w:val="25"/>
            </w:pPr>
            <w:r>
              <w:rPr>
                <w:rFonts w:hint="eastAsia"/>
              </w:rPr>
              <w:t>安全性</w:t>
            </w:r>
          </w:p>
        </w:tc>
        <w:tc>
          <w:p w14:paraId="0808AA87">
            <w:pPr>
              <w:pStyle w:val="25"/>
            </w:pPr>
            <w:r>
              <w:t>0.896</w:t>
            </w:r>
          </w:p>
        </w:tc>
        <w:tc>
          <w:p w14:paraId="227ED9CA">
            <w:pPr>
              <w:pStyle w:val="25"/>
            </w:pPr>
            <w:r>
              <w:t>98.0</w:t>
            </w:r>
          </w:p>
        </w:tc>
        <w:tc>
          <w:p w14:paraId="49346A04">
            <w:pPr>
              <w:pStyle w:val="25"/>
            </w:pPr>
            <w:r>
              <w:t>348</w:t>
            </w:r>
          </w:p>
        </w:tc>
        <w:tc>
          <w:p w14:paraId="20723CB4">
            <w:pPr>
              <w:pStyle w:val="25"/>
            </w:pPr>
            <w:r>
              <w:t>369</w:t>
            </w:r>
          </w:p>
        </w:tc>
        <w:tc>
          <w:p w14:paraId="27E3F2AE">
            <w:pPr>
              <w:pStyle w:val="25"/>
            </w:pPr>
            <w:r>
              <w:rPr>
                <w:rFonts w:hint="eastAsia"/>
              </w:rPr>
              <w:t>几乎完全一致</w:t>
            </w:r>
          </w:p>
        </w:tc>
      </w:tr>
      <w:tr w14:paraId="0D9630D9">
        <w:tc>
          <w:p w14:paraId="7EC89AFA">
            <w:pPr>
              <w:pStyle w:val="25"/>
            </w:pPr>
            <w:r>
              <w:rPr>
                <w:rFonts w:hint="eastAsia"/>
              </w:rPr>
              <w:t>有效性</w:t>
            </w:r>
          </w:p>
        </w:tc>
        <w:tc>
          <w:p w14:paraId="7B80A265">
            <w:pPr>
              <w:pStyle w:val="25"/>
            </w:pPr>
            <w:r>
              <w:t>0.700</w:t>
            </w:r>
          </w:p>
        </w:tc>
        <w:tc>
          <w:p w14:paraId="71001DBD">
            <w:pPr>
              <w:pStyle w:val="25"/>
            </w:pPr>
            <w:r>
              <w:t>94.3</w:t>
            </w:r>
          </w:p>
        </w:tc>
        <w:tc>
          <w:p w14:paraId="4F173CB5">
            <w:pPr>
              <w:pStyle w:val="25"/>
            </w:pPr>
            <w:r>
              <w:t>440</w:t>
            </w:r>
          </w:p>
        </w:tc>
        <w:tc>
          <w:p w14:paraId="64E7C886">
            <w:pPr>
              <w:pStyle w:val="25"/>
            </w:pPr>
            <w:r>
              <w:t>275</w:t>
            </w:r>
          </w:p>
        </w:tc>
        <w:tc>
          <w:p w14:paraId="252A76BB">
            <w:pPr>
              <w:pStyle w:val="25"/>
            </w:pPr>
            <w:r>
              <w:rPr>
                <w:rFonts w:hint="eastAsia"/>
              </w:rPr>
              <w:t>实质性一致</w:t>
            </w:r>
          </w:p>
        </w:tc>
      </w:tr>
      <w:tr w14:paraId="78394A31">
        <w:tc>
          <w:p w14:paraId="375731C0">
            <w:pPr>
              <w:pStyle w:val="25"/>
            </w:pPr>
            <w:r>
              <w:rPr>
                <w:rFonts w:hint="eastAsia"/>
              </w:rPr>
              <w:t>经济性</w:t>
            </w:r>
          </w:p>
        </w:tc>
        <w:tc>
          <w:p w14:paraId="4A8B1454">
            <w:pPr>
              <w:pStyle w:val="25"/>
            </w:pPr>
            <w:r>
              <w:t>0.921</w:t>
            </w:r>
          </w:p>
        </w:tc>
        <w:tc>
          <w:p w14:paraId="52C6639A">
            <w:pPr>
              <w:pStyle w:val="25"/>
            </w:pPr>
            <w:r>
              <w:t>97.3</w:t>
            </w:r>
          </w:p>
        </w:tc>
        <w:tc>
          <w:p w14:paraId="2978A00B">
            <w:pPr>
              <w:pStyle w:val="25"/>
            </w:pPr>
            <w:r>
              <w:t>736</w:t>
            </w:r>
          </w:p>
        </w:tc>
        <w:tc>
          <w:p w14:paraId="38EEAB93">
            <w:pPr>
              <w:pStyle w:val="25"/>
            </w:pPr>
            <w:r>
              <w:t>777</w:t>
            </w:r>
          </w:p>
        </w:tc>
        <w:tc>
          <w:p w14:paraId="02A2C138">
            <w:pPr>
              <w:pStyle w:val="25"/>
            </w:pPr>
            <w:r>
              <w:rPr>
                <w:rFonts w:hint="eastAsia"/>
              </w:rPr>
              <w:t>几乎完全一致</w:t>
            </w:r>
          </w:p>
        </w:tc>
      </w:tr>
      <w:tr w14:paraId="54FCD350">
        <w:tc>
          <w:p w14:paraId="0D1E4CFD">
            <w:pPr>
              <w:pStyle w:val="25"/>
            </w:pPr>
            <w:r>
              <w:rPr>
                <w:rFonts w:hint="eastAsia"/>
              </w:rPr>
              <w:t>创新性</w:t>
            </w:r>
          </w:p>
        </w:tc>
        <w:tc>
          <w:p w14:paraId="12181981">
            <w:pPr>
              <w:pStyle w:val="25"/>
            </w:pPr>
            <w:r>
              <w:t>0.917</w:t>
            </w:r>
          </w:p>
        </w:tc>
        <w:tc>
          <w:p w14:paraId="0367BEAE">
            <w:pPr>
              <w:pStyle w:val="25"/>
            </w:pPr>
            <w:r>
              <w:t>98.4</w:t>
            </w:r>
          </w:p>
        </w:tc>
        <w:tc>
          <w:p w14:paraId="0BFF0662">
            <w:pPr>
              <w:pStyle w:val="25"/>
            </w:pPr>
            <w:r>
              <w:t>365</w:t>
            </w:r>
          </w:p>
        </w:tc>
        <w:tc>
          <w:p w14:paraId="198D9064">
            <w:pPr>
              <w:pStyle w:val="25"/>
            </w:pPr>
            <w:r>
              <w:t>352</w:t>
            </w:r>
          </w:p>
        </w:tc>
        <w:tc>
          <w:p w14:paraId="7A032E36">
            <w:pPr>
              <w:pStyle w:val="25"/>
            </w:pPr>
            <w:r>
              <w:rPr>
                <w:rFonts w:hint="eastAsia"/>
              </w:rPr>
              <w:t>几乎完全一致</w:t>
            </w:r>
          </w:p>
        </w:tc>
      </w:tr>
      <w:tr w14:paraId="0CFA0D19">
        <w:tc>
          <w:p w14:paraId="5A6CBB04">
            <w:pPr>
              <w:pStyle w:val="25"/>
            </w:pPr>
            <w:r>
              <w:rPr>
                <w:rFonts w:hint="eastAsia"/>
              </w:rPr>
              <w:t>公平性</w:t>
            </w:r>
          </w:p>
        </w:tc>
        <w:tc>
          <w:p w14:paraId="392A50B9">
            <w:pPr>
              <w:pStyle w:val="25"/>
            </w:pPr>
            <w:r>
              <w:t>0.831</w:t>
            </w:r>
          </w:p>
        </w:tc>
        <w:tc>
          <w:p w14:paraId="176BFB02">
            <w:pPr>
              <w:pStyle w:val="25"/>
            </w:pPr>
            <w:r>
              <w:t>97.6</w:t>
            </w:r>
          </w:p>
        </w:tc>
        <w:tc>
          <w:p w14:paraId="484D3A0E">
            <w:pPr>
              <w:pStyle w:val="25"/>
            </w:pPr>
            <w:r>
              <w:t>232</w:t>
            </w:r>
          </w:p>
        </w:tc>
        <w:tc>
          <w:p w14:paraId="6C607482">
            <w:pPr>
              <w:pStyle w:val="25"/>
            </w:pPr>
            <w:r>
              <w:t>280</w:t>
            </w:r>
          </w:p>
        </w:tc>
        <w:tc>
          <w:p w14:paraId="75D4A83B">
            <w:pPr>
              <w:pStyle w:val="25"/>
            </w:pPr>
            <w:r>
              <w:rPr>
                <w:rFonts w:hint="eastAsia"/>
              </w:rPr>
              <w:t>几乎完全一致</w:t>
            </w:r>
          </w:p>
        </w:tc>
      </w:tr>
      <w:tr w14:paraId="3E9AFEA7">
        <w:tc>
          <w:p w14:paraId="29A034E1">
            <w:pPr>
              <w:pStyle w:val="25"/>
            </w:pPr>
            <w:r>
              <w:rPr>
                <w:rFonts w:hint="eastAsia"/>
                <w:b/>
                <w:bCs/>
              </w:rPr>
              <w:t>总体</w:t>
            </w:r>
          </w:p>
        </w:tc>
        <w:tc>
          <w:p w14:paraId="1A87C3E2">
            <w:pPr>
              <w:pStyle w:val="25"/>
            </w:pPr>
            <w:r>
              <w:rPr>
                <w:b/>
                <w:bCs/>
              </w:rPr>
              <w:t>0.867</w:t>
            </w:r>
          </w:p>
        </w:tc>
        <w:tc>
          <w:p w14:paraId="1C7E4382">
            <w:pPr>
              <w:pStyle w:val="25"/>
            </w:pPr>
            <w:r>
              <w:rPr>
                <w:b/>
                <w:bCs/>
              </w:rPr>
              <w:t>97.1</w:t>
            </w:r>
          </w:p>
        </w:tc>
        <w:tc>
          <w:p w14:paraId="433FA133">
            <w:pPr>
              <w:pStyle w:val="25"/>
            </w:pPr>
            <w:r>
              <w:t>—</w:t>
            </w:r>
          </w:p>
        </w:tc>
        <w:tc>
          <w:p w14:paraId="7E422BFE">
            <w:pPr>
              <w:pStyle w:val="25"/>
            </w:pPr>
            <w:r>
              <w:t>—</w:t>
            </w:r>
          </w:p>
        </w:tc>
        <w:tc>
          <w:p w14:paraId="7D6F658C">
            <w:pPr>
              <w:pStyle w:val="25"/>
            </w:pPr>
            <w:r>
              <w:rPr>
                <w:rFonts w:hint="eastAsia"/>
                <w:b/>
                <w:bCs/>
              </w:rPr>
              <w:t>几乎完全一致</w:t>
            </w:r>
          </w:p>
        </w:tc>
      </w:tr>
    </w:tbl>
    <w:p w14:paraId="2FD5B40C">
      <w:pPr>
        <w:pStyle w:val="58"/>
      </w:pPr>
      <w:r>
        <w:rPr>
          <w:rFonts w:hint="eastAsia"/>
        </w:rPr>
        <w:t>注：编码员A为关键词词典自动编码，编码员B为LLM语义编码；Landis和Koch（1977）</w:t>
      </w:r>
      <w:r>
        <w:rPr>
          <w:vertAlign w:val="superscript"/>
        </w:rPr>
        <w:t>[39]</w:t>
      </w:r>
      <w:r>
        <w:rPr>
          <w:rFonts w:hint="eastAsia"/>
        </w:rPr>
        <w:t>判定标准：0.81-1.00为几乎完全一致，0.61-0.80为实质性一致。资料来源：作者计算。</w:t>
      </w:r>
    </w:p>
    <w:p w14:paraId="3E5B7BC9">
      <w:pPr>
        <w:pStyle w:val="3"/>
      </w:pPr>
      <w:r>
        <w:rPr>
          <w:rFonts w:hint="eastAsia"/>
        </w:rPr>
        <w:t>表2显示，五个维度的κ值介于0.700-0.921之间，总体κ为0.867，属于“几乎完全一致”。由于各维度阳性句占比较低（6.8%-21.7%），高一致率在一定程度上受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药监局文件），即便全部剔除，药监局的有效性占比也仅由44.9%降至43.7%，各部门注意力排序不受影响。</w:t>
      </w:r>
    </w:p>
    <w:p w14:paraId="6D325991">
      <w:pPr>
        <w:pStyle w:val="3"/>
      </w:pPr>
      <w:r>
        <w:rPr>
          <w:rFonts w:hint="eastAsia"/>
        </w:rPr>
        <w:t>总体来看，3387个句子中456个（13.5%）存在编码差异，其中词典单独命中253个（过度匹配）、LLM单独命中186个（词典遗漏）、命中维度不同17个。词典法规则透明、完全可复现，但难以识别隐含语义；LLM具备语义理解能力，但输出存在随机性。二者互为补充，总体κ达0.867表明词典编码结果具有可接受的信度。</w:t>
      </w:r>
    </w:p>
    <w:bookmarkEnd w:id="10"/>
    <w:p w14:paraId="13402B8E">
      <w:pPr>
        <w:pStyle w:val="4"/>
      </w:pPr>
      <w:bookmarkStart w:id="11" w:name="专家访谈设计"/>
      <w:r>
        <w:t xml:space="preserve">4.3 </w:t>
      </w:r>
      <w:r>
        <w:rPr>
          <w:rFonts w:hint="eastAsia"/>
        </w:rPr>
        <w:t>专家访谈设计</w:t>
      </w:r>
    </w:p>
    <w:p w14:paraId="6A75D57B">
      <w:pPr>
        <w:pStyle w:val="24"/>
      </w:pPr>
      <w:r>
        <w:rPr>
          <w:rFonts w:hint="eastAsia"/>
        </w:rPr>
        <w:t>为印证政策文本编码结果并追溯评价分歧的认知根源，课题组于</w:t>
      </w:r>
      <w:r>
        <w:rPr>
          <w:rFonts w:hint="eastAsia"/>
          <w:highlight w:val="yellow"/>
        </w:rPr>
        <w:t>2025年2月至6月</w:t>
      </w:r>
      <w:r>
        <w:rPr>
          <w:rFonts w:hint="eastAsia"/>
        </w:rPr>
        <w:t>开展了辅助性专家访谈与调研，包括</w:t>
      </w:r>
      <w:r>
        <w:rPr>
          <w:rFonts w:hint="eastAsia"/>
          <w:highlight w:val="yellow"/>
        </w:rPr>
        <w:t>2场</w:t>
      </w:r>
      <w:r>
        <w:rPr>
          <w:rFonts w:hint="eastAsia"/>
        </w:rPr>
        <w:t>半结构化一对一深度访谈和</w:t>
      </w:r>
      <w:r>
        <w:rPr>
          <w:rFonts w:hint="eastAsia"/>
          <w:highlight w:val="yellow"/>
        </w:rPr>
        <w:t>3场</w:t>
      </w:r>
      <w:r>
        <w:rPr>
          <w:rFonts w:hint="eastAsia"/>
        </w:rPr>
        <w:t>专家研讨会。一对一访谈对象为</w:t>
      </w:r>
      <w:r>
        <w:rPr>
          <w:rFonts w:hint="eastAsia"/>
          <w:highlight w:val="yellow"/>
        </w:rPr>
        <w:t>医疗机构药事管理与医保目录评审领域资深专家1人、医保评审领域专家1人</w:t>
      </w:r>
      <w:r>
        <w:rPr>
          <w:rFonts w:hint="eastAsia"/>
        </w:rPr>
        <w:t>，纳入考虑为长期直接参与国家医保药品目录评审、谈判或药品临床综合评价工作；访谈采用面访方式，每次</w:t>
      </w:r>
      <w:r>
        <w:rPr>
          <w:rFonts w:hint="eastAsia"/>
          <w:highlight w:val="yellow"/>
        </w:rPr>
        <w:t>1.5-2.5小时</w:t>
      </w:r>
      <w:r>
        <w:rPr>
          <w:rFonts w:hint="eastAsia"/>
        </w:rPr>
        <w:t>。专家研讨会与会者涵盖医保管理部门、宏观管理部门、行业协会、精算与投资机构及创新药企业市场准入部门的专家共</w:t>
      </w:r>
      <w:r>
        <w:rPr>
          <w:rFonts w:hint="eastAsia"/>
          <w:highlight w:val="yellow"/>
        </w:rPr>
        <w:t>13名（药监局专家未能安排一对一访谈，相关评价标准信息经由研讨会及药审中心公开技术文件补充）</w:t>
      </w:r>
      <w:r>
        <w:rPr>
          <w:rFonts w:hint="eastAsia"/>
        </w:rPr>
        <w:t>。访谈与研讨围绕三个主题模块展开：各部门对“创新”的界定与判据、评价所要求的证据类型与充分性标准、各评价维度的权重考量。</w:t>
      </w:r>
    </w:p>
    <w:p w14:paraId="40CFA757">
      <w:pPr>
        <w:pStyle w:val="3"/>
      </w:pPr>
      <w:r>
        <w:rPr>
          <w:rFonts w:hint="eastAsia"/>
        </w:rPr>
        <w:t>访谈提纲依据第3节分析框架设计，并经</w:t>
      </w:r>
      <w:r>
        <w:rPr>
          <w:rFonts w:hint="eastAsia"/>
          <w:highlight w:val="yellow"/>
        </w:rPr>
        <w:t>2025年5月课题研讨会</w:t>
      </w:r>
      <w:r>
        <w:rPr>
          <w:rFonts w:hint="eastAsia"/>
        </w:rPr>
        <w:t>讨论修订。访谈经受访者同意后记录整理，形成纪要与转录文本合计约</w:t>
      </w:r>
      <w:r>
        <w:rPr>
          <w:rFonts w:hint="eastAsia"/>
          <w:highlight w:val="yellow"/>
        </w:rPr>
        <w:t>6万字</w:t>
      </w:r>
      <w:r>
        <w:rPr>
          <w:rFonts w:hint="eastAsia"/>
        </w:rPr>
        <w:t>；</w:t>
      </w:r>
      <w:r>
        <w:rPr>
          <w:rFonts w:hint="eastAsia"/>
          <w:highlight w:val="yellow"/>
        </w:rPr>
        <w:t>资料由两名研究人员分别整理并交叉核对，按上述三个主题模块进行归纳</w:t>
      </w:r>
      <w:r>
        <w:rPr>
          <w:rFonts w:hint="eastAsia"/>
        </w:rPr>
        <w:t>，分析结果与第5节政策文本编码结果互为印证。需要说明的是，本文的访谈属于辅助性证据，用于验证和解释文本编码结果，而非独立的质性研究数据来源。</w:t>
      </w:r>
    </w:p>
    <w:bookmarkEnd w:id="8"/>
    <w:bookmarkEnd w:id="11"/>
    <w:p w14:paraId="29D4E6F4">
      <w:pPr>
        <w:pStyle w:val="2"/>
      </w:pPr>
      <w:bookmarkStart w:id="12" w:name="政策文本比较分析"/>
      <w:r>
        <w:t xml:space="preserve">5 </w:t>
      </w:r>
      <w:r>
        <w:rPr>
          <w:rFonts w:hint="eastAsia"/>
        </w:rPr>
        <w:t>政策文本比较分析</w:t>
      </w:r>
    </w:p>
    <w:p w14:paraId="3A918A31">
      <w:pPr>
        <w:pStyle w:val="4"/>
      </w:pPr>
      <w:bookmarkStart w:id="13" w:name="政策文本的选取与编码概况"/>
      <w:r>
        <w:t xml:space="preserve">5.1 </w:t>
      </w:r>
      <w:r>
        <w:rPr>
          <w:rFonts w:hint="eastAsia"/>
        </w:rPr>
        <w:t>政策文本的选取与编码概况</w:t>
      </w:r>
    </w:p>
    <w:p w14:paraId="4496ABC6">
      <w:pPr>
        <w:pStyle w:val="24"/>
      </w:pPr>
      <w:r>
        <w:rPr>
          <w:rFonts w:hint="eastAsia"/>
        </w:rPr>
        <w:t>依据4.1节标准，最终纳入分析的55份政策文本中，药监局系统文件涵盖《药品注册管理办法》（2020）、《关于深化审评审批制度改革鼓励药品医疗器械创新的意见》（2017）等基础性法规，以及药审中心发布的创新药临床试验申报资料要求、风险管理计划撰写指导原则等技术规范；医保局系统文件涵盖《基本医疗保险用药管理暂行办法》（2020）、2019-2026年历年医保药品目录调整工作方案和申报指南、谈判药品续约规则、非独家药品竞价规则等准入和定价规则；卫健委系统文件涵盖《药品临床综合评价管理指南》（2021年版）、合理用药管理意见、医疗质量行动方案和基层药品联动管理机制等；国务院文件为医药卫生体制改革和医疗保障制度改革顶层文件，作为跨部门参照。从时间分布看，2020年为政策密集发布年，与当年基础性法规集中出台有关；2024-2026年出现第二轮政策密集期，反映了十五五前夕创新药全链条政策加速成型的特征。</w:t>
      </w:r>
    </w:p>
    <w:p w14:paraId="01FE106B">
      <w:pPr>
        <w:pStyle w:val="3"/>
      </w:pPr>
      <w:r>
        <w:rPr>
          <w:rFonts w:hint="eastAsia"/>
        </w:rPr>
        <w:t>对55份文本进行句子级关键词编码后，共提取有效句子3387句，其中命中至少一个评价维度的编码句1701句，五维度命中句次合计2121（同一句子可同时命中多个维度，故句次合计大于编码句数）。分部门看，药监局系统808、医保局系统1035、卫健委系统180、国务院98，各部门编码量级与其文本数量和篇幅基本匹配。</w:t>
      </w:r>
    </w:p>
    <w:bookmarkEnd w:id="13"/>
    <w:p w14:paraId="47E983D1">
      <w:pPr>
        <w:pStyle w:val="4"/>
      </w:pPr>
      <w:bookmarkStart w:id="14" w:name="评价维度的部门间配置差异"/>
      <w:r>
        <w:t xml:space="preserve">5.2 </w:t>
      </w:r>
      <w:r>
        <w:rPr>
          <w:rFonts w:hint="eastAsia"/>
        </w:rPr>
        <w:t>评价维度的部门间配置差异</w:t>
      </w:r>
    </w:p>
    <w:p w14:paraId="660B1123">
      <w:pPr>
        <w:pStyle w:val="24"/>
      </w:pPr>
      <w:r>
        <w:rPr>
          <w:rFonts w:hint="eastAsia"/>
        </w:rPr>
        <w:t>表3报告了三部门政策文本在五个评价维度上的命中句次，表4报告了各部门的注意力占比（各维度句次占该部门五维度句次合计的百分比），图2以雷达图呈现三部门的注意力配置格局。</w:t>
      </w:r>
    </w:p>
    <w:p w14:paraId="59F04745">
      <w:pPr>
        <w:pStyle w:val="56"/>
      </w:pPr>
      <w:r>
        <w:rPr>
          <w:rFonts w:hint="eastAsia"/>
        </w:rPr>
        <w:t>表3</w:t>
      </w:r>
      <w:r>
        <w:t xml:space="preserve"> </w:t>
      </w:r>
      <w:r>
        <w:rPr>
          <w:rFonts w:hint="eastAsia"/>
        </w:rPr>
        <w:t>政策文本评价维度命中句次</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14:paraId="56DF8374">
        <w:trPr>
          <w:tblHeader/>
        </w:trPr>
        <w:tc>
          <w:p w14:paraId="62C3789D">
            <w:pPr>
              <w:pStyle w:val="25"/>
            </w:pPr>
            <w:r>
              <w:rPr>
                <w:rFonts w:hint="eastAsia"/>
              </w:rPr>
              <w:t>部门</w:t>
            </w:r>
          </w:p>
        </w:tc>
        <w:tc>
          <w:p w14:paraId="6C029F41">
            <w:pPr>
              <w:pStyle w:val="25"/>
            </w:pPr>
            <w:r>
              <w:rPr>
                <w:rFonts w:hint="eastAsia"/>
              </w:rPr>
              <w:t>文件数</w:t>
            </w:r>
          </w:p>
        </w:tc>
        <w:tc>
          <w:p w14:paraId="1B97D4D9">
            <w:pPr>
              <w:pStyle w:val="25"/>
            </w:pPr>
            <w:r>
              <w:rPr>
                <w:rFonts w:hint="eastAsia"/>
              </w:rPr>
              <w:t>安全性</w:t>
            </w:r>
          </w:p>
        </w:tc>
        <w:tc>
          <w:p w14:paraId="10140099">
            <w:pPr>
              <w:pStyle w:val="25"/>
            </w:pPr>
            <w:r>
              <w:rPr>
                <w:rFonts w:hint="eastAsia"/>
              </w:rPr>
              <w:t>有效性</w:t>
            </w:r>
          </w:p>
        </w:tc>
        <w:tc>
          <w:p w14:paraId="19284165">
            <w:pPr>
              <w:pStyle w:val="25"/>
            </w:pPr>
            <w:r>
              <w:rPr>
                <w:rFonts w:hint="eastAsia"/>
              </w:rPr>
              <w:t>经济性</w:t>
            </w:r>
          </w:p>
        </w:tc>
        <w:tc>
          <w:p w14:paraId="4B5AA9B6">
            <w:pPr>
              <w:pStyle w:val="25"/>
            </w:pPr>
            <w:r>
              <w:rPr>
                <w:rFonts w:hint="eastAsia"/>
              </w:rPr>
              <w:t>创新性</w:t>
            </w:r>
          </w:p>
        </w:tc>
        <w:tc>
          <w:p w14:paraId="4ABCCAFD">
            <w:pPr>
              <w:pStyle w:val="25"/>
            </w:pPr>
            <w:r>
              <w:rPr>
                <w:rFonts w:hint="eastAsia"/>
              </w:rPr>
              <w:t>公平性</w:t>
            </w:r>
          </w:p>
        </w:tc>
        <w:tc>
          <w:p w14:paraId="1C539B75">
            <w:pPr>
              <w:pStyle w:val="25"/>
            </w:pPr>
            <w:r>
              <w:rPr>
                <w:rFonts w:hint="eastAsia"/>
              </w:rPr>
              <w:t>五维度合计</w:t>
            </w:r>
          </w:p>
        </w:tc>
      </w:tr>
      <w:tr w14:paraId="50630E25">
        <w:tc>
          <w:p w14:paraId="400FC398">
            <w:pPr>
              <w:pStyle w:val="25"/>
            </w:pPr>
            <w:r>
              <w:t>药监局</w:t>
            </w:r>
          </w:p>
        </w:tc>
        <w:tc>
          <w:p w14:paraId="34F89D38">
            <w:pPr>
              <w:pStyle w:val="25"/>
            </w:pPr>
            <w:r>
              <w:t>19</w:t>
            </w:r>
          </w:p>
        </w:tc>
        <w:tc>
          <w:p w14:paraId="44B6E1D3">
            <w:pPr>
              <w:pStyle w:val="25"/>
            </w:pPr>
            <w:r>
              <w:t>230</w:t>
            </w:r>
          </w:p>
        </w:tc>
        <w:tc>
          <w:p w14:paraId="40CC835D">
            <w:pPr>
              <w:pStyle w:val="25"/>
            </w:pPr>
            <w:r>
              <w:t>363</w:t>
            </w:r>
          </w:p>
        </w:tc>
        <w:tc>
          <w:p w14:paraId="4E006AA4">
            <w:pPr>
              <w:pStyle w:val="25"/>
            </w:pPr>
            <w:r>
              <w:t>6</w:t>
            </w:r>
          </w:p>
        </w:tc>
        <w:tc>
          <w:p w14:paraId="2F9D82F1">
            <w:pPr>
              <w:pStyle w:val="25"/>
            </w:pPr>
            <w:r>
              <w:t>174</w:t>
            </w:r>
          </w:p>
        </w:tc>
        <w:tc>
          <w:p w14:paraId="74B11A07">
            <w:pPr>
              <w:pStyle w:val="25"/>
            </w:pPr>
            <w:r>
              <w:t>35</w:t>
            </w:r>
          </w:p>
        </w:tc>
        <w:tc>
          <w:p w14:paraId="2513F88E">
            <w:pPr>
              <w:pStyle w:val="25"/>
            </w:pPr>
            <w:r>
              <w:t>808</w:t>
            </w:r>
          </w:p>
        </w:tc>
      </w:tr>
      <w:tr w14:paraId="2ED69BF7">
        <w:tc>
          <w:p w14:paraId="22C8C28A">
            <w:pPr>
              <w:pStyle w:val="25"/>
            </w:pPr>
            <w:r>
              <w:t>医保局</w:t>
            </w:r>
          </w:p>
        </w:tc>
        <w:tc>
          <w:p w14:paraId="6ED848BB">
            <w:pPr>
              <w:pStyle w:val="25"/>
            </w:pPr>
            <w:r>
              <w:t>24</w:t>
            </w:r>
          </w:p>
        </w:tc>
        <w:tc>
          <w:p w14:paraId="1CA2C0E6">
            <w:pPr>
              <w:pStyle w:val="25"/>
            </w:pPr>
            <w:r>
              <w:t>50</w:t>
            </w:r>
          </w:p>
        </w:tc>
        <w:tc>
          <w:p w14:paraId="520C10BA">
            <w:pPr>
              <w:pStyle w:val="25"/>
            </w:pPr>
            <w:r>
              <w:t>52</w:t>
            </w:r>
          </w:p>
        </w:tc>
        <w:tc>
          <w:p w14:paraId="6B23D468">
            <w:pPr>
              <w:pStyle w:val="25"/>
            </w:pPr>
            <w:r>
              <w:t>680</w:t>
            </w:r>
          </w:p>
        </w:tc>
        <w:tc>
          <w:p w14:paraId="500D7256">
            <w:pPr>
              <w:pStyle w:val="25"/>
            </w:pPr>
            <w:r>
              <w:t>164</w:t>
            </w:r>
          </w:p>
        </w:tc>
        <w:tc>
          <w:p w14:paraId="40F383FE">
            <w:pPr>
              <w:pStyle w:val="25"/>
            </w:pPr>
            <w:r>
              <w:t>89</w:t>
            </w:r>
          </w:p>
        </w:tc>
        <w:tc>
          <w:p w14:paraId="588CD82F">
            <w:pPr>
              <w:pStyle w:val="25"/>
            </w:pPr>
            <w:r>
              <w:t>1035</w:t>
            </w:r>
          </w:p>
        </w:tc>
      </w:tr>
      <w:tr w14:paraId="6C9BC22D">
        <w:tc>
          <w:p w14:paraId="588D8896">
            <w:pPr>
              <w:pStyle w:val="25"/>
            </w:pPr>
            <w:r>
              <w:t>卫健委</w:t>
            </w:r>
          </w:p>
        </w:tc>
        <w:tc>
          <w:p w14:paraId="6B14425D">
            <w:pPr>
              <w:pStyle w:val="25"/>
            </w:pPr>
            <w:r>
              <w:t>10</w:t>
            </w:r>
          </w:p>
        </w:tc>
        <w:tc>
          <w:p w14:paraId="30E92F59">
            <w:pPr>
              <w:pStyle w:val="25"/>
            </w:pPr>
            <w:r>
              <w:t>63</w:t>
            </w:r>
          </w:p>
        </w:tc>
        <w:tc>
          <w:p w14:paraId="3B5E17BE">
            <w:pPr>
              <w:pStyle w:val="25"/>
            </w:pPr>
            <w:r>
              <w:t>20</w:t>
            </w:r>
          </w:p>
        </w:tc>
        <w:tc>
          <w:p w14:paraId="4046461B">
            <w:pPr>
              <w:pStyle w:val="25"/>
            </w:pPr>
            <w:r>
              <w:t>13</w:t>
            </w:r>
          </w:p>
        </w:tc>
        <w:tc>
          <w:p w14:paraId="2B7B0FBA">
            <w:pPr>
              <w:pStyle w:val="25"/>
            </w:pPr>
            <w:r>
              <w:t>6</w:t>
            </w:r>
          </w:p>
        </w:tc>
        <w:tc>
          <w:p w14:paraId="147DB57D">
            <w:pPr>
              <w:pStyle w:val="25"/>
            </w:pPr>
            <w:r>
              <w:t>78</w:t>
            </w:r>
          </w:p>
        </w:tc>
        <w:tc>
          <w:p w14:paraId="213549D7">
            <w:pPr>
              <w:pStyle w:val="25"/>
            </w:pPr>
            <w:r>
              <w:t>180</w:t>
            </w:r>
          </w:p>
        </w:tc>
      </w:tr>
      <w:tr w14:paraId="6FC1F2F9">
        <w:tc>
          <w:p w14:paraId="43AB9B67">
            <w:pPr>
              <w:pStyle w:val="25"/>
            </w:pPr>
            <w:r>
              <w:t>国务院</w:t>
            </w:r>
          </w:p>
        </w:tc>
        <w:tc>
          <w:p w14:paraId="3E291E7E">
            <w:pPr>
              <w:pStyle w:val="25"/>
            </w:pPr>
            <w:r>
              <w:t>2</w:t>
            </w:r>
          </w:p>
        </w:tc>
        <w:tc>
          <w:p w14:paraId="5C21120B">
            <w:pPr>
              <w:pStyle w:val="25"/>
            </w:pPr>
            <w:r>
              <w:t>5</w:t>
            </w:r>
          </w:p>
        </w:tc>
        <w:tc>
          <w:p w14:paraId="5EF60B8A">
            <w:pPr>
              <w:pStyle w:val="25"/>
            </w:pPr>
            <w:r>
              <w:t>5</w:t>
            </w:r>
          </w:p>
        </w:tc>
        <w:tc>
          <w:p w14:paraId="1DCF8858">
            <w:pPr>
              <w:pStyle w:val="25"/>
            </w:pPr>
            <w:r>
              <w:t>37</w:t>
            </w:r>
          </w:p>
        </w:tc>
        <w:tc>
          <w:p w14:paraId="626A3AD1">
            <w:pPr>
              <w:pStyle w:val="25"/>
            </w:pPr>
            <w:r>
              <w:t>21</w:t>
            </w:r>
          </w:p>
        </w:tc>
        <w:tc>
          <w:p w14:paraId="3B96D225">
            <w:pPr>
              <w:pStyle w:val="25"/>
            </w:pPr>
            <w:r>
              <w:t>30</w:t>
            </w:r>
          </w:p>
        </w:tc>
        <w:tc>
          <w:p w14:paraId="7D62B292">
            <w:pPr>
              <w:pStyle w:val="25"/>
            </w:pPr>
            <w:r>
              <w:t>98</w:t>
            </w:r>
          </w:p>
        </w:tc>
      </w:tr>
      <w:tr w14:paraId="6DD41A77">
        <w:tc>
          <w:p w14:paraId="0EB101E8">
            <w:pPr>
              <w:pStyle w:val="25"/>
            </w:pPr>
            <w:r>
              <w:rPr>
                <w:rFonts w:hint="eastAsia"/>
              </w:rPr>
              <w:t>合计</w:t>
            </w:r>
          </w:p>
        </w:tc>
        <w:tc>
          <w:p w14:paraId="4A9D481B">
            <w:pPr>
              <w:pStyle w:val="25"/>
            </w:pPr>
            <w:r>
              <w:t>55</w:t>
            </w:r>
          </w:p>
        </w:tc>
        <w:tc>
          <w:p w14:paraId="04C3344E">
            <w:pPr>
              <w:pStyle w:val="25"/>
            </w:pPr>
            <w:r>
              <w:t>348</w:t>
            </w:r>
          </w:p>
        </w:tc>
        <w:tc>
          <w:p w14:paraId="1AEA0141">
            <w:pPr>
              <w:pStyle w:val="25"/>
            </w:pPr>
            <w:r>
              <w:t>440</w:t>
            </w:r>
          </w:p>
        </w:tc>
        <w:tc>
          <w:p w14:paraId="3AF44C0B">
            <w:pPr>
              <w:pStyle w:val="25"/>
            </w:pPr>
            <w:r>
              <w:t>736</w:t>
            </w:r>
          </w:p>
        </w:tc>
        <w:tc>
          <w:p w14:paraId="019CC202">
            <w:pPr>
              <w:pStyle w:val="25"/>
            </w:pPr>
            <w:r>
              <w:t>365</w:t>
            </w:r>
          </w:p>
        </w:tc>
        <w:tc>
          <w:p w14:paraId="19D65D60">
            <w:pPr>
              <w:pStyle w:val="25"/>
            </w:pPr>
            <w:r>
              <w:t>232</w:t>
            </w:r>
          </w:p>
        </w:tc>
        <w:tc>
          <w:p w14:paraId="26F5793F">
            <w:pPr>
              <w:pStyle w:val="25"/>
            </w:pPr>
            <w:r>
              <w:t>2121</w:t>
            </w:r>
          </w:p>
        </w:tc>
      </w:tr>
    </w:tbl>
    <w:p w14:paraId="0AF0AE63">
      <w:pPr>
        <w:pStyle w:val="58"/>
      </w:pPr>
      <w:r>
        <w:rPr>
          <w:rFonts w:hint="eastAsia"/>
        </w:rPr>
        <w:t>资料来源：根据55份政策文本编码结果统计。</w:t>
      </w:r>
    </w:p>
    <w:p w14:paraId="19E7CB21">
      <w:pPr>
        <w:pStyle w:val="56"/>
      </w:pPr>
      <w:r>
        <w:rPr>
          <w:rFonts w:hint="eastAsia"/>
        </w:rPr>
        <w:t>表4</w:t>
      </w:r>
      <w:r>
        <w:t xml:space="preserve"> </w:t>
      </w:r>
      <w:r>
        <w:rPr>
          <w:rFonts w:hint="eastAsia"/>
        </w:rPr>
        <w:t>政策文本评价维度注意力占比（%）</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25"/>
        <w:gridCol w:w="1467"/>
        <w:gridCol w:w="1467"/>
        <w:gridCol w:w="1467"/>
        <w:gridCol w:w="1467"/>
        <w:gridCol w:w="1467"/>
      </w:tblGrid>
      <w:tr w14:paraId="7A73395A">
        <w:trPr>
          <w:tblHeader/>
        </w:trPr>
        <w:tc>
          <w:p w14:paraId="39006918">
            <w:pPr>
              <w:pStyle w:val="25"/>
            </w:pPr>
            <w:r>
              <w:rPr>
                <w:rFonts w:hint="eastAsia"/>
              </w:rPr>
              <w:t>部门</w:t>
            </w:r>
          </w:p>
        </w:tc>
        <w:tc>
          <w:p w14:paraId="34668691">
            <w:pPr>
              <w:pStyle w:val="25"/>
            </w:pPr>
            <w:r>
              <w:rPr>
                <w:rFonts w:hint="eastAsia"/>
              </w:rPr>
              <w:t>安全性</w:t>
            </w:r>
          </w:p>
        </w:tc>
        <w:tc>
          <w:p w14:paraId="0A20DABC">
            <w:pPr>
              <w:pStyle w:val="25"/>
            </w:pPr>
            <w:r>
              <w:rPr>
                <w:rFonts w:hint="eastAsia"/>
              </w:rPr>
              <w:t>有效性</w:t>
            </w:r>
          </w:p>
        </w:tc>
        <w:tc>
          <w:p w14:paraId="1CE4C27F">
            <w:pPr>
              <w:pStyle w:val="25"/>
            </w:pPr>
            <w:r>
              <w:rPr>
                <w:rFonts w:hint="eastAsia"/>
              </w:rPr>
              <w:t>经济性</w:t>
            </w:r>
          </w:p>
        </w:tc>
        <w:tc>
          <w:p w14:paraId="6E1816A3">
            <w:pPr>
              <w:pStyle w:val="25"/>
            </w:pPr>
            <w:r>
              <w:rPr>
                <w:rFonts w:hint="eastAsia"/>
              </w:rPr>
              <w:t>创新性</w:t>
            </w:r>
          </w:p>
        </w:tc>
        <w:tc>
          <w:p w14:paraId="6BB98ED8">
            <w:pPr>
              <w:pStyle w:val="25"/>
            </w:pPr>
            <w:r>
              <w:rPr>
                <w:rFonts w:hint="eastAsia"/>
              </w:rPr>
              <w:t>公平性</w:t>
            </w:r>
          </w:p>
        </w:tc>
      </w:tr>
      <w:tr w14:paraId="5A932197">
        <w:tc>
          <w:p w14:paraId="19E0B4C6">
            <w:pPr>
              <w:pStyle w:val="25"/>
            </w:pPr>
            <w:r>
              <w:t>药监局</w:t>
            </w:r>
          </w:p>
        </w:tc>
        <w:tc>
          <w:p w14:paraId="5A73A54A">
            <w:pPr>
              <w:pStyle w:val="25"/>
            </w:pPr>
            <w:r>
              <w:t>28.5</w:t>
            </w:r>
          </w:p>
        </w:tc>
        <w:tc>
          <w:p w14:paraId="75699251">
            <w:pPr>
              <w:pStyle w:val="25"/>
            </w:pPr>
            <w:r>
              <w:t>44.9</w:t>
            </w:r>
          </w:p>
        </w:tc>
        <w:tc>
          <w:p w14:paraId="31FDCF7A">
            <w:pPr>
              <w:pStyle w:val="25"/>
            </w:pPr>
            <w:r>
              <w:t>0.7</w:t>
            </w:r>
          </w:p>
        </w:tc>
        <w:tc>
          <w:p w14:paraId="7ABFCF1E">
            <w:pPr>
              <w:pStyle w:val="25"/>
            </w:pPr>
            <w:r>
              <w:t>21.5</w:t>
            </w:r>
          </w:p>
        </w:tc>
        <w:tc>
          <w:p w14:paraId="53AD8374">
            <w:pPr>
              <w:pStyle w:val="25"/>
            </w:pPr>
            <w:r>
              <w:t>4.3</w:t>
            </w:r>
          </w:p>
        </w:tc>
      </w:tr>
      <w:tr w14:paraId="7168F521">
        <w:tc>
          <w:p w14:paraId="7E93D2E3">
            <w:pPr>
              <w:pStyle w:val="25"/>
            </w:pPr>
            <w:r>
              <w:t>医保局</w:t>
            </w:r>
          </w:p>
        </w:tc>
        <w:tc>
          <w:p w14:paraId="1B004546">
            <w:pPr>
              <w:pStyle w:val="25"/>
            </w:pPr>
            <w:r>
              <w:t>4.8</w:t>
            </w:r>
          </w:p>
        </w:tc>
        <w:tc>
          <w:p w14:paraId="01D21D1C">
            <w:pPr>
              <w:pStyle w:val="25"/>
            </w:pPr>
            <w:r>
              <w:t>5.0</w:t>
            </w:r>
          </w:p>
        </w:tc>
        <w:tc>
          <w:p w14:paraId="6B10488F">
            <w:pPr>
              <w:pStyle w:val="25"/>
            </w:pPr>
            <w:r>
              <w:t>65.7</w:t>
            </w:r>
          </w:p>
        </w:tc>
        <w:tc>
          <w:p w14:paraId="011DA7F6">
            <w:pPr>
              <w:pStyle w:val="25"/>
            </w:pPr>
            <w:r>
              <w:t>15.8</w:t>
            </w:r>
          </w:p>
        </w:tc>
        <w:tc>
          <w:p w14:paraId="31EC3000">
            <w:pPr>
              <w:pStyle w:val="25"/>
            </w:pPr>
            <w:r>
              <w:t>8.6</w:t>
            </w:r>
          </w:p>
        </w:tc>
      </w:tr>
      <w:tr w14:paraId="22384D05">
        <w:tc>
          <w:p w14:paraId="5BB90906">
            <w:pPr>
              <w:pStyle w:val="25"/>
            </w:pPr>
            <w:r>
              <w:t>卫健委</w:t>
            </w:r>
          </w:p>
        </w:tc>
        <w:tc>
          <w:p w14:paraId="1F12D1D4">
            <w:pPr>
              <w:pStyle w:val="25"/>
            </w:pPr>
            <w:r>
              <w:t>35.0</w:t>
            </w:r>
          </w:p>
        </w:tc>
        <w:tc>
          <w:p w14:paraId="1081A593">
            <w:pPr>
              <w:pStyle w:val="25"/>
            </w:pPr>
            <w:r>
              <w:t>11.1</w:t>
            </w:r>
          </w:p>
        </w:tc>
        <w:tc>
          <w:p w14:paraId="321D395E">
            <w:pPr>
              <w:pStyle w:val="25"/>
            </w:pPr>
            <w:r>
              <w:t>7.2</w:t>
            </w:r>
          </w:p>
        </w:tc>
        <w:tc>
          <w:p w14:paraId="5BF39A60">
            <w:pPr>
              <w:pStyle w:val="25"/>
            </w:pPr>
            <w:r>
              <w:t>3.3</w:t>
            </w:r>
          </w:p>
        </w:tc>
        <w:tc>
          <w:p w14:paraId="1C38AC84">
            <w:pPr>
              <w:pStyle w:val="25"/>
            </w:pPr>
            <w:r>
              <w:t>43.3</w:t>
            </w:r>
          </w:p>
        </w:tc>
      </w:tr>
      <w:tr w14:paraId="632C98F1">
        <w:tc>
          <w:p w14:paraId="1B0A5D80">
            <w:pPr>
              <w:pStyle w:val="25"/>
            </w:pPr>
            <w:r>
              <w:t>国务院</w:t>
            </w:r>
          </w:p>
        </w:tc>
        <w:tc>
          <w:p w14:paraId="1983116C">
            <w:pPr>
              <w:pStyle w:val="25"/>
            </w:pPr>
            <w:r>
              <w:t>5.1</w:t>
            </w:r>
          </w:p>
        </w:tc>
        <w:tc>
          <w:p w14:paraId="1C9C9156">
            <w:pPr>
              <w:pStyle w:val="25"/>
            </w:pPr>
            <w:r>
              <w:t>5.1</w:t>
            </w:r>
          </w:p>
        </w:tc>
        <w:tc>
          <w:p w14:paraId="323E1159">
            <w:pPr>
              <w:pStyle w:val="25"/>
            </w:pPr>
            <w:r>
              <w:t>37.8</w:t>
            </w:r>
          </w:p>
        </w:tc>
        <w:tc>
          <w:p w14:paraId="7E2E841F">
            <w:pPr>
              <w:pStyle w:val="25"/>
            </w:pPr>
            <w:r>
              <w:t>21.4</w:t>
            </w:r>
          </w:p>
        </w:tc>
        <w:tc>
          <w:p w14:paraId="167178A3">
            <w:pPr>
              <w:pStyle w:val="25"/>
            </w:pPr>
            <w:r>
              <w:t>30.6</w:t>
            </w:r>
          </w:p>
        </w:tc>
      </w:tr>
    </w:tbl>
    <w:p w14:paraId="175C7308">
      <w:pPr>
        <w:pStyle w:val="58"/>
      </w:pPr>
      <w:r>
        <w:rPr>
          <w:rFonts w:hint="eastAsia"/>
        </w:rPr>
        <w:t>资料来源：根据表3计算。</w:t>
      </w:r>
    </w:p>
    <w:p w14:paraId="16C2EB6C">
      <w:pPr>
        <w:pStyle w:val="57"/>
      </w:pPr>
      <w:r>
        <w:drawing>
          <wp:inline distT="0" distB="0" distL="114300" distR="114300">
            <wp:extent cx="3963035" cy="411289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14:paraId="04AADAEA">
      <w:pPr>
        <w:pStyle w:val="56"/>
      </w:pPr>
      <w:r>
        <w:rPr>
          <w:rFonts w:hint="eastAsia"/>
        </w:rPr>
        <w:t>图2</w:t>
      </w:r>
      <w:r>
        <w:t xml:space="preserve"> </w:t>
      </w:r>
      <w:r>
        <w:rPr>
          <w:rFonts w:hint="eastAsia"/>
        </w:rPr>
        <w:t>三部门评价维度注意力配置雷达图</w:t>
      </w:r>
    </w:p>
    <w:p w14:paraId="7CC86802">
      <w:pPr>
        <w:pStyle w:val="58"/>
      </w:pPr>
      <w:r>
        <w:rPr>
          <w:rFonts w:hint="eastAsia"/>
        </w:rPr>
        <w:t>资料来源：根据表4数据绘制。</w:t>
      </w:r>
    </w:p>
    <w:p w14:paraId="05D9BC6F">
      <w:pPr>
        <w:pStyle w:val="3"/>
      </w:pPr>
      <w:r>
        <w:rPr>
          <w:rFonts w:hint="eastAsia"/>
        </w:rPr>
        <w:t>表4和图2显示，三部门各有一至两个占比突出的主导维度。药监局的注意力高度集中于有效性（44.9%）和安全性（28.5%），合计占73.4%，创新性（21.5%）居第三，而经济性仅占0.7%，几乎不在其制度性关注范围之内。医保局由经济性主导（65.7%），单一维度即占近三分之二，创新性（15.8%）和公平性（8.6%）居从属地位，安全性与有效性合计不足10%。卫健委呈公平性（43.3%）与安全性（35.0%）双主导格局，合计78.3%。作为跨部门参照，国务院文件呈经济性（37.8%）、公平性（30.6%）、创新性（21.4%）较为均衡的配置，表明国务院层面的顶层设计更关注宏观的经济可持续、公平可及和创新激励，而将安全有效等技术性评价交由专业部门承担。</w:t>
      </w:r>
    </w:p>
    <w:p w14:paraId="0000038F">
      <w:pPr>
        <w:pStyle w:val="3"/>
      </w:pPr>
      <w:r>
        <w:rPr>
          <w:rFonts w:hint="eastAsia"/>
        </w:rPr>
        <w: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t>
      </w:r>
    </w:p>
    <w:p w14:paraId="68EC93ED">
      <w:pPr>
        <w:pStyle w:val="3"/>
      </w:pPr>
      <w:r>
        <w:rPr>
          <w:rFonts w:hint="eastAsia"/>
        </w:rPr>
        <w:t>有三处结果与一般预期不一致，值得专门解释。①在词典编码口径下，药监局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医保局的创新性占比（15.8%）高于一般预期，这源于医保准入近年对“创新药”“临床价值”的持续强调，但其“创新”内涵指向临床价值增量而非技术新颖性，与药监局存在定义差异。③卫健委的安全性占比（35.0%）较高，反映的是使用环节的合理用药与风险防控，而非上市前的安全审评，与药监局的安全性关注在制度环节上有所区分。</w:t>
      </w:r>
    </w:p>
    <w:p w14:paraId="76DFE88D">
      <w:pPr>
        <w:pStyle w:val="3"/>
      </w:pPr>
      <w:r>
        <w:rPr>
          <w:rFonts w:hint="eastAsia"/>
        </w:rPr>
        <w:t>为检验编码方法对结论的影响，本文以LLM语义编码结果重新计算了各部门维度占比。医保局以经济性为主导（65.1%）、卫健委以公平性为主导（44.1%）等核心结论在两种方法下高度一致。主要差异出现在药监局内部安全性与有效性的相对次序：LLM编码下安全性（38.4%）高于有效性（29.2%），原因即词典将流程性语句计入有效性；但两种方法下药监局安全性与有效性合计占比均超过三分之二，其注意力集中于技术审评环节的基本判断不变。</w:t>
      </w:r>
    </w:p>
    <w:p w14:paraId="022BA283">
      <w:pPr>
        <w:pStyle w:val="3"/>
      </w:pPr>
      <w:r>
        <w:rPr>
          <w:rFonts w:hint="eastAsia"/>
        </w:rPr>
        <w:t>从跨部门比较看，三部门在安全性和有效性上的关注存在明显落差（药监局合计73.4%、卫健委合计46.1%、医保局合计9.8%）；经济性几乎为医保局独占（65.7%，其余部门均低于8%）；公平性主要由卫健委承担（43.3%），医保局的公平性关注主要体现为“保基本”和双通道管理，药监局仅在罕见病和临床急需药物的加快审批中间接体现。创新性在药监局（21.5%）和医保局（15.8%）中均有一定占比，但二者对“创新”的理解存在定义分歧——药监局以分子新颖性为判据（新化合物、新靶点、新作用机制），医保局以临床价值增量为判据，卫健委则将创新聚焦于“填补临床治疗空白”。</w:t>
      </w:r>
    </w:p>
    <w:bookmarkEnd w:id="14"/>
    <w:p w14:paraId="516F534E">
      <w:pPr>
        <w:pStyle w:val="4"/>
      </w:pPr>
      <w:bookmarkStart w:id="15" w:name="核心评价维度的制度性分歧"/>
      <w:r>
        <w:t xml:space="preserve">5.3 </w:t>
      </w:r>
      <w:r>
        <w:rPr>
          <w:rFonts w:hint="eastAsia"/>
        </w:rPr>
        <w:t>核心评价维度的制度性分歧</w:t>
      </w:r>
    </w:p>
    <w:p w14:paraId="705064F1">
      <w:pPr>
        <w:pStyle w:val="24"/>
      </w:pPr>
      <w:r>
        <w:rPr>
          <w:rFonts w:hint="eastAsia"/>
        </w:rPr>
        <w:t>政策文本编码与专家访谈的交叉分析表明，三部门的制度性分歧集中在“创新”定义、证据要求和价值衡量标准三个维度，且均可追溯至各部门所嵌入的制度逻辑。</w:t>
      </w:r>
    </w:p>
    <w:p w14:paraId="504481CE">
      <w:pPr>
        <w:pStyle w:val="3"/>
      </w:pPr>
      <w:r>
        <w:rPr>
          <w:rFonts w:hint="eastAsia"/>
        </w:rPr>
        <w: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Dewar和Dutton</w:t>
      </w:r>
      <w:r>
        <w:t xml:space="preserve"> 1986</w:t>
      </w:r>
      <w:r>
        <w:rPr>
          <w:vertAlign w:val="superscript"/>
        </w:rPr>
        <w:t>[40]</w:t>
      </w:r>
      <w:r>
        <w:rPr>
          <w:rFonts w:hint="eastAsia"/>
        </w:rPr>
        <w:t>）加以刻画：前者以分子结构或作用机制的新颖程度为标尺，后者以疗效改善程度为标尺；Dunlap-Hinkler等（2010）</w:t>
      </w:r>
      <w:r>
        <w:rPr>
          <w:vertAlign w:val="superscript"/>
        </w:rPr>
        <w:t>[41]</w:t>
      </w:r>
      <w:r>
        <w:rPr>
          <w:rFonts w:hint="eastAsia"/>
        </w:rPr>
        <w: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但之间尚未建立制度化的对话接口。</w:t>
      </w:r>
    </w:p>
    <w:p w14:paraId="3C2109AE">
      <w:pPr>
        <w:pStyle w:val="3"/>
      </w:pPr>
      <w:r>
        <w:rPr>
          <w:rFonts w:hint="eastAsia"/>
        </w:rPr>
        <w:t>在“证据”的要求上，药监局设有突破性治疗、附条件批准、优先审评审批和特别审批四个加快通道，可接受有限证据的加速审批；谢金平等（2018）</w:t>
      </w:r>
      <w:r>
        <w:rPr>
          <w:vertAlign w:val="superscript"/>
        </w:rPr>
        <w:t>[42]</w:t>
      </w:r>
      <w:r>
        <w:rPr>
          <w:rFonts w:hint="eastAsia"/>
        </w:rPr>
        <w: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t>
      </w:r>
    </w:p>
    <w:p w14:paraId="5F7C8ECB">
      <w:pPr>
        <w:pStyle w:val="3"/>
      </w:pPr>
      <w:r>
        <w:rPr>
          <w:rFonts w:hint="eastAsia"/>
        </w:rPr>
        <w: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疗效比较优先于预算影响分析；卫健委以临床实际应用效果和患者可及性为主要导向。三者的证据偏好和价值取向呈现结构性分化。</w:t>
      </w:r>
    </w:p>
    <w:bookmarkEnd w:id="15"/>
    <w:p w14:paraId="4F9419D4">
      <w:pPr>
        <w:pStyle w:val="4"/>
      </w:pPr>
      <w:bookmarkStart w:id="16" w:name="制度逻辑的理论阐释"/>
      <w:r>
        <w:t xml:space="preserve">5.4 </w:t>
      </w:r>
      <w:r>
        <w:rPr>
          <w:rFonts w:hint="eastAsia"/>
        </w:rPr>
        <w:t>制度逻辑的理论阐释</w:t>
      </w:r>
    </w:p>
    <w:p w14:paraId="5D4B05DD">
      <w:pPr>
        <w:pStyle w:val="24"/>
      </w:pPr>
      <w:r>
        <w:rPr>
          <w:rFonts w:hint="eastAsia"/>
        </w:rPr>
        <w:t>上述编码结果可在“制度逻辑—组织注意力”框架下获得系统解释。从制度逻辑看，三部门的注意力占比差异源于各自嵌入的制度逻辑，而非临时性的政策偏好：药监局的安全有效主导源于科学-安全逻辑下的技术审评使命，其制度设计从根本上不包含经济学评价；医保局的经济性主导源于经济-效率逻辑下基金可持续与价值定价的压力；卫健委的公平性与安全性双主导源于公共服务逻辑下合理用药、基层可及与用药安全的制度关切。从注意力基础观看，三部门对同一药物选择性关注不同信息，这种选择性注意力沉淀为政策文本中差异化的维度配置；经济性几乎为医保局独占、公平性主要由卫健委承担的格局，正是制度位置决定的选择性注意力的结构性产物。Greenwood等（2011）</w:t>
      </w:r>
      <w:r>
        <w:rPr>
          <w:vertAlign w:val="superscript"/>
        </w:rPr>
        <w:t>[26]</w:t>
      </w:r>
      <w:r>
        <w:rPr>
          <w:rFonts w:hint="eastAsia"/>
        </w:rPr>
        <w:t>所指出的制度复杂性由此获得经验印证。</w:t>
      </w:r>
    </w:p>
    <w:p w14:paraId="2456E048">
      <w:pPr>
        <w:pStyle w:val="3"/>
      </w:pPr>
      <w:r>
        <w:rPr>
          <w:rFonts w:hint="eastAsia"/>
        </w:rPr>
        <w: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互补性：药监局主导安全有效与技术创新、医保局主导经济性、卫健委主导公平可及，五个维度均有部门充分关注，没有维度被系统性忽略，客观上形成功能互补的评价格局，这与顶层设计的分工预期相符。③差异性：占比分歧最大的是经济性与公平性，三部门注意力占比极差分别达65.0和39.0个百分点；创新性的占比极差虽仅18.2个百分点，但三部门对“创新”的界定存在实质性定义分歧（见5.3节）。三者共同构成制度协调的重点领域。由此，三医协同的推进不应追求在所有维度上达成一致，而应在承认功能互补与结构性差异并存的前提下，建立差异化维度之间的制度化对话机制。</w:t>
      </w:r>
    </w:p>
    <w:bookmarkEnd w:id="12"/>
    <w:bookmarkEnd w:id="16"/>
    <w:p w14:paraId="2E8E48E5">
      <w:pPr>
        <w:pStyle w:val="2"/>
      </w:pPr>
      <w:bookmarkStart w:id="17" w:name="协调路径与政策建议"/>
      <w:r>
        <w:t xml:space="preserve">6 </w:t>
      </w:r>
      <w:r>
        <w:rPr>
          <w:rFonts w:hint="eastAsia"/>
        </w:rPr>
        <w:t>协调路径与政策建议</w:t>
      </w:r>
    </w:p>
    <w:p w14:paraId="58CB5996">
      <w:pPr>
        <w:pStyle w:val="24"/>
      </w:pPr>
      <w:r>
        <w:rPr>
          <w:rFonts w:hint="eastAsia"/>
        </w:rPr>
        <w:t>三部门的认知分歧具有制度结构性，即便在制度环境相近的欧洲国家之间，评估结论一致率也仅为52%至82%</w:t>
      </w:r>
      <w:r>
        <w:rPr>
          <w:vertAlign w:val="superscript"/>
        </w:rPr>
        <w:t>[12]</w:t>
      </w:r>
      <w:r>
        <w:rPr>
          <w:rFonts w:hint="eastAsia"/>
        </w:rPr>
        <w:t>。因此，协调的目标不是消除差异，而是围绕“对话”与“衔接”两条主线搭建制度化机制。以下三条路径分别回应5.3节的创新定义、证据要求和价值衡量三类分歧，并结合德、法、意经验加以说明。</w:t>
      </w:r>
    </w:p>
    <w:p w14:paraId="06E5E94C">
      <w:pPr>
        <w:pStyle w:val="4"/>
      </w:pPr>
      <w:bookmarkStart w:id="18" w:name="建立跨部门评价标准的对话与分级机制"/>
      <w:r>
        <w:t xml:space="preserve">6.1 </w:t>
      </w:r>
      <w:r>
        <w:rPr>
          <w:rFonts w:hint="eastAsia"/>
        </w:rPr>
        <w:t>建立跨部门评价标准的对话与分级机制</w:t>
      </w:r>
    </w:p>
    <w:p w14:paraId="6C2C5A43">
      <w:pPr>
        <w:pStyle w:val="24"/>
      </w:pPr>
      <w:r>
        <w:rPr>
          <w:rFonts w:hint="eastAsia"/>
        </w:rPr>
        <w:t>针对“创新”定义分歧，关键在于既搭建两套标准之间的对话通道，又提供可分级对照的共同标尺。如5.3节所示，药监局与医保局两套评价标准之间缺乏制度化接口，且并无对错之分，这种源于选择性注意力的分歧难以通过单纯的信息共享消除（Ocasio</w:t>
      </w:r>
      <w:r>
        <w:t xml:space="preserve"> 1997</w:t>
      </w:r>
      <w:r>
        <w:rPr>
          <w:vertAlign w:val="superscript"/>
        </w:rPr>
        <w:t>[27]</w:t>
      </w:r>
      <w:r>
        <w:rPr>
          <w:rFonts w:hint="eastAsia"/>
        </w:rPr>
        <w:t>）。</w:t>
      </w:r>
    </w:p>
    <w:p w14:paraId="7F05FAFE">
      <w:pPr>
        <w:pStyle w:val="3"/>
      </w:pPr>
      <w:r>
        <w:rPr>
          <w:rFonts w:hint="eastAsia"/>
        </w:rPr>
        <w:t>德国的附加效益评估制度提供了转换接口的范例：《药品市场改革法案》（AMNOG）要求新药上市即由联邦联合委员会（G-BA）作出六级附加效益评级，把药监局层面的“技术创新”转译为支付方可理解的“临床增量获益”等级，使审批结论与支付决策在同一套语言下衔接；采用相近评估流程的德法两国评级一致率高达82%</w:t>
      </w:r>
      <w:r>
        <w:rPr>
          <w:vertAlign w:val="superscript"/>
        </w:rPr>
        <w:t>[12]</w:t>
      </w:r>
      <w:r>
        <w:rPr>
          <w:rFonts w:hint="eastAsia"/>
        </w:rPr>
        <w:t>，印证了标准化转换接口对提升跨机构评价一致性的作用。法国的分级评价体系则提供了直接的工具原型：高等卫生管理局（HAS）以“实际临床获益”（SMR）决定是否纳入报销、以“临床获益改善度”（ASMR）的五级分类指导报销价格谈判</w:t>
      </w:r>
      <w:r>
        <w:rPr>
          <w:vertAlign w:val="superscript"/>
        </w:rPr>
        <w:t>[12]</w:t>
      </w:r>
      <w:r>
        <w:rPr>
          <w:rFonts w:hint="eastAsia"/>
        </w:rPr>
        <w:t>，其要害在于将临床获益等级与定价空间显性挂钩——当评价与经济后果直接绑定时，各方更有动力就评价标准本身达成共识。</w:t>
      </w:r>
    </w:p>
    <w:p w14:paraId="3F8C40EA">
      <w:pPr>
        <w:pStyle w:val="3"/>
      </w:pPr>
      <w:commentRangeStart w:id="3"/>
      <w:r>
        <w:rPr>
          <w:rFonts w:hint="eastAsia"/>
        </w:rPr>
        <w:t>据此，建议在十五五时期探索建立三部门评价标准定期联席对话机制，其核心功能并非统一标准，而是实现标准的透明化和可对话：可由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医保局在新上市化学药品首发价格形成机制中已引入最高150点的企业自评量表，可在此基础上完善评价结果与定价空间的显性对应关系。</w:t>
      </w:r>
      <w:commentRangeEnd w:id="3"/>
      <w:r>
        <w:commentReference w:id="3"/>
      </w:r>
    </w:p>
    <w:bookmarkEnd w:id="18"/>
    <w:p w14:paraId="2DBAAAFF">
      <w:pPr>
        <w:pStyle w:val="4"/>
      </w:pPr>
      <w:bookmarkStart w:id="19" w:name="健全证据的动态评价与审批-使用衔接机制"/>
      <w:r>
        <w:t xml:space="preserve">6.2 </w:t>
      </w:r>
      <w:r>
        <w:rPr>
          <w:rFonts w:hint="eastAsia"/>
        </w:rPr>
        <w:t>健全证据的动态评价与审批-使用衔接机制</w:t>
      </w:r>
    </w:p>
    <w:p w14:paraId="4899B7F5">
      <w:pPr>
        <w:pStyle w:val="24"/>
      </w:pPr>
      <w:r>
        <w:rPr>
          <w:rFonts w:hint="eastAsia"/>
        </w:rPr>
        <w: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t>
      </w:r>
    </w:p>
    <w:p w14:paraId="231E2670">
      <w:pPr>
        <w:pStyle w:val="3"/>
      </w:pPr>
      <w:r>
        <w:rPr>
          <w:rFonts w:hint="eastAsia"/>
        </w:rPr>
        <w:t>意大利的动态管理机制正是沿此思路设计：药品管理局（AIFA）以“创新/有条件创新/非创新”三级判定为基础，为证据尚不充分的药品配套条件准入协议和基于绩效的风险分担机制（Managed</w:t>
      </w:r>
      <w:r>
        <w:t xml:space="preserve"> Entry </w:t>
      </w:r>
      <w:r>
        <w:rPr>
          <w:rFonts w:hint="eastAsia"/>
        </w:rPr>
        <w:t>Agreements，MEA），当实际临床表现未达预期时相应调整价格，以动态调整替代一次性准入判断。意法、意德评级一致率仅为52%和57%</w:t>
      </w:r>
      <w:r>
        <w:rPr>
          <w:vertAlign w:val="superscript"/>
        </w:rPr>
        <w:t>[12]</w:t>
      </w:r>
      <w:r>
        <w:rPr>
          <w:rFonts w:hint="eastAsia"/>
        </w:rPr>
        <w:t>，也从反面说明分歧的持久性——其意义不是消除分歧，而是用动态机制加以容纳。</w:t>
      </w:r>
    </w:p>
    <w:p w14:paraId="6B83DEEF">
      <w:pPr>
        <w:pStyle w:val="3"/>
      </w:pPr>
      <w:r>
        <w:rPr>
          <w:rFonts w:hint="eastAsia"/>
        </w:rPr>
        <w:t>据此，建议在完善基本医保与商业保险“双目录”（基本医保药品目录与商业健康保险创新药品目录）衔接机制中引入基于真实世界证据的动态评价制度：对经加快通道获批但经济学证据尚不充分的创新药，设置“价值验证周期”，以条件性方式先行纳入目录，明确真实世界证据的收集要求与评价节点，周期结束后据实重估准入条件和支付价格；岳晓萌等（2021）</w:t>
      </w:r>
      <w:r>
        <w:rPr>
          <w:vertAlign w:val="superscript"/>
        </w:rPr>
        <w:t>[43]</w:t>
      </w:r>
      <w:r>
        <w:rPr>
          <w:rFonts w:hint="eastAsia"/>
        </w:rPr>
        <w:t>对欧美医保目录退出机制的梳理可为动态调整和退出安排提供参照。</w:t>
      </w:r>
    </w:p>
    <w:p w14:paraId="2642CBFE">
      <w:pPr>
        <w:pStyle w:val="3"/>
      </w:pPr>
      <w:r>
        <w:rPr>
          <w:rFonts w:hint="eastAsia"/>
        </w:rPr>
        <w:t>在动态评价之外，还需打通审批与准入的衔接，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的做法，正体现了评价与定价及时衔接对加快创新药可及的价值；另一方面，对通过加快通道获批的创新药明确从审批到准入的制度过渡安排，与“价值验证周期”相衔接，避免加快上市的制度红利在支付端流失。毛晖等（2025）</w:t>
      </w:r>
      <w:r>
        <w:rPr>
          <w:vertAlign w:val="superscript"/>
        </w:rPr>
        <w:t>[44]</w:t>
      </w:r>
      <w:r>
        <w:rPr>
          <w:rFonts w:hint="eastAsia"/>
        </w:rPr>
        <w: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t>
      </w:r>
    </w:p>
    <w:bookmarkEnd w:id="19"/>
    <w:p w14:paraId="00374412">
      <w:pPr>
        <w:pStyle w:val="4"/>
      </w:pPr>
      <w:bookmarkStart w:id="20" w:name="增强评价过程的信息共享与透明度"/>
      <w:r>
        <w:t xml:space="preserve">6.3 </w:t>
      </w:r>
      <w:r>
        <w:rPr>
          <w:rFonts w:hint="eastAsia"/>
        </w:rPr>
        <w:t>增强评价过程的信息共享与透明度</w:t>
      </w:r>
    </w:p>
    <w:p w14:paraId="180CFC8C">
      <w:pPr>
        <w:pStyle w:val="24"/>
      </w:pPr>
      <w:r>
        <w:rPr>
          <w:rFonts w:hint="eastAsia"/>
        </w:rPr>
        <w: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期评审结论。价值标准难以统一，但评价过程可以透明——透明化使分歧从“不可见的黑箱”变为“可讨论的差异”，为前两条路径的对话与衔接提供信息基础。</w:t>
      </w:r>
    </w:p>
    <w:p w14:paraId="37895EF8">
      <w:pPr>
        <w:pStyle w:val="3"/>
      </w:pPr>
      <w:r>
        <w:rPr>
          <w:rFonts w:hint="eastAsia"/>
        </w:rPr>
        <w:t>三国经验均指向公开评价过程的价值：德国G-BA的附加效益评级连同评估依据全文公开，法国HAS的SMR/ASMR评估意见公开发布，意大利AIFA依托药品登记系统持续采集真实世界数据以支撑动态调整；跨国比较研究（Casilli等</w:t>
      </w:r>
      <w:r>
        <w:t xml:space="preserve"> 2023</w:t>
      </w:r>
      <w:r>
        <w:rPr>
          <w:vertAlign w:val="superscript"/>
        </w:rPr>
        <w:t>[12]</w:t>
      </w:r>
      <w:r>
        <w:rPr>
          <w:rFonts w:hint="eastAsia"/>
        </w:rPr>
        <w:t>）之所以可能，正是因为三国的评估结论及理由均对外公开，公开使跨机构的比较、学习与相互校准成为可能。</w:t>
      </w:r>
    </w:p>
    <w:p w14:paraId="56F9785B">
      <w:pPr>
        <w:pStyle w:val="3"/>
      </w:pPr>
      <w:r>
        <w:rPr>
          <w:rFonts w:hint="eastAsia"/>
        </w:rPr>
        <w: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脱敏前提下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t>
      </w:r>
    </w:p>
    <w:bookmarkEnd w:id="17"/>
    <w:bookmarkEnd w:id="20"/>
    <w:p w14:paraId="29A75D92">
      <w:pPr>
        <w:pStyle w:val="2"/>
      </w:pPr>
      <w:bookmarkStart w:id="21" w:name="结论与展望"/>
      <w:bookmarkStart w:id="24" w:name="_GoBack"/>
      <w:bookmarkEnd w:id="24"/>
      <w:r>
        <w:t xml:space="preserve">7 </w:t>
      </w:r>
      <w:r>
        <w:rPr>
          <w:rFonts w:hint="eastAsia"/>
        </w:rPr>
        <w:t>结论与展望</w:t>
      </w:r>
    </w:p>
    <w:p w14:paraId="174F36D8">
      <w:pPr>
        <w:pStyle w:val="24"/>
      </w:pPr>
      <w:r>
        <w:rPr>
          <w:rFonts w:hint="eastAsia"/>
        </w:rPr>
        <w: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对十五五“三医协同”背景下创新药多主体评价的认知分歧与协调路径进行了系统分析。</w:t>
      </w:r>
    </w:p>
    <w:p w14:paraId="4FFF6230">
      <w:pPr>
        <w:pStyle w:val="3"/>
      </w:pPr>
      <w:r>
        <w:rPr>
          <w:rFonts w:hint="eastAsia"/>
        </w:rPr>
        <w:t>研究得到三方面主要发现。①三部门的认知分歧集中体现在“创新”定义、证据要求和价值衡量标准三个维度。②政策文本编码显示，药监局的注意力集中于有效性（44.9%）和安全性（28.5%），经济性仅占0.7%；医保局由经济性主导（65.7%）；卫健委呈公平性（43.3%）与安全性（35.0%）双主导；三部门在经济性和公平性上的注意力占比极差分别达65.0和39.0个百分点，创新性占比极差虽小（18.2个百分点）但存在定义层面的实质分歧，维度配置呈现一致、互补与差异并存的格局。③这些分歧并非偶然的利益冲突或信息沟通不足，而是各部门所嵌入的科学-安全逻辑、经济-效率逻辑和公共服务逻辑经由组织注意力分配加以塑造的结构性产物。</w:t>
      </w:r>
    </w:p>
    <w:p w14:paraId="79D554CD">
      <w:pPr>
        <w:pStyle w:val="3"/>
      </w:pPr>
      <w:r>
        <w:rPr>
          <w:rFonts w:hint="eastAsia"/>
        </w:rPr>
        <w: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t>
      </w:r>
    </w:p>
    <w:p w14:paraId="2A232C06">
      <w:pPr>
        <w:pStyle w:val="3"/>
      </w:pPr>
      <w:r>
        <w:rPr>
          <w:rFonts w:hint="eastAsia"/>
        </w:rPr>
        <w:t>本研究存在以下局限。①本文以政策文本作为制度性注意力的测量载体，反映的是制度层面的正式表达，访谈亦属辅助性证据，尚未在个体层面对三部门从业者的评价认知进行代表性测量，制度逻辑向个体认知的传导机制有待后续通过针对性调查检验。②时间窗口内中国创新药评价制度处于快速变革期，部分政策文件的制度效力可能因后续调整而变化。③分析主体限于三个政府部门，未将制药企业和患者群体纳入框架。未来研究可面向三部门从业者开展代表性问卷与访谈调查，在个体层面检验制度逻辑的传导机制；跟踪十五五时期三医协同政策的实施进展，通过纵向比较检验制度变迁对评价共识的影响；并将企业和患者群体纳入多主体分析框架，构建更完整的创新药评价认知图谱。</w:t>
      </w:r>
    </w:p>
    <w:bookmarkEnd w:id="21"/>
    <w:p w14:paraId="65AAF1B4">
      <w:pPr>
        <w:pStyle w:val="2"/>
      </w:pPr>
      <w:bookmarkStart w:id="22" w:name="参考文献"/>
      <w:r>
        <w:rPr>
          <w:rFonts w:hint="eastAsia"/>
        </w:rPr>
        <w:t>参考文献</w:t>
      </w:r>
    </w:p>
    <w:p w14:paraId="49CEEE8E">
      <w:pPr>
        <w:pStyle w:val="59"/>
      </w:pPr>
      <w:r>
        <w:t xml:space="preserve">[1] </w:t>
      </w:r>
      <w:r>
        <w:rPr>
          <w:rFonts w:hint="eastAsia"/>
        </w:rPr>
        <w:t>孔繁翠．创新药价值评估的国际经验比较及启示[J]．中国卫生政策研究，2022，15(6)：17-23．</w:t>
      </w:r>
      <w:r>
        <w:br w:type="textWrapping"/>
      </w:r>
      <w:r>
        <w:t>Kong F C. International Experience Comparison and Implications of Value Assessment of Innovative Drugs [J]. Chinese Journal of Health Policy, 2022, 15(6): 17-23.</w:t>
      </w:r>
    </w:p>
    <w:p w14:paraId="13B769CB">
      <w:pPr>
        <w:pStyle w:val="59"/>
      </w:pPr>
      <w:r>
        <w:t xml:space="preserve">[2] </w:t>
      </w:r>
      <w:r>
        <w:rPr>
          <w:rFonts w:hint="eastAsia"/>
        </w:rPr>
        <w:t>赵华婷，颜建周，邵蓉．法国临床效益评价对我国创新药医保目录动态调整的启示[J]．中国卫生经济，2019，38(5)：94-96．</w:t>
      </w:r>
      <w:r>
        <w:br w:type="textWrapping"/>
      </w:r>
      <w:r>
        <w:t>Zhao H T, Yan J Z, Shao R. Implications of France’s Clinical Benefit Assessment for the Dynamic Adjustment of China’s Medical Insurance Catalogue for Innovative Drugs [J]. Chinese Health Economics, 2019, 38(5): 94-96.</w:t>
      </w:r>
    </w:p>
    <w:p w14:paraId="266E0143">
      <w:pPr>
        <w:pStyle w:val="59"/>
      </w:pPr>
      <w:r>
        <w:t xml:space="preserve">[3] </w:t>
      </w:r>
      <w:r>
        <w:rPr>
          <w:rFonts w:hint="eastAsia"/>
        </w:rPr>
        <w:t>段晓托，连桂玉，贾耀珠．我国创新药进入医保目录的障碍与对策[J]．中国药房，2017，28(4)：455-457．</w:t>
      </w:r>
      <w:r>
        <w:br w:type="textWrapping"/>
      </w:r>
      <w:r>
        <w:t>Duan X T, Lian G Y, Jia Y Z. Obstacles and Countermeasures for Innovative Drugs to Enter the Medical Insurance Catalogue in China [J]. China Pharmacy, 2017, 28(4): 455-457.</w:t>
      </w:r>
    </w:p>
    <w:p w14:paraId="743C91D8">
      <w:pPr>
        <w:pStyle w:val="59"/>
      </w:pPr>
      <w:r>
        <w:t xml:space="preserve">[4] </w:t>
      </w:r>
      <w:r>
        <w:rPr>
          <w:rFonts w:hint="eastAsia"/>
        </w:rPr>
        <w:t>艾丹丹，陈辰，吴婷婷，等．价值医疗背景下创新药品的定价和支付模式综述[J]．中国卫生经济，2020，39(3)：77-79．</w:t>
      </w:r>
      <w:r>
        <w:br w:type="textWrapping"/>
      </w:r>
      <w:r>
        <w:t>Ai D D, Chen C, Wu T T, et al. Review on Pricing and Payment Models of Innovative Drugs under Value-Based Healthcare [J]. Chinese Health Economics, 2020, 39(3): 77-79.</w:t>
      </w:r>
    </w:p>
    <w:p w14:paraId="437A347D">
      <w:pPr>
        <w:pStyle w:val="59"/>
      </w:pPr>
      <w:r>
        <w:t xml:space="preserve">[5] </w:t>
      </w:r>
      <w:r>
        <w:rPr>
          <w:rFonts w:hint="eastAsia"/>
        </w:rPr>
        <w:t>康姗姗，胡霞，颜建周．药品上市决策中的多方利益博弈[J]．中国药房，2010，21(21)：1921-1925．</w:t>
      </w:r>
      <w:r>
        <w:br w:type="textWrapping"/>
      </w:r>
      <w:r>
        <w:t>Kang S S, Hu X, Yan J Z. Multi-Party Interest Game in Drug Marketing Decision [J]. China Pharmacy, 2010, 21(21): 1921-1925.</w:t>
      </w:r>
    </w:p>
    <w:p w14:paraId="66F06AF4">
      <w:pPr>
        <w:pStyle w:val="59"/>
      </w:pPr>
      <w:r>
        <w:t xml:space="preserve">[6] </w:t>
      </w:r>
      <w:r>
        <w:rPr>
          <w:rFonts w:hint="eastAsia"/>
        </w:rPr>
        <w:t>张新鑫，侯文华，申成霖．价格管制、战略性创新激励与创新药市场绩效[J]．科研管理，2017，38(10)：68-75．</w:t>
      </w:r>
      <w:r>
        <w:br w:type="textWrapping"/>
      </w:r>
      <w:r>
        <w:t>Zhang X X, Hou W H, Shen C L. Price Regulation, Strategic Innovation Incentives and Market Performance of Innovative Drugs [J]. Science Research Management, 2017, 38(10): 68-75.</w:t>
      </w:r>
    </w:p>
    <w:p w14:paraId="2F835DC6">
      <w:pPr>
        <w:pStyle w:val="59"/>
      </w:pPr>
      <w:r>
        <w:t xml:space="preserve">[7] </w:t>
      </w:r>
      <w:r>
        <w:rPr>
          <w:rFonts w:hint="eastAsia"/>
        </w:rPr>
        <w:t>谭清立，李永盈，崔洪瑞．创新药医保谈判的博弈分析[J]．卫生经济研究，2024，41(6)：5-9，15．</w:t>
      </w:r>
      <w:r>
        <w:br w:type="textWrapping"/>
      </w:r>
      <w:r>
        <w:t>Tan Q L, Li Y Y, Cui H R. Game Analysis of Medical Insurance Negotiation for Innovative Drugs [J]. Health Economics Research, 2024, 41(6): 5-9, 15.</w:t>
      </w:r>
    </w:p>
    <w:p w14:paraId="197E4177">
      <w:pPr>
        <w:pStyle w:val="59"/>
      </w:pPr>
      <w:r>
        <w:t xml:space="preserve">[8] </w:t>
      </w:r>
      <w:r>
        <w:rPr>
          <w:rFonts w:hint="eastAsia"/>
        </w:rPr>
        <w:t>王恩楠，朱铭来．我国专利药品医疗保险价格谈判的演化博弈研究[J]．中国卫生政策研究，2023，16(2)：44-51．</w:t>
      </w:r>
      <w:r>
        <w:br w:type="textWrapping"/>
      </w:r>
      <w:r>
        <w:t>Wang E N, Zhu M L. Evolutionary Game Study on Medical Insurance Price Negotiation of Patented Drugs in China [J]. Chinese Journal of Health Policy, 2023, 16(2): 44-51.</w:t>
      </w:r>
    </w:p>
    <w:p w14:paraId="2A116076">
      <w:pPr>
        <w:pStyle w:val="59"/>
      </w:pPr>
      <w:r>
        <w:t xml:space="preserve">[9] </w:t>
      </w:r>
      <w:r>
        <w:rPr>
          <w:rFonts w:hint="eastAsia"/>
        </w:rPr>
        <w:t>吕倩鹏，吴红，刘智勇．政策工具视角下我国创新药物研发政策量化研究[J]．中国卫生事业管理，2024，41(12)：1393-1399．</w:t>
      </w:r>
      <w:r>
        <w:br w:type="textWrapping"/>
      </w:r>
      <w:r>
        <w:t>Lv Q P, Wu H, Liu Z Y. Quantitative Research on China’s Innovative Drug R&amp;D Policies from the Perspective of Policy Instruments [J]. Chinese Health Service Management, 2024, 41(12): 1393-1399.</w:t>
      </w:r>
    </w:p>
    <w:p w14:paraId="479364B5">
      <w:pPr>
        <w:pStyle w:val="59"/>
      </w:pPr>
      <w:r>
        <w:t xml:space="preserve">[10] </w:t>
      </w:r>
      <w:r>
        <w:rPr>
          <w:rFonts w:hint="eastAsia"/>
        </w:rPr>
        <w:t>毛心仪，姚峥嵘．制度创新理论视角下我国药品研发制度变迁设计[J]．卫生经济研究，2021，38(7)：38-43．</w:t>
      </w:r>
      <w:r>
        <w:br w:type="textWrapping"/>
      </w:r>
      <w:r>
        <w:t>Mao X Y, Yao Z R. Institutional Change of China’s Drug R&amp;D System from the Perspective of Institutional Innovation Theory [J]. Health Economics Research, 2021, 38(7): 38-43.</w:t>
      </w:r>
    </w:p>
    <w:p w14:paraId="2E0D9D00">
      <w:pPr>
        <w:pStyle w:val="59"/>
      </w:pPr>
      <w:r>
        <w:t xml:space="preserve">[11] </w:t>
      </w:r>
      <w:r>
        <w:rPr>
          <w:rFonts w:hint="eastAsia"/>
        </w:rPr>
        <w:t>杨钰婷，胡婉慈，左根永．我国医疗保险国谈药品单独支付政策省际比较研究[J]．中国卫生政策研究，2024，17(1)：24-29．</w:t>
      </w:r>
      <w:r>
        <w:br w:type="textWrapping"/>
      </w:r>
      <w:r>
        <w:t>Yang Y T, Hu W C, Zuo G Y. Inter-Provincial Comparative Study on Separate Payment Policies for Nationally Negotiated Drugs in China [J]. Chinese Journal of Health Policy, 2024, 17(1): 24-29.</w:t>
      </w:r>
    </w:p>
    <w:p w14:paraId="1A84BB47">
      <w:pPr>
        <w:pStyle w:val="59"/>
      </w:pPr>
      <w:r>
        <w:t>[12] CASILLI G, LIDONNICI D, JOMMI C, et al. Do France, Germany, and Italy Agree on the Added Therapeutic Value of Medicines?[J]. International Journal of Technology Assessment in Health Care, 2023, 39(1): e54.</w:t>
      </w:r>
    </w:p>
    <w:p w14:paraId="334D271D">
      <w:pPr>
        <w:pStyle w:val="59"/>
      </w:pPr>
      <w:r>
        <w:t>[13] GARAU M, HAMPSON G, DEVLIN N, et al. Applying a Multicriteria Decision Analysis (MCDA) Approach to Elicit Stakeholders’ Preferences in Italy: The Case of Obinutuzumab for Rituximab-Refractory Indolent Non-Hodgkin Lymphoma (iNHL)[J]. PharmacoEconomics Open, 2018, 2(2): 153-163.</w:t>
      </w:r>
    </w:p>
    <w:p w14:paraId="0C5787A0">
      <w:pPr>
        <w:pStyle w:val="59"/>
      </w:pPr>
      <w:r>
        <w:t>[14] KESSELHEIM A S, WANG B, AVORN J. Defining “Innovativeness” in Drug Development: A Systematic Review[J]. Clinical Pharmacology &amp; Therapeutics, 2013, 94(3): 336-348.</w:t>
      </w:r>
    </w:p>
    <w:p w14:paraId="5CBB5C5B">
      <w:pPr>
        <w:pStyle w:val="59"/>
      </w:pPr>
      <w:r>
        <w:t>[15] MONLEÓN C, SPÄTH H M, CRESPO C, et al. Systematic Literature Review on the Implicit Factors Influencing the Health Technology Assessment Deliberative Process in Europe[J]. Journal of Market Access &amp; Health Policy, 2022, 10(1): 2094047.</w:t>
      </w:r>
    </w:p>
    <w:p w14:paraId="0DC2AB07">
      <w:pPr>
        <w:pStyle w:val="59"/>
      </w:pPr>
      <w:r>
        <w:t>[16] KÅLLBERG C, MATHIESEN L, GOPINATHAN U, et al. The Role of Drug Regulatory Authorities and Health Technology Assessment Agencies in Shaping Incentives for Antibiotic R&amp;D: A Qualitative Study[J]. Journal of Pharmaceutical Policy and Practice, 2023, 16: 53.</w:t>
      </w:r>
    </w:p>
    <w:p w14:paraId="2955F552">
      <w:pPr>
        <w:pStyle w:val="59"/>
      </w:pPr>
      <w:r>
        <w:t>[17] MUNDY L, FORREST B, HUANG L Y, et al. Health Technology Assessment and Innovation: Here to Help or Hinder?[J]. International Journal of Technology Assessment in Health Care, 2024, 40(1): e37.</w:t>
      </w:r>
    </w:p>
    <w:p w14:paraId="1BDF50C3">
      <w:pPr>
        <w:pStyle w:val="59"/>
      </w:pPr>
      <w:r>
        <w:t>[18] JANSSENS R, BARBIER L, MULLER M, et al. How Can Patient Preferences Be Used and Communicated in the Regulatory Evaluation of Medicinal Products? Findings and Recommendations from IMI PREFER and Call to Action[J]. Frontiers in Pharmacology, 2023, 14: 1192770.</w:t>
      </w:r>
    </w:p>
    <w:p w14:paraId="458B8B7F">
      <w:pPr>
        <w:pStyle w:val="59"/>
      </w:pPr>
      <w:r>
        <w:t>[19] MOUNTFORD N, CAI Y. Towards a Flatter Ontology of Institutional Logics: How Logics Relate in Situations of Institutional Complexity[J]. International Journal of Management Reviews, 2023, 25(2): 363-383.</w:t>
      </w:r>
    </w:p>
    <w:p w14:paraId="0E38FEC2">
      <w:pPr>
        <w:pStyle w:val="59"/>
      </w:pPr>
      <w:r>
        <w:t>[20] SIMON H A. Administrative Behavior: A Study of Decision-Making Processes in Administrative Organizations[M]. 4th ed. New York: Free Press, 1997.</w:t>
      </w:r>
    </w:p>
    <w:p w14:paraId="1DE640D4">
      <w:pPr>
        <w:pStyle w:val="59"/>
      </w:pPr>
      <w:r>
        <w:t>[21] CYERT R M, MARCH J G. A Behavioral Theory of the Firm[M]. Englewood Cliffs: Prentice-Hall, 1963.</w:t>
      </w:r>
    </w:p>
    <w:p w14:paraId="5F9D7846">
      <w:pPr>
        <w:pStyle w:val="59"/>
      </w:pPr>
      <w:r>
        <w:t>[22] WALSH J P. Managerial and Organizational Cognition: Notes from a Trip Down Memory Lane[J]. Organization Science, 1995, 6(3): 280-321.</w:t>
      </w:r>
    </w:p>
    <w:p w14:paraId="55A09138">
      <w:pPr>
        <w:pStyle w:val="59"/>
      </w:pPr>
      <w:r>
        <w:t xml:space="preserve">[23] </w:t>
      </w:r>
      <w:r>
        <w:rPr>
          <w:rFonts w:hint="eastAsia"/>
        </w:rPr>
        <w:t>李梦颖，伍琳，王昕妍，等．我国医保谈判药品落地问题的多重制度逻辑分析与政策建议[J]．中国药房，2024，35(14)：1683-1689．</w:t>
      </w:r>
      <w:r>
        <w:br w:type="textWrapping"/>
      </w:r>
      <w:r>
        <w:t>Li M Y, Wu L, Wang X Y, et al. Multiple Institutional Logics Analysis and Policy Suggestions on the Implementation of Negotiated Drugs in China [J]. China Pharmacy, 2024, 35(14): 1683-1689.</w:t>
      </w:r>
    </w:p>
    <w:p w14:paraId="2F745162">
      <w:pPr>
        <w:pStyle w:val="59"/>
      </w:pPr>
      <w:r>
        <w:t>[24] FREEMAN R E. Strategic Management: A Stakeholder Approach[M]. Boston: Pitman, 1984.</w:t>
      </w:r>
    </w:p>
    <w:p w14:paraId="0A9CBBB2">
      <w:pPr>
        <w:pStyle w:val="59"/>
      </w:pPr>
      <w:r>
        <w:t>[25] THORNTON P H, OCASIO W. Institutional logics[M]//GREENWOOD R, OLIVER C, SAHLIN K, et al. The SAGE Handbook of Organizational Institutionalism. London: SAGE, 2008: 99-129.</w:t>
      </w:r>
    </w:p>
    <w:p w14:paraId="490D3669">
      <w:pPr>
        <w:pStyle w:val="59"/>
      </w:pPr>
      <w:r>
        <w:t>[26] GREENWOOD R, RAYNARD M, KODEIH F, et al. Institutional Complexity and Organizational Responses[J]. Academy of Management Annals, 2011, 5(1): 317-371.</w:t>
      </w:r>
    </w:p>
    <w:p w14:paraId="4D1FB08E">
      <w:pPr>
        <w:pStyle w:val="59"/>
      </w:pPr>
      <w:r>
        <w:t>[27] OCASIO W. Towards an Attention-Based View of the Firm[J]. Strategic Management Journal, 1997, 18(S1): 187-206.</w:t>
      </w:r>
    </w:p>
    <w:p w14:paraId="33D9C3B6">
      <w:pPr>
        <w:pStyle w:val="59"/>
      </w:pPr>
      <w:r>
        <w:t xml:space="preserve">[28] </w:t>
      </w:r>
      <w:r>
        <w:rPr>
          <w:rFonts w:hint="eastAsia"/>
        </w:rPr>
        <w:t>文宏．中国政府推进基本公共服务的注意力测量——基于中央政府工作报告（1954—2013）的文本分析[J]．吉林大学社会科学学报，2014，54(2)：20-26．</w:t>
      </w:r>
      <w:r>
        <w:br w:type="textWrapping"/>
      </w:r>
      <w:r>
        <w:t>Wen H. Measuring Government Attention to Basic Public Services: A Text Analysis of Central Government Work Reports (1954-2013) [J]. Jilin University Journal Social Sciences Edition, 2014, 54(2): 20-26.</w:t>
      </w:r>
    </w:p>
    <w:p w14:paraId="5A6D67C9">
      <w:pPr>
        <w:pStyle w:val="59"/>
      </w:pPr>
      <w:r>
        <w:t xml:space="preserve">[29] </w:t>
      </w:r>
      <w:r>
        <w:rPr>
          <w:rFonts w:hint="eastAsia"/>
        </w:rPr>
        <w:t>陶鹏，初春．府际结构下领导注意力的议题分配与优先——基于公开批示的分析[J]．公共行政评论，2020，13(1)：63-78．</w:t>
      </w:r>
      <w:r>
        <w:br w:type="textWrapping"/>
      </w:r>
      <w:r>
        <w:t>Tao P, Chu C. Issue Allocation and Priority of Leadership Attention in Intergovernmental Structure: An Analysis Based on Public Instructions [J]. Journal of Public Administration, 2020, 13(1): 63-78.</w:t>
      </w:r>
    </w:p>
    <w:p w14:paraId="75D537A2">
      <w:pPr>
        <w:pStyle w:val="59"/>
      </w:pPr>
      <w:r>
        <w:t>[30] SEVENANS J, ALBAUGH Q, SHAHAF T, et al. The Automated Coding of Policy Agendas: A Dictionary-Based Approach (Version 2.0)[R]. The 7th Annual Conference of the Comparative Agendas Project, Konstanz, 2014.</w:t>
      </w:r>
    </w:p>
    <w:p w14:paraId="653479A8">
      <w:pPr>
        <w:pStyle w:val="59"/>
      </w:pPr>
      <w:r>
        <w:t xml:space="preserve">[31] </w:t>
      </w:r>
      <w:r>
        <w:rPr>
          <w:rFonts w:hint="eastAsia"/>
        </w:rPr>
        <w:t>曾润喜，莫敏丽．政府注意力的测量：路径、内容与展望[J]．华中科技大学学报（社会科学版），2023，37(1)：66-73．</w:t>
      </w:r>
      <w:r>
        <w:br w:type="textWrapping"/>
      </w:r>
      <w:r>
        <w:t>Zeng R X, Mo M L. Measuring Government Attention: Approaches, Contents and Prospects [J]. Journal of Huazhong University of Science and Technology (Social Science Edition), 2023, 37(1): 66-73.</w:t>
      </w:r>
    </w:p>
    <w:p w14:paraId="6DFD1753">
      <w:pPr>
        <w:pStyle w:val="59"/>
      </w:pPr>
      <w:r>
        <w:t>[32] LOUGHRAN T, MCDONALD B. When Is a Liability Not a Liability? Textual Analysis, Dictionaries, and 10-Ks[J]. The Journal of Finance, 2011, 66(1): 35-65.</w:t>
      </w:r>
    </w:p>
    <w:p w14:paraId="14BE82EA">
      <w:pPr>
        <w:pStyle w:val="59"/>
      </w:pPr>
      <w:r>
        <w:t>[33] GRIMMER J, STEWART B M. Text as Data: The Promise and Pitfalls of Automatic Content Analysis Methods for Political Texts[J]. Political Analysis, 2013, 21(3): 267-297.</w:t>
      </w:r>
    </w:p>
    <w:p w14:paraId="7FF5DB70">
      <w:pPr>
        <w:pStyle w:val="59"/>
      </w:pPr>
      <w:r>
        <w:t xml:space="preserve">[34] </w:t>
      </w:r>
      <w:r>
        <w:rPr>
          <w:rFonts w:hint="eastAsia"/>
        </w:rPr>
        <w:t>国家市场监督管理总局．药品注册管理办法（国家市场监督管理总局令第27号）[Z]．2020．</w:t>
      </w:r>
      <w:r>
        <w:br w:type="textWrapping"/>
      </w:r>
      <w:r>
        <w:t>State Administration for Market Regulation. Provisions for Drug Registration (SAMR Order No. 27) [Z]. 2020.</w:t>
      </w:r>
    </w:p>
    <w:p w14:paraId="2F39B772">
      <w:pPr>
        <w:pStyle w:val="59"/>
      </w:pPr>
      <w:r>
        <w:t xml:space="preserve">[35] </w:t>
      </w:r>
      <w:r>
        <w:rPr>
          <w:rFonts w:hint="eastAsia"/>
        </w:rPr>
        <w:t>国家卫生健康委办公厅．药品临床综合评价管理指南（2021年版</w:t>
      </w:r>
      <w:r>
        <w:t xml:space="preserve"> </w:t>
      </w:r>
      <w:r>
        <w:rPr>
          <w:rFonts w:hint="eastAsia"/>
        </w:rPr>
        <w:t>试行）（国卫办药政发〔2021〕16号）[Z]．2021．</w:t>
      </w:r>
      <w:r>
        <w:br w:type="textWrapping"/>
      </w:r>
      <w:r>
        <w:t>General Office of the National Health Commission. Administrative Guidelines for Comprehensive Clinical Evaluation of Drugs (2021 Edition, for Trial Implementation) [Z]. 2021.</w:t>
      </w:r>
    </w:p>
    <w:p w14:paraId="5FDD4ECC">
      <w:pPr>
        <w:pStyle w:val="59"/>
      </w:pPr>
      <w:r>
        <w:t xml:space="preserve">[36] </w:t>
      </w:r>
      <w:r>
        <w:rPr>
          <w:rFonts w:hint="eastAsia"/>
        </w:rPr>
        <w:t>国家医疗保障局．基本医疗保险用药管理暂行办法（国家医疗保障局令第1号）[Z]．2020．</w:t>
      </w:r>
      <w:r>
        <w:br w:type="textWrapping"/>
      </w:r>
      <w:r>
        <w:t>National Healthcare Security Administration. Interim Measures for the Administration of Basic Medical Insurance Drugs (NHSA Order No. 1) [Z]. 2020.</w:t>
      </w:r>
    </w:p>
    <w:p w14:paraId="6478DEBE">
      <w:pPr>
        <w:pStyle w:val="59"/>
      </w:pPr>
      <w:r>
        <w:t xml:space="preserve">[37] </w:t>
      </w:r>
      <w:r>
        <w:rPr>
          <w:rFonts w:hint="eastAsia"/>
        </w:rPr>
        <w:t>国务院．关于改革药品医疗器械审评审批制度的意见（国发〔2015〕44号）[Z]．2015．</w:t>
      </w:r>
      <w:r>
        <w:br w:type="textWrapping"/>
      </w:r>
      <w:r>
        <w:t>The State Council. Opinions on Reforming the Review and Approval System for Drugs and Medical Devices (No. 44 [2015]) [Z]. 2015.</w:t>
      </w:r>
    </w:p>
    <w:p w14:paraId="1A230B82">
      <w:pPr>
        <w:pStyle w:val="59"/>
      </w:pPr>
      <w:r>
        <w:t>[38] GILARDI F, ALIZADEH M, KUBLI M. ChatGPT Outperforms Crowd Workers for Text-Annotation Tasks[J]. Proceedings of the National Academy of Sciences, 2023, 120(30): e2305016120.</w:t>
      </w:r>
    </w:p>
    <w:p w14:paraId="683CCBC8">
      <w:pPr>
        <w:pStyle w:val="59"/>
      </w:pPr>
      <w:r>
        <w:t>[39] LANDIS J R, KOCH G G. The Measurement of Observer Agreement for Categorical Data[J]. Biometrics, 1977, 33(1): 159-174.</w:t>
      </w:r>
    </w:p>
    <w:p w14:paraId="18387329">
      <w:pPr>
        <w:pStyle w:val="59"/>
      </w:pPr>
      <w:r>
        <w:t>[40] DEWAR R D, DUTTON J E. The Adoption of Radical and Incremental Innovations: An Empirical Analysis[J]. Management Science, 1986, 32(11): 1422-1433.</w:t>
      </w:r>
    </w:p>
    <w:p w14:paraId="5CFD009C">
      <w:pPr>
        <w:pStyle w:val="59"/>
      </w:pPr>
      <w:r>
        <w:t>[41] DUNLAP-HINKLER D, KOTABE M, MUDAMBI R. A Story of Breakthrough versus Incremental Innovation: Corporate Entrepreneurship in the Global Pharmaceutical Industry[J]. Strategic Entrepreneurship Journal, 2010, 4(2): 106-127.</w:t>
      </w:r>
    </w:p>
    <w:p w14:paraId="6468B452">
      <w:pPr>
        <w:pStyle w:val="59"/>
      </w:pPr>
      <w:r>
        <w:t xml:space="preserve">[42] </w:t>
      </w:r>
      <w:r>
        <w:rPr>
          <w:rFonts w:hint="eastAsia"/>
        </w:rPr>
        <w:t>谢金平，孙圆圆，彭楠，等．药品上市许可持有人（MAH）制度对现行监管制度的影响及衔接建议[J]．中国卫生政策研究，2018，11(12)：1-6．</w:t>
      </w:r>
      <w:r>
        <w:br w:type="textWrapping"/>
      </w:r>
      <w:r>
        <w:t>Xie J P, Sun Y Y, Peng N, et al. Impact of the Marketing Authorization Holder (MAH) System on Current Regulatory Institutions and Suggestions for Convergence [J]. Chinese Journal of Health Policy, 2018, 11(12): 1-6.</w:t>
      </w:r>
    </w:p>
    <w:p w14:paraId="2B5589F8">
      <w:pPr>
        <w:pStyle w:val="59"/>
      </w:pPr>
      <w:r>
        <w:t xml:space="preserve">[43] </w:t>
      </w:r>
      <w:r>
        <w:rPr>
          <w:rFonts w:hint="eastAsia"/>
        </w:rPr>
        <w:t>岳晓萌，李钰翔，赵绯丽，等．医保药品目录调整之退出机制的国际经验借鉴[J]．医药导报，2021，40(2)：158-162．</w:t>
      </w:r>
      <w:r>
        <w:br w:type="textWrapping"/>
      </w:r>
      <w:r>
        <w:t>Yue X M, Li Y X, Zhao F L, et al. International Experience of Exit Mechanisms in Medical Insurance Drug Catalogue Adjustment [J]. Herald of Medicine, 2021, 40(2): 158-162.</w:t>
      </w:r>
    </w:p>
    <w:p w14:paraId="390B123A">
      <w:pPr>
        <w:pStyle w:val="59"/>
      </w:pPr>
      <w:r>
        <w:t xml:space="preserve">[44] </w:t>
      </w:r>
      <w:r>
        <w:rPr>
          <w:rFonts w:hint="eastAsia"/>
        </w:rPr>
        <w:t>毛晖，张泽丰，陈政弘．和衷共济，利在其中：国家医保谈判的经济效应与健康效应[J]．财经研究，2025，51(9)：64-78．</w:t>
      </w:r>
      <w:r>
        <w:br w:type="textWrapping"/>
      </w:r>
      <w:r>
        <w:t>Mao H, Zhang Z F, Chen Z H. Economic and Health Effects of National Medical Insurance Negotiation [J]. Journal of Finance and Economics, 2025, 51(9): 64-78.</w:t>
      </w:r>
    </w:p>
    <w:bookmarkEnd w:id="22"/>
    <w:p w14:paraId="6869C35D">
      <w:pPr>
        <w:pStyle w:val="2"/>
      </w:pPr>
      <w:bookmarkStart w:id="23" w:name="附录a-编码方案技术细节"/>
      <w:r>
        <w:rPr>
          <w:rFonts w:hint="eastAsia"/>
        </w:rPr>
        <w:t>附录A</w:t>
      </w:r>
      <w:r>
        <w:t xml:space="preserve"> </w:t>
      </w:r>
      <w:r>
        <w:rPr>
          <w:rFonts w:hint="eastAsia"/>
        </w:rPr>
        <w:t>编码方案技术细节</w:t>
      </w:r>
    </w:p>
    <w:p>
      <w:pPr>
        <w:pStyle w:val="24"/>
      </w:pPr>
      <w:r>
        <w:rPr>
          <w:rFonts w:hint="eastAsia"/>
        </w:rPr>
        <w:t xml:space="preserve">A1 关键词词典全表（五维度共96个关键词）。以下词条在句子内以正则模式检索，同一句命中同一维度的多个词条仅计1次。</w:t>
      </w:r>
    </w:p>
    <w:p>
      <w:pPr>
        <w:pStyle w:val="3"/>
      </w:pPr>
      <w:r>
        <w:rPr>
          <w:rFonts w:hint="eastAsia"/>
        </w:rPr>
        <w:t xml:space="preserve">安全性（17个）：安全、不良反应、毒性、风险管理、药物警戒、安全性评价、安全信号、风险控制、风险评估、安全监测、风险分担、副作用、禁忌、质量可控、质量控制，以及跨词匹配模式“获益…风险”“风险…获益”。</w:t>
      </w:r>
    </w:p>
    <w:p>
      <w:pPr>
        <w:pStyle w:val="3"/>
      </w:pPr>
      <w:r>
        <w:rPr>
          <w:rFonts w:hint="eastAsia"/>
        </w:rPr>
        <w:t xml:space="preserve">有效性（19个）：有效性、疗效、临床价值、临床获益、治疗效果、临床必需、临床需求、生存率、生存期、临床试验、临床研究、临床证据、循证、治疗价值、临床优势、QALY、生命质量、真实世界、临床综合评价。</w:t>
      </w:r>
    </w:p>
    <w:p>
      <w:pPr>
        <w:pStyle w:val="3"/>
      </w:pPr>
      <w:r>
        <w:rPr>
          <w:rFonts w:hint="eastAsia"/>
        </w:rPr>
        <w:t xml:space="preserve">经济性（21个）：经济性、成本效果、成本效用、成本效益、药物经济、价格合理、费用、预算影响、支付标准、医保基金、基金承受、基金可持续、谈判、定价、价格、报销、支付、成本、经济学、药品费用、医疗费用。</w:t>
      </w:r>
    </w:p>
    <w:p>
      <w:pPr>
        <w:pStyle w:val="3"/>
      </w:pPr>
      <w:r>
        <w:rPr>
          <w:rFonts w:hint="eastAsia"/>
        </w:rPr>
        <w:t xml:space="preserve">创新性（18个）：创新、新药、突破性、首创、新化合物、新靶点、新机制、新适应症、加快上市、优先审评、附条件批准、特别审批、临床急需、未满足需求、自主研发、原始创新、仿制药，以及跨词匹配模式“填补…空白”。</w:t>
      </w:r>
    </w:p>
    <w:p>
      <w:pPr>
        <w:pStyle w:val="3"/>
      </w:pPr>
      <w:r>
        <w:rPr>
          <w:rFonts w:hint="eastAsia"/>
        </w:rPr>
        <w:t xml:space="preserve">公平性（21个）：公平、可及、可获得、可负担、基层、保基本、基本用药、基本药物、罕见病、儿童用药、短缺、供应保障、分级诊疗、公共卫生、健康权益、城乡、区域差异、贫困、适宜性、合理用药、处方。</w:t>
      </w:r>
    </w:p>
    <w:p>
      <w:pPr>
        <w:pStyle w:val="3"/>
      </w:pPr>
      <w:r>
        <w:rPr>
          <w:rFonts w:hint="eastAsia"/>
        </w:rPr>
        <w:t xml:space="preserve">A2 LLM编码参数。模型为Claude Sonnet 4（版本号claude-sonnet-4-20250514），经Anthropic Messages API调用，max_tokens设为4096，未显式设置温度参数（采用接口默认值），3387个句子按每批50句分批提交并逐批留存中间结果。系统提示词全文如下：</w:t>
      </w:r>
    </w:p>
    <w:p>
      <w:pPr>
        <w:pStyle w:val="3"/>
      </w:pPr>
      <w:r>
        <w:rPr>
          <w:rFonts w:hint="eastAsia"/>
        </w:rPr>
        <w:t xml:space="preserve">“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p>
    <w:p>
      <w:pPr>
        <w:pStyle w:val="3"/>
      </w:pPr>
      <w:r>
        <w:rPr>
          <w:rFonts w:hint="eastAsia"/>
        </w:rPr>
        <w:t xml:space="preserve">用户提示词为逐条列出待编码句子及其编号，并要求仅返回形如[{"id": 0, "dims": ["安全性", "有效性"]}]的JSON数组。</w:t>
      </w:r>
    </w:p>
    <w:p>
      <w:pPr>
        <w:pStyle w:val="3"/>
      </w:pPr>
      <w:r>
        <w:rPr>
          <w:rFonts w:hint="eastAsia"/>
        </w:rPr>
        <w:t xml:space="preserve">A3 访谈提纲。访谈围绕三个主题模块展开，各模块核心问题如下；实际访谈按半结构化方式进行，在下列问题基础上依受访者所处环节追问。</w:t>
      </w:r>
    </w:p>
    <w:p>
      <w:pPr>
        <w:pStyle w:val="3"/>
      </w:pPr>
      <w:r>
        <w:rPr>
          <w:rFonts w:hint="eastAsia"/>
        </w:rPr>
        <w:t xml:space="preserve">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pPr>
        <w:pStyle w:val="3"/>
      </w:pPr>
      <w:r>
        <w:rPr>
          <w:rFonts w:hint="eastAsia"/>
        </w:rPr>
        <w:t xml:space="preserve">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pPr>
        <w:pStyle w:val="3"/>
      </w:pPr>
      <w:r>
        <w:rPr>
          <w:rFonts w:hint="eastAsia"/>
        </w:rPr>
        <w:t xml:space="preserve">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14:paraId="17B84C38">
      <w:pPr>
        <w:pStyle w:val="56"/>
      </w:pPr>
      <w:r>
        <w:t>Cognitive Divergence and Coordination Pathways in the Multi-Actor Evaluation of Innovative Drugs: An Institutional Perspective</w:t>
      </w:r>
    </w:p>
    <w:p w14:paraId="4C6C0020">
      <w:pPr>
        <w:pStyle w:val="54"/>
      </w:pPr>
      <w:r>
        <w:rPr>
          <w:rFonts w:hint="eastAsia"/>
          <w:highlight w:val="yellow"/>
        </w:rPr>
        <w:t>［ZHANG</w:t>
      </w:r>
      <w:r>
        <w:rPr>
          <w:highlight w:val="yellow"/>
        </w:rPr>
        <w:t xml:space="preserve"> San-si, LI </w:t>
      </w:r>
      <w:commentRangeStart w:id="7"/>
      <w:r>
        <w:rPr>
          <w:rFonts w:hint="eastAsia"/>
          <w:highlight w:val="yellow"/>
        </w:rPr>
        <w:t>Zi-mu——英文署名待补充，格式：姓全大写，双名首字母大写以“-”连接］</w:t>
      </w:r>
      <w:commentRangeEnd w:id="7"/>
      <w:r>
        <w:commentReference w:id="7"/>
      </w:r>
    </w:p>
    <w:p w14:paraId="0CAB648F">
      <w:pPr>
        <w:pStyle w:val="3"/>
      </w:pPr>
      <w:r>
        <w:rPr>
          <w:b/>
          <w:bCs/>
        </w:rPr>
        <w:t>Abstract:</w:t>
      </w:r>
      <w:r>
        <w:t xml:space="preserve"> Innovative drugs in China must pass sequential evaluations by three authorities—drug regulation, healthcare security, and public health—yet the three departments lack consensus on what constitutes a valuable innovative drug. This study develops an “institutional logics–organizational attention” framework, operationalizes cognitive divergence as measurable differences in attention allocation, and applies sentence-level computational coding to 55 policy documents (2017-2026), using a dual-coder design that combines keyword-dictionary coding with large language model semantic coding (overall Cohen’s kappa = 0.867), supplemented by expert interviews. Results show that the drug-regulation authority attends more to efficacy than to safety; the healthcare-security authority is dominated by the economic dimension and defines innovation by incremental clinical value rather than technological novelty; and the public-health authority gives dual priority to equity and safety. The divergence is rooted in distinct institutional logics rather than in a failure of communication. Drawing on the health technology assessment experience of Germany, France, and Italy, the study proposes three coordination pathways—cross-departmental dialogue and tiered evaluation, dynamic evidence evaluation with approval-to-use linkage, and information sharing and transparency—shifting the focus of coordination from eliminating divergence to its institutionalized management.</w:t>
      </w:r>
    </w:p>
    <w:p w14:paraId="1AAE221B">
      <w:pPr>
        <w:pStyle w:val="3"/>
      </w:pPr>
      <w:r>
        <w:rPr>
          <w:b/>
          <w:bCs/>
        </w:rPr>
        <w:t>Key words:</w:t>
      </w:r>
      <w:r>
        <w:t xml:space="preserve"> innovative drug evaluation; institutional logics; cognitive divergence; attention allocation; three-medical coordination</w:t>
      </w:r>
    </w:p>
    <w:bookmarkEnd w:id="23"/>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8-15T10:25:49Z" w:initials="">
    <w:p w14:paraId="364DA05C">
      <w:pPr>
        <w:pStyle w:val="13"/>
      </w:pPr>
      <w:r>
        <w:rPr>
          <w:color w:val="000000"/>
          <w:sz w:val="20"/>
          <w:szCs w:val="20"/>
        </w:rPr>
        <w:t>《科学决策》模板要求标题不超过20字，现标题23字。可考虑改为《创新药多主体评价的认知分歧与协调路径》（18字），请与王老师商定。</w:t>
      </w:r>
    </w:p>
  </w:comment>
  <w:comment w:id="1" w:author="W" w:date="2026-08-15T10:26:11Z" w:initials="">
    <w:p w14:paraId="351A13EC">
      <w:pPr>
        <w:pStyle w:val="13"/>
      </w:pPr>
      <w:r>
        <w:rPr>
          <w:color w:val="000000"/>
          <w:sz w:val="20"/>
          <w:szCs w:val="20"/>
        </w:rPr>
        <w:t>待补充：所有署名作者的简介，格式见模板范例：李子木（1957-），女，河南郑州人，西南交通大学公共管理学院教授，研究方向：公共管理。</w:t>
      </w:r>
    </w:p>
  </w:comment>
  <w:comment w:id="2" w:author="W" w:date="2026-08-15T10:51:19Z" w:initials="">
    <w:p w14:paraId="2E42C75B">
      <w:pPr>
        <w:pStyle w:val="13"/>
        <w:rPr>
          <w:rFonts w:hint="default"/>
          <w:lang w:val="en-US" w:eastAsia="zh-CN"/>
        </w:rPr>
      </w:pPr>
      <w:r>
        <w:rPr>
          <w:rFonts w:hint="eastAsia"/>
          <w:lang w:val="en-US" w:eastAsia="zh-CN"/>
        </w:rPr>
        <w:t>确认和第二部分的逻辑</w:t>
      </w:r>
    </w:p>
  </w:comment>
  <w:comment w:id="3" w:author="W" w:date="2026-08-15T10:28:27Z" w:initials="">
    <w:p w14:paraId="1F729E1E">
      <w:r>
        <w:rPr>
          <w:color w:val="000000"/>
          <w:sz w:val="20"/>
          <w:szCs w:val="20"/>
        </w:rPr>
        <w:t>补充政策出处：国家医保局《关于建立新上市化学药品首发价格形成机制 鼓励高质量创新的通知》（2024）；请核实该文件生效状态（征求意见稿/试行）后决定是否列入参考文献。</w:t>
      </w:r>
    </w:p>
    <w:p w14:paraId="44D7BA0B">
      <w:pPr>
        <w:pStyle w:val="13"/>
      </w:pPr>
    </w:p>
  </w:comment>
  <w:comment w:id="7" w:author="Claude" w:date="2026-08-12T15:40:00Z" w:initials="C">
    <w:p w14:paraId="4BD19EE3">
      <w:r>
        <w:rPr>
          <w:color w:val="000000"/>
          <w:sz w:val="20"/>
          <w:szCs w:val="20"/>
        </w:rPr>
        <w:t>待补充：英文署名。格式：姓全大写，双字名首字母大写、以短横线连接，如 LI Zi-mu。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4DA05C" w15:done="0"/>
  <w15:commentEx w15:paraId="351A13EC" w15:done="0"/>
  <w15:commentEx w15:paraId="2E42C75B" w15:done="0"/>
  <w15:commentEx w15:paraId="44D7BA0B" w15:done="0"/>
  <w15:commentEx w15:paraId="DD94023F" w15:done="0"/>
  <w15:commentEx w15:paraId="9BA42489" w15:done="0"/>
  <w15:commentEx w15:paraId="E39CF370" w15:done="0"/>
  <w15:commentEx w15:paraId="4BD19E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343524F3">
      <w:pPr>
        <w:pStyle w:val="18"/>
      </w:pPr>
      <w:r>
        <w:rPr>
          <w:rStyle w:val="23"/>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000000"/>
    <w:rsid w:val="1FFB7F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2"/>
    <w:qFormat/>
    <w:uiPriority w:val="0"/>
    <w:pPr>
      <w:keepNext/>
      <w:spacing w:before="160" w:after="120" w:line="360" w:lineRule="atLeast"/>
      <w:jc w:val="left"/>
      <w:outlineLvl w:val="0"/>
    </w:pPr>
    <w:rPr>
      <w:rFonts w:ascii="Times New Roman" w:hAnsi="Times New Roman" w:eastAsia="黑体"/>
      <w:b/>
      <w:sz w:val="24"/>
      <w:szCs w:val="24"/>
    </w:rPr>
  </w:style>
  <w:style w:type="paragraph" w:styleId="4">
    <w:name w:val="heading 2"/>
    <w:basedOn w:val="1"/>
    <w:next w:val="3"/>
    <w:link w:val="33"/>
    <w:qFormat/>
    <w:uiPriority w:val="0"/>
    <w:pPr>
      <w:keepNext/>
      <w:spacing w:before="120" w:after="80" w:line="360" w:lineRule="atLeast"/>
      <w:jc w:val="left"/>
      <w:outlineLvl w:val="1"/>
    </w:pPr>
    <w:rPr>
      <w:rFonts w:ascii="Times New Roman" w:hAnsi="Times New Roman" w:eastAsia="黑体"/>
      <w:b/>
      <w:sz w:val="21"/>
      <w:szCs w:val="21"/>
    </w:rPr>
  </w:style>
  <w:style w:type="paragraph" w:styleId="5">
    <w:name w:val="heading 3"/>
    <w:basedOn w:val="1"/>
    <w:next w:val="3"/>
    <w:link w:val="34"/>
    <w:qFormat/>
    <w:uiPriority w:val="0"/>
    <w:pPr>
      <w:keepNext/>
      <w:spacing w:before="80" w:after="60" w:line="360" w:lineRule="atLeast"/>
      <w:jc w:val="left"/>
      <w:outlineLvl w:val="2"/>
    </w:pPr>
    <w:rPr>
      <w:rFonts w:ascii="Times New Roman" w:hAnsi="Times New Roman" w:eastAsia="黑体"/>
      <w:b/>
      <w:sz w:val="21"/>
      <w:szCs w:val="21"/>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ind w:firstLine="420" w:firstLineChars="200"/>
      <w:jc w:val="both"/>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7"/>
    <w:qFormat/>
    <w:uiPriority w:val="11"/>
    <w:rPr>
      <w:rFonts w:eastAsiaTheme="majorEastAsia" w:cstheme="majorBidi"/>
      <w:spacing w:val="15"/>
      <w:sz w:val="28"/>
      <w:szCs w:val="28"/>
    </w:rPr>
  </w:style>
  <w:style w:type="paragraph" w:styleId="18">
    <w:name w:val="footnote text"/>
    <w:basedOn w:val="1"/>
    <w:uiPriority w:val="0"/>
    <w:pPr>
      <w:spacing w:line="240" w:lineRule="auto"/>
      <w:ind w:firstLine="0" w:firstLineChars="0"/>
    </w:pPr>
    <w:rPr>
      <w:sz w:val="18"/>
      <w:szCs w:val="18"/>
    </w:r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1"/>
    <w:qFormat/>
    <w:uiPriority w:val="0"/>
    <w:pPr>
      <w:ind w:firstLine="420" w:firstLineChars="200"/>
      <w:jc w:val="both"/>
    </w:pPr>
  </w:style>
  <w:style w:type="paragraph" w:customStyle="1" w:styleId="25">
    <w:name w:val="Compact"/>
    <w:basedOn w:val="1"/>
    <w:qFormat/>
    <w:uiPriority w:val="0"/>
    <w:pPr>
      <w:spacing w:before="20" w:after="20" w:line="240" w:lineRule="auto"/>
      <w:ind w:firstLine="0" w:firstLineChars="0"/>
      <w:jc w:val="center"/>
    </w:pPr>
    <w:rPr>
      <w:sz w:val="18"/>
      <w:szCs w:val="18"/>
    </w:rPr>
  </w:style>
  <w:style w:type="character" w:customStyle="1" w:styleId="26">
    <w:name w:val="Title Char"/>
    <w:basedOn w:val="20"/>
    <w:link w:val="16"/>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85858" w:themeColor="text1" w:themeTint="A6"/>
      <w:spacing w:val="15"/>
      <w:sz w:val="28"/>
      <w:szCs w:val="28"/>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3">
    <w:name w:val="PaperTitle"/>
    <w:basedOn w:val="1"/>
    <w:qFormat/>
    <w:uiPriority w:val="0"/>
    <w:pPr>
      <w:spacing w:before="120" w:after="160" w:line="400" w:lineRule="atLeast"/>
      <w:ind w:firstLine="0" w:firstLineChars="0"/>
      <w:jc w:val="center"/>
    </w:pPr>
    <w:rPr>
      <w:rFonts w:eastAsia="黑体"/>
      <w:b/>
      <w:sz w:val="28"/>
      <w:szCs w:val="28"/>
    </w:rPr>
  </w:style>
  <w:style w:type="paragraph" w:customStyle="1" w:styleId="54">
    <w:name w:val="Authors"/>
    <w:basedOn w:val="1"/>
    <w:qFormat/>
    <w:uiPriority w:val="0"/>
    <w:pPr>
      <w:spacing w:after="120"/>
      <w:ind w:firstLine="0" w:firstLineChars="0"/>
      <w:jc w:val="center"/>
    </w:pPr>
    <w:rPr>
      <w:sz w:val="24"/>
      <w:szCs w:val="24"/>
    </w:rPr>
  </w:style>
  <w:style w:type="paragraph" w:customStyle="1" w:styleId="55">
    <w:name w:val="FrontMatter"/>
    <w:basedOn w:val="1"/>
    <w:qFormat/>
    <w:uiPriority w:val="0"/>
    <w:pPr>
      <w:spacing w:before="40" w:after="40"/>
      <w:ind w:firstLine="0" w:firstLineChars="0"/>
      <w:jc w:val="both"/>
    </w:pPr>
  </w:style>
  <w:style w:type="paragraph" w:customStyle="1" w:styleId="56">
    <w:name w:val="Caption2"/>
    <w:basedOn w:val="1"/>
    <w:qFormat/>
    <w:uiPriority w:val="0"/>
    <w:pPr>
      <w:keepNext/>
      <w:spacing w:before="80" w:after="60"/>
      <w:ind w:firstLine="0" w:firstLineChars="0"/>
      <w:jc w:val="center"/>
    </w:pPr>
    <w:rPr>
      <w:rFonts w:eastAsia="黑体"/>
      <w:sz w:val="21"/>
    </w:rPr>
  </w:style>
  <w:style w:type="paragraph" w:customStyle="1" w:styleId="57">
    <w:name w:val="CenteredPara"/>
    <w:basedOn w:val="1"/>
    <w:qFormat/>
    <w:uiPriority w:val="0"/>
    <w:pPr>
      <w:spacing w:before="60" w:after="40"/>
      <w:ind w:firstLine="0" w:firstLineChars="0"/>
      <w:jc w:val="center"/>
    </w:pPr>
  </w:style>
  <w:style w:type="paragraph" w:customStyle="1" w:styleId="58">
    <w:name w:val="SourceNote"/>
    <w:basedOn w:val="1"/>
    <w:qFormat/>
    <w:uiPriority w:val="0"/>
    <w:pPr>
      <w:spacing w:before="20" w:after="80"/>
      <w:ind w:firstLine="0" w:firstLineChars="0"/>
      <w:jc w:val="left"/>
    </w:pPr>
    <w:rPr>
      <w:sz w:val="18"/>
      <w:szCs w:val="18"/>
    </w:rPr>
  </w:style>
  <w:style w:type="paragraph" w:customStyle="1" w:styleId="59">
    <w:name w:val="RefText"/>
    <w:basedOn w:val="1"/>
    <w:qFormat/>
    <w:uiPriority w:val="0"/>
    <w:pPr>
      <w:spacing w:before="20" w:after="20" w:line="300" w:lineRule="atLeast"/>
      <w:ind w:left="420" w:hanging="420"/>
      <w:jc w:val="both"/>
    </w:pPr>
    <w:rPr>
      <w:sz w:val="18"/>
      <w:szCs w:val="18"/>
    </w:rPr>
  </w:style>
  <w:style w:type="character" w:customStyle="1" w:styleId="60">
    <w:name w:val="KeywordTok"/>
    <w:basedOn w:val="49"/>
    <w:uiPriority w:val="0"/>
    <w:rPr>
      <w:b/>
      <w:color w:val="007020"/>
    </w:rPr>
  </w:style>
  <w:style w:type="character" w:customStyle="1" w:styleId="61">
    <w:name w:val="DataTypeTok"/>
    <w:basedOn w:val="49"/>
    <w:uiPriority w:val="0"/>
    <w:rPr>
      <w:color w:val="902000"/>
    </w:rPr>
  </w:style>
  <w:style w:type="character" w:customStyle="1" w:styleId="62">
    <w:name w:val="DecValTok"/>
    <w:basedOn w:val="49"/>
    <w:uiPriority w:val="0"/>
    <w:rPr>
      <w:color w:val="40A070"/>
    </w:rPr>
  </w:style>
  <w:style w:type="character" w:customStyle="1" w:styleId="63">
    <w:name w:val="BaseNTok"/>
    <w:basedOn w:val="49"/>
    <w:uiPriority w:val="0"/>
    <w:rPr>
      <w:color w:val="40A070"/>
    </w:rPr>
  </w:style>
  <w:style w:type="character" w:customStyle="1" w:styleId="64">
    <w:name w:val="FloatTok"/>
    <w:basedOn w:val="49"/>
    <w:uiPriority w:val="0"/>
    <w:rPr>
      <w:color w:val="40A070"/>
    </w:rPr>
  </w:style>
  <w:style w:type="character" w:customStyle="1" w:styleId="65">
    <w:name w:val="ConstantTok"/>
    <w:basedOn w:val="49"/>
    <w:uiPriority w:val="0"/>
    <w:rPr>
      <w:color w:val="880000"/>
    </w:rPr>
  </w:style>
  <w:style w:type="character" w:customStyle="1" w:styleId="66">
    <w:name w:val="CharTok"/>
    <w:basedOn w:val="49"/>
    <w:uiPriority w:val="0"/>
    <w:rPr>
      <w:color w:val="4070A0"/>
    </w:rPr>
  </w:style>
  <w:style w:type="character" w:customStyle="1" w:styleId="67">
    <w:name w:val="SpecialCharTok"/>
    <w:basedOn w:val="49"/>
    <w:uiPriority w:val="0"/>
    <w:rPr>
      <w:color w:val="4070A0"/>
    </w:rPr>
  </w:style>
  <w:style w:type="character" w:customStyle="1" w:styleId="68">
    <w:name w:val="StringTok"/>
    <w:basedOn w:val="49"/>
    <w:uiPriority w:val="0"/>
    <w:rPr>
      <w:color w:val="4070A0"/>
    </w:rPr>
  </w:style>
  <w:style w:type="character" w:customStyle="1" w:styleId="69">
    <w:name w:val="VerbatimStringTok"/>
    <w:basedOn w:val="49"/>
    <w:uiPriority w:val="0"/>
    <w:rPr>
      <w:color w:val="4070A0"/>
    </w:rPr>
  </w:style>
  <w:style w:type="character" w:customStyle="1" w:styleId="70">
    <w:name w:val="SpecialStringTok"/>
    <w:basedOn w:val="49"/>
    <w:uiPriority w:val="0"/>
    <w:rPr>
      <w:color w:val="BB6688"/>
    </w:rPr>
  </w:style>
  <w:style w:type="character" w:customStyle="1" w:styleId="71">
    <w:name w:val="ImportTok"/>
    <w:basedOn w:val="49"/>
    <w:uiPriority w:val="0"/>
    <w:rPr>
      <w:b/>
      <w:color w:val="008000"/>
    </w:rPr>
  </w:style>
  <w:style w:type="character" w:customStyle="1" w:styleId="72">
    <w:name w:val="CommentTok"/>
    <w:basedOn w:val="49"/>
    <w:uiPriority w:val="0"/>
    <w:rPr>
      <w:i/>
      <w:color w:val="60A0B0"/>
    </w:rPr>
  </w:style>
  <w:style w:type="character" w:customStyle="1" w:styleId="73">
    <w:name w:val="DocumentationTok"/>
    <w:basedOn w:val="49"/>
    <w:uiPriority w:val="0"/>
    <w:rPr>
      <w:i/>
      <w:color w:val="BA2121"/>
    </w:rPr>
  </w:style>
  <w:style w:type="character" w:customStyle="1" w:styleId="74">
    <w:name w:val="AnnotationTok"/>
    <w:basedOn w:val="49"/>
    <w:uiPriority w:val="0"/>
    <w:rPr>
      <w:b/>
      <w:i/>
      <w:color w:val="60A0B0"/>
    </w:rPr>
  </w:style>
  <w:style w:type="character" w:customStyle="1" w:styleId="75">
    <w:name w:val="CommentVarTok"/>
    <w:basedOn w:val="49"/>
    <w:uiPriority w:val="0"/>
    <w:rPr>
      <w:b/>
      <w:i/>
      <w:color w:val="60A0B0"/>
    </w:rPr>
  </w:style>
  <w:style w:type="character" w:customStyle="1" w:styleId="76">
    <w:name w:val="OtherTok"/>
    <w:basedOn w:val="49"/>
    <w:uiPriority w:val="0"/>
    <w:rPr>
      <w:color w:val="007020"/>
    </w:rPr>
  </w:style>
  <w:style w:type="character" w:customStyle="1" w:styleId="77">
    <w:name w:val="FunctionTok"/>
    <w:basedOn w:val="49"/>
    <w:uiPriority w:val="0"/>
    <w:rPr>
      <w:color w:val="06287E"/>
    </w:rPr>
  </w:style>
  <w:style w:type="character" w:customStyle="1" w:styleId="78">
    <w:name w:val="VariableTok"/>
    <w:basedOn w:val="49"/>
    <w:uiPriority w:val="0"/>
    <w:rPr>
      <w:color w:val="19177C"/>
    </w:rPr>
  </w:style>
  <w:style w:type="character" w:customStyle="1" w:styleId="79">
    <w:name w:val="ControlFlowTok"/>
    <w:basedOn w:val="49"/>
    <w:uiPriority w:val="0"/>
    <w:rPr>
      <w:b/>
      <w:color w:val="007020"/>
    </w:rPr>
  </w:style>
  <w:style w:type="character" w:customStyle="1" w:styleId="80">
    <w:name w:val="OperatorTok"/>
    <w:basedOn w:val="49"/>
    <w:uiPriority w:val="0"/>
    <w:rPr>
      <w:color w:val="666666"/>
    </w:rPr>
  </w:style>
  <w:style w:type="character" w:customStyle="1" w:styleId="81">
    <w:name w:val="BuiltInTok"/>
    <w:basedOn w:val="49"/>
    <w:uiPriority w:val="0"/>
    <w:rPr>
      <w:color w:val="008000"/>
    </w:rPr>
  </w:style>
  <w:style w:type="character" w:customStyle="1" w:styleId="82">
    <w:name w:val="ExtensionTok"/>
    <w:basedOn w:val="49"/>
    <w:uiPriority w:val="0"/>
  </w:style>
  <w:style w:type="character" w:customStyle="1" w:styleId="83">
    <w:name w:val="PreprocessorTok"/>
    <w:basedOn w:val="49"/>
    <w:uiPriority w:val="0"/>
    <w:rPr>
      <w:color w:val="BC7A00"/>
    </w:rPr>
  </w:style>
  <w:style w:type="character" w:customStyle="1" w:styleId="84">
    <w:name w:val="AttributeTok"/>
    <w:basedOn w:val="49"/>
    <w:uiPriority w:val="0"/>
    <w:rPr>
      <w:color w:val="7D9029"/>
    </w:rPr>
  </w:style>
  <w:style w:type="character" w:customStyle="1" w:styleId="85">
    <w:name w:val="RegionMarkerTok"/>
    <w:basedOn w:val="49"/>
    <w:uiPriority w:val="0"/>
  </w:style>
  <w:style w:type="character" w:customStyle="1" w:styleId="86">
    <w:name w:val="InformationTok"/>
    <w:basedOn w:val="49"/>
    <w:uiPriority w:val="0"/>
    <w:rPr>
      <w:b/>
      <w:i/>
      <w:color w:val="60A0B0"/>
    </w:rPr>
  </w:style>
  <w:style w:type="character" w:customStyle="1" w:styleId="87">
    <w:name w:val="WarningTok"/>
    <w:basedOn w:val="49"/>
    <w:uiPriority w:val="0"/>
    <w:rPr>
      <w:b/>
      <w:i/>
      <w:color w:val="60A0B0"/>
    </w:rPr>
  </w:style>
  <w:style w:type="character" w:customStyle="1" w:styleId="88">
    <w:name w:val="AlertTok"/>
    <w:basedOn w:val="49"/>
    <w:uiPriority w:val="0"/>
    <w:rPr>
      <w:b/>
      <w:color w:val="FF0000"/>
    </w:rPr>
  </w:style>
  <w:style w:type="character" w:customStyle="1" w:styleId="89">
    <w:name w:val="ErrorTok"/>
    <w:basedOn w:val="49"/>
    <w:uiPriority w:val="0"/>
    <w:rPr>
      <w:b/>
      <w:color w:val="FF0000"/>
    </w:rPr>
  </w:style>
  <w:style w:type="character" w:customStyle="1" w:styleId="90">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39</TotalTime>
  <ScaleCrop>false</ScaleCrop>
  <LinksUpToDate>false</LinksUpToDate>
  <CharactersWithSpaces>583</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2026-08-13T00:39:00Z</dcterms:created>
  <dc:creator>W</dc:creator>
  <cp:lastModifiedBy>W</cp:lastModifiedBy>
  <dcterms:modified xsi:type="dcterms:W3CDTF">2026-08-15T11:04:20Z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