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a="http://schemas.openxmlformats.org/drawingml/2006/main" xmlns:mc="http://schemas.openxmlformats.org/markup-compatibility/2006" xmlns:pic="http://schemas.openxmlformats.org/drawingml/2006/picture" xmlns:r="http://schemas.openxmlformats.org/officeDocument/2006/relationships" xmlns:w="http://schemas.openxmlformats.org/wordprocessingml/2006/main" xmlns:w14="http://schemas.microsoft.com/office/word/2010/wordml" xmlns:wp="http://schemas.openxmlformats.org/drawingml/2006/wordprocessingDrawing" mc:Ignorable="w14 w15 wp14">
  <w:body>
    <w:p w14:paraId="5F71A3EA">
      <w:pPr>
        <w:pStyle w:val="57"/>
      </w:pPr>
      <w:r>
        <w:rPr>
          <w:rFonts w:hint="eastAsia"/>
        </w:rPr>
        <w:t xml:space="preserve">创新药评价的注意力配置差异与协调路径</w:t>
      </w:r>
      <w:r>
        <w:rPr>
          <w:rStyle w:val="27"/>
        </w:rPr>
        <w:footnoteReference w:id="0"/>
      </w:r>
    </w:p>
    <w:p>
      <w:pPr>
        <w:pStyle w:val="58"/>
      </w:pPr>
      <w:r>
        <w:rPr>
          <w:rFonts w:hint="eastAsia"/>
        </w:rPr>
        <w:t xml:space="preserve">［王孝炯　陈海婷　刘中全］</w:t>
      </w:r>
    </w:p>
    <w:p>
      <w:pPr>
        <w:pStyle w:val="59"/>
      </w:pPr>
      <w:r>
        <w:rPr>
          <w:rFonts w:hint="eastAsia"/>
          <w:b/>
        </w:rPr>
        <w:t xml:space="preserve">摘要：</w:t>
      </w:r>
      <w:r>
        <w:rPr>
          <w:rFonts w:hint="eastAsia"/>
        </w:rPr>
        <w:t xml:space="preserve">按医保目录评审的五个维度，对药监局、医保局、卫健委2017-2026年的55份政策文件作句子编码。医保局以经济性为主导，药监局集中于安全性、有效性与创新性，经济性不足1.5%，四种口径稳健。医保局对创新性的关注不低于安全性与有效性，但判据是相对已有药品的临床价值增量，药监局则以化合物新颖性认定创新。三部门对创新定义、证据要求和价值衡量不一致，审批与准入判断难以衔接。据此建议统一一级评价维度、衔接证据评价、共享评价信息。</w:t>
      </w:r>
    </w:p>
    <w:p>
      <w:pPr>
        <w:pStyle w:val="59"/>
      </w:pPr>
      <w:r>
        <w:rPr>
          <w:rFonts w:hint="eastAsia"/>
          <w:b/>
        </w:rPr>
        <w:t xml:space="preserve">关键词：</w:t>
      </w:r>
      <w:r>
        <w:rPr>
          <w:rFonts w:hint="eastAsia"/>
        </w:rPr>
        <w:t xml:space="preserve">创新药评价；制度逻辑；注意力配置；政策文本；三医协同</w:t>
      </w:r>
    </w:p>
    <w:p w14:paraId="1F5F04D6">
      <w:pPr>
        <w:pStyle w:val="59"/>
      </w:pPr>
      <w:r>
        <w:t>DOI:</w:t>
      </w:r>
    </w:p>
    <w:p w14:paraId="75C4CFC7">
      <w:pPr>
        <w:pStyle w:val="59"/>
      </w:pPr>
      <w:r>
        <w:rPr>
          <w:rFonts w:hint="eastAsia"/>
          <w:b/>
          <w:bCs/>
        </w:rPr>
        <w:t>中图分类号： C934</w:t>
      </w:r>
      <w:r>
        <w:t>　　</w:t>
      </w:r>
      <w:r>
        <w:rPr>
          <w:rFonts w:hint="eastAsia"/>
          <w:b/>
          <w:bCs/>
        </w:rPr>
        <w:t>文献标识码：</w:t>
      </w:r>
      <w:r>
        <w:t xml:space="preserve"> A　　</w:t>
      </w:r>
      <w:r>
        <w:rPr>
          <w:rFonts w:hint="eastAsia"/>
          <w:b/>
          <w:bCs/>
        </w:rPr>
        <w:t>文章编号：</w:t>
      </w:r>
    </w:p>
    <w:p>
      <w:pPr>
        <w:pStyle w:val="59"/>
      </w:pPr>
      <w:r>
        <w:rPr>
          <w:rFonts w:hint="eastAsia"/>
          <w:b/>
        </w:rPr>
        <w:t xml:space="preserve">作者简介：</w:t>
      </w:r>
      <w:r>
        <w:rPr>
          <w:rFonts w:hint="eastAsia"/>
        </w:rPr>
        <w:t xml:space="preserve">［王孝炯（1982.2-），男，安徽合肥，中国科学院科技战略咨询研究院 研究员，研究方向：创新发展政策。</w:t>
      </w:r>
      <w:r>
        <w:rPr>
          <w:rFonts w:hint="eastAsia"/>
          <w:highlight w:val="yellow"/>
        </w:rPr>
        <w:t xml:space="preserve">陈海婷（待补）</w:t>
      </w:r>
      <w:r>
        <w:rPr>
          <w:rFonts w:hint="eastAsia"/>
        </w:rPr>
        <w:t xml:space="preserve">。刘中全（1988-），男，河南周口，国家发改委创新驱动发展中心处长、副研究员，研究方向：科技政策、生物经济。］</w:t>
      </w:r>
    </w:p>
    <w:p>
      <w:pPr>
        <w:pStyle w:val="2"/>
      </w:pPr>
      <w:r>
        <w:rPr>
          <w:rFonts w:hint="eastAsia"/>
        </w:rPr>
        <w:t xml:space="preserve">1 引言</w:t>
      </w:r>
    </w:p>
    <w:p>
      <w:pPr>
        <w:pStyle w:val="28"/>
      </w:pPr>
      <w:r>
        <w:rPr>
          <w:rFonts w:hint="eastAsia"/>
        </w:rPr>
        <w:t xml:space="preserve">《中华人民共和国国民经济和社会发展第十五个五年规划纲要》（以下简称《“十五五”规划纲要》）将生物医药列为新兴支柱产业之一，并专设一节提出“健全医疗、医保、医药协同发展和治理机制”（以下简称“三医协同”），明确了“优化创新药和临床急需药品审评审批，健全医保支持创新药和医疗器械高质量发展机制，完善创新药目录，鼓励商业保险扩大创新药支付范围”等重要工作。2024年以来，国务院常务会议审议通过《全链条支持创新药发展实施方案》，国家医疗保障局联合国家卫生健康委员会印发《支持创新药高质量发展的若干措施》，首版《商业健康保险创新药品目录》正式发布，创新药政策覆盖从审批端延伸至支付端和使用端。</w:t>
      </w:r>
    </w:p>
    <w:p>
      <w:pPr>
        <w:pStyle w:val="3"/>
      </w:pPr>
      <w:r>
        <w:rPr>
          <w:rFonts w:hint="eastAsia"/>
        </w:rPr>
        <w:t xml:space="preserve">然而，政策框架的搭建并不等于评价共识的形成。一款创新药从获批上市到进入医保、再到临床使用，需要依次通过国家药品监督管理局（以下简称药监局）、国家医疗保障局（以下简称医保局）、国家卫生健康委员会（以下简称卫健委）三个部门的评审，而三部门对“什么是有价值的创新药”并未形成一致标准。课题组开展的专家访谈显示，药监局认定的一类创新药，未必能够满足医保局对临床价值的评审要求；纳入医保目录的药品，也未必能够在医疗机构得到充分配备和使用，创新药由此在各环节之间面临重复评价、成本上升等问题。</w:t>
      </w:r>
    </w:p>
    <w:p>
      <w:pPr>
        <w:pStyle w:val="3"/>
      </w:pPr>
      <w:r>
        <w:rPr>
          <w:rFonts w:hint="eastAsia"/>
        </w:rPr>
        <w:t xml:space="preserve">三部门的评价差异可能存在于两个层面：一是在安全性、有效性、经济性、创新性、公平性等评价维度上的关注重点不同，本文以注意力配置差异刻画，并以政策文本中各评价维度的注意力占比加以测量；二是对“创新”等同一概念的界定和评价标准不同。既有研究已注意到创新药评价中的多主体差异，但多从利益相关者视角作定性描述，缺乏对三部门政策文本的系统比较，也较少区分这两个层面的差异。</w:t>
      </w:r>
    </w:p>
    <w:p>
      <w:pPr>
        <w:pStyle w:val="3"/>
      </w:pPr>
      <w:r>
        <w:rPr>
          <w:rFonts w:hint="eastAsia"/>
        </w:rPr>
        <w:t xml:space="preserve">本文围绕三个问题展开：三部门的注意力配置差异表现在哪些评价维度、制度根源何在；三部门对同一概念的界定和评价标准是否一致；以及“十五五”时期三医协同框架下应当协调哪一类差异、如何协调。为此，本文构建“制度逻辑—组织注意力”分析框架，对2017-2026年药监局、医保局、卫健委及国务院发布的55份政策文件进行句子级编码，并借鉴法国、德国、意大利的健康技术评估经验提出协调路径。</w:t>
      </w:r>
    </w:p>
    <w:p>
      <w:pPr>
        <w:pStyle w:val="2"/>
      </w:pPr>
      <w:r>
        <w:rPr>
          <w:rFonts w:hint="eastAsia"/>
        </w:rPr>
        <w:t xml:space="preserve">2 文献综述</w:t>
      </w:r>
    </w:p>
    <w:p>
      <w:pPr>
        <w:pStyle w:val="4"/>
      </w:pPr>
      <w:r>
        <w:rPr>
          <w:rFonts w:hint="eastAsia"/>
        </w:rPr>
        <w:t xml:space="preserve">2.1 创新药多维评价的研究脉络</w:t>
      </w:r>
    </w:p>
    <w:p>
      <w:pPr>
        <w:pStyle w:val="28"/>
      </w:pPr>
      <w:r>
        <w:rPr>
          <w:rFonts w:hint="eastAsia"/>
        </w:rPr>
        <w:t xml:space="preserve">在评价标准与准入机制方面，孔繁翠（2022）</w:t>
      </w:r>
      <w:r>
        <w:rPr>
          <w:rFonts w:hint="eastAsia"/>
          <w:vertAlign w:val="superscript"/>
        </w:rPr>
        <w:t xml:space="preserve">[1]</w:t>
      </w:r>
      <w:r>
        <w:rPr>
          <w:rFonts w:hint="eastAsia"/>
        </w:rPr>
        <w:t xml:space="preserve">对比英、德、法、加四国的创新药价值评估体系，提出中国应构建附加临床收益评估体系并完善医保准入谈判规则；赵华婷等（2019）</w:t>
      </w:r>
      <w:r>
        <w:rPr>
          <w:rFonts w:hint="eastAsia"/>
          <w:vertAlign w:val="superscript"/>
        </w:rPr>
        <w:t xml:space="preserve">[2]</w:t>
      </w:r>
      <w:r>
        <w:rPr>
          <w:rFonts w:hint="eastAsia"/>
        </w:rPr>
        <w:t xml:space="preserve">建议建立与医保目录动态调整相衔接的临床获益分级机制；段晓托等（2017）</w:t>
      </w:r>
      <w:r>
        <w:rPr>
          <w:rFonts w:hint="eastAsia"/>
          <w:vertAlign w:val="superscript"/>
        </w:rPr>
        <w:t xml:space="preserve">[3]</w:t>
      </w:r>
      <w:r>
        <w:rPr>
          <w:rFonts w:hint="eastAsia"/>
        </w:rPr>
        <w:t xml:space="preserve">指出创新药进入医保目录存在遴选依据客观性不足、等待时间过长和谈判机制不健全等障碍；艾丹丹等（2020）</w:t>
      </w:r>
      <w:r>
        <w:rPr>
          <w:rFonts w:hint="eastAsia"/>
          <w:vertAlign w:val="superscript"/>
        </w:rPr>
        <w:t xml:space="preserve">[4]</w:t>
      </w:r>
      <w:r>
        <w:rPr>
          <w:rFonts w:hint="eastAsia"/>
        </w:rPr>
        <w:t xml:space="preserve">认为基于价值的定价需以多维评价体系为前提。这些研究表明，创新药评价涉及多个评价维度，但各维度的权重尚无统一标准。</w:t>
      </w:r>
    </w:p>
    <w:p>
      <w:pPr>
        <w:pStyle w:val="3"/>
      </w:pPr>
      <w:r>
        <w:rPr>
          <w:rFonts w:hint="eastAsia"/>
        </w:rPr>
        <w:t xml:space="preserve">在多主体互动方面，康姗姗等（2010）</w:t>
      </w:r>
      <w:r>
        <w:rPr>
          <w:rFonts w:hint="eastAsia"/>
          <w:vertAlign w:val="superscript"/>
        </w:rPr>
        <w:t xml:space="preserve">[5]</w:t>
      </w:r>
      <w:r>
        <w:rPr>
          <w:rFonts w:hint="eastAsia"/>
        </w:rPr>
        <w:t xml:space="preserve">、张新鑫等（2017）</w:t>
      </w:r>
      <w:r>
        <w:rPr>
          <w:rFonts w:hint="eastAsia"/>
          <w:vertAlign w:val="superscript"/>
        </w:rPr>
        <w:t xml:space="preserve">[6]</w:t>
      </w:r>
      <w:r>
        <w:rPr>
          <w:rFonts w:hint="eastAsia"/>
        </w:rPr>
        <w:t xml:space="preserve">、谭清立等（2024）</w:t>
      </w:r>
      <w:r>
        <w:rPr>
          <w:rFonts w:hint="eastAsia"/>
          <w:vertAlign w:val="superscript"/>
        </w:rPr>
        <w:t xml:space="preserve">[7]</w:t>
      </w:r>
      <w:r>
        <w:rPr>
          <w:rFonts w:hint="eastAsia"/>
        </w:rPr>
        <w:t xml:space="preserve">以及王恩楠和朱铭来（2023）</w:t>
      </w:r>
      <w:r>
        <w:rPr>
          <w:rFonts w:hint="eastAsia"/>
          <w:vertAlign w:val="superscript"/>
        </w:rPr>
        <w:t xml:space="preserve">[8]</w:t>
      </w:r>
      <w:r>
        <w:rPr>
          <w:rFonts w:hint="eastAsia"/>
        </w:rPr>
        <w:t xml:space="preserve">分别以博弈模型分析了药品上市决策、价格管制与医保谈判中的多方策略互动，揭示了多主体差异的利益根源，但多停留在两方或三方博弈层面。在政策工具与制度层面，吕倩鹏等（2024）</w:t>
      </w:r>
      <w:r>
        <w:rPr>
          <w:rFonts w:hint="eastAsia"/>
          <w:vertAlign w:val="superscript"/>
        </w:rPr>
        <w:t xml:space="preserve">[9]</w:t>
      </w:r>
      <w:r>
        <w:rPr>
          <w:rFonts w:hint="eastAsia"/>
        </w:rPr>
        <w:t xml:space="preserve">对65份国家层面创新药研发政策的量化分析发现政策工具内部结构失衡，毛心仪和姚峥嵘（2021）</w:t>
      </w:r>
      <w:r>
        <w:rPr>
          <w:rFonts w:hint="eastAsia"/>
          <w:vertAlign w:val="superscript"/>
        </w:rPr>
        <w:t xml:space="preserve">[10]</w:t>
      </w:r>
      <w:r>
        <w:rPr>
          <w:rFonts w:hint="eastAsia"/>
        </w:rPr>
        <w:t xml:space="preserve">分析了2015年以来审评审批制度改革的变迁特征，杨钰婷等（2024）</w:t>
      </w:r>
      <w:r>
        <w:rPr>
          <w:rFonts w:hint="eastAsia"/>
          <w:vertAlign w:val="superscript"/>
        </w:rPr>
        <w:t xml:space="preserve">[11]</w:t>
      </w:r>
      <w:r>
        <w:rPr>
          <w:rFonts w:hint="eastAsia"/>
        </w:rPr>
        <w:t xml:space="preserve">发现各地落实创新药准入政策存在显著制度差异。</w:t>
      </w:r>
    </w:p>
    <w:p>
      <w:pPr>
        <w:pStyle w:val="3"/>
      </w:pPr>
      <w:r>
        <w:rPr>
          <w:rFonts w:hint="eastAsia"/>
        </w:rPr>
        <w:t xml:space="preserve">国际研究从实证层面揭示了评价差异的结构性特征。Casilli等（2023）</w:t>
      </w:r>
      <w:r>
        <w:rPr>
          <w:rFonts w:hint="eastAsia"/>
          <w:vertAlign w:val="superscript"/>
        </w:rPr>
        <w:t xml:space="preserve">[12]</w:t>
      </w:r>
      <w:r>
        <w:rPr>
          <w:rFonts w:hint="eastAsia"/>
        </w:rPr>
        <w:t xml:space="preserve">比较了189个药品/适应症在法国高等卫生管理局（HAS）、德国联邦联合委员会（G-BA）和意大利药品管理局（AIFA）之间的健康技术评估（Health Technology Assessment，HTA）结论，发现德法一致率最高（82%），意法和意德仅为52%和57%。Garau等（2018）</w:t>
      </w:r>
      <w:r>
        <w:rPr>
          <w:rFonts w:hint="eastAsia"/>
          <w:vertAlign w:val="superscript"/>
        </w:rPr>
        <w:t xml:space="preserve">[13]</w:t>
      </w:r>
      <w:r>
        <w:rPr>
          <w:rFonts w:hint="eastAsia"/>
        </w:rPr>
        <w:t xml:space="preserve">发现患者和临床医生的评价权重集中于疾病严重性与治疗获益，支付方的权重分布更均匀、对成本和证据质量关注更高。Kesselheim等（2013）</w:t>
      </w:r>
      <w:r>
        <w:rPr>
          <w:rFonts w:hint="eastAsia"/>
          <w:vertAlign w:val="superscript"/>
        </w:rPr>
        <w:t xml:space="preserve">[14]</w:t>
      </w:r>
      <w:r>
        <w:rPr>
          <w:rFonts w:hint="eastAsia"/>
        </w:rPr>
        <w:t xml:space="preserve">指出，研究对药物创新趋势是否向好的判断，取决于采用何种创新定义；Monleón等（2022）</w:t>
      </w:r>
      <w:r>
        <w:rPr>
          <w:rFonts w:hint="eastAsia"/>
          <w:vertAlign w:val="superscript"/>
        </w:rPr>
        <w:t xml:space="preserve">[15]</w:t>
      </w:r>
      <w:r>
        <w:rPr>
          <w:rFonts w:hint="eastAsia"/>
        </w:rPr>
        <w:t xml:space="preserve">识别出HTA审议过程中伦理、组织文化、功能角色等隐性影响因素。</w:t>
      </w:r>
    </w:p>
    <w:p>
      <w:pPr>
        <w:pStyle w:val="4"/>
      </w:pPr>
      <w:r>
        <w:rPr>
          <w:rFonts w:hint="eastAsia"/>
        </w:rPr>
        <w:t xml:space="preserve">2.2 多主体评价差异的既有研究</w:t>
      </w:r>
    </w:p>
    <w:p>
      <w:pPr>
        <w:pStyle w:val="28"/>
      </w:pPr>
      <w:r>
        <w:rPr>
          <w:rFonts w:hint="eastAsia"/>
        </w:rPr>
        <w:t xml:space="preserve">Kållberg等（2023）</w:t>
      </w:r>
      <w:r>
        <w:rPr>
          <w:rFonts w:hint="eastAsia"/>
          <w:vertAlign w:val="superscript"/>
        </w:rPr>
        <w:t xml:space="preserve">[16]</w:t>
      </w:r>
      <w:r>
        <w:rPr>
          <w:rFonts w:hint="eastAsia"/>
        </w:rPr>
        <w:t xml:space="preserve">对来自欧洲药品管理局（EMA）、美国食品药品监督管理局（FDA）和欧洲HTA机构的19名专家进行访谈后发现，部分专家将“新颖性”界定为新类别中的首个药物，另一些则要求无已知耐药机制，加速审批产生的下游不确定性给支付方和临床医生带来显著决策困难。Mundy等（2024）</w:t>
      </w:r>
      <w:r>
        <w:rPr>
          <w:rFonts w:hint="eastAsia"/>
          <w:vertAlign w:val="superscript"/>
        </w:rPr>
        <w:t xml:space="preserve">[17]</w:t>
      </w:r>
      <w:r>
        <w:rPr>
          <w:rFonts w:hint="eastAsia"/>
        </w:rPr>
        <w:t xml:space="preserve">指出，HTA对创新的定义和捕捉方式不一致，创新往往被隐含而非显式地纳入决策。Janssens等（2023）</w:t>
      </w:r>
      <w:r>
        <w:rPr>
          <w:rFonts w:hint="eastAsia"/>
          <w:vertAlign w:val="superscript"/>
        </w:rPr>
        <w:t xml:space="preserve">[18]</w:t>
      </w:r>
      <w:r>
        <w:rPr>
          <w:rFonts w:hint="eastAsia"/>
        </w:rPr>
        <w:t xml:space="preserve">发现患者对治疗属性的价值排序与监管者和临床医生存在系统性差异；Mountford和Cai（2023）</w:t>
      </w:r>
      <w:r>
        <w:rPr>
          <w:rFonts w:hint="eastAsia"/>
          <w:vertAlign w:val="superscript"/>
        </w:rPr>
        <w:t xml:space="preserve">[19]</w:t>
      </w:r>
      <w:r>
        <w:rPr>
          <w:rFonts w:hint="eastAsia"/>
        </w:rPr>
        <w:t xml:space="preserve">探讨了医疗领域管理效率逻辑与医学专业主义逻辑之间的张力。</w:t>
      </w:r>
    </w:p>
    <w:p>
      <w:pPr>
        <w:pStyle w:val="3"/>
      </w:pPr>
      <w:r>
        <w:rPr>
          <w:rFonts w:hint="eastAsia"/>
        </w:rPr>
        <w:t xml:space="preserve">国内研究多为定性描述。李梦颖等（2024）</w:t>
      </w:r>
      <w:r>
        <w:rPr>
          <w:rFonts w:hint="eastAsia"/>
          <w:vertAlign w:val="superscript"/>
        </w:rPr>
        <w:t xml:space="preserve">[20]</w:t>
      </w:r>
      <w:r>
        <w:rPr>
          <w:rFonts w:hint="eastAsia"/>
        </w:rPr>
        <w:t xml:space="preserve">将制度逻辑理论引入医保谈判药品的落地分析，识别出国家逻辑、市场逻辑、社会逻辑和专业逻辑之间的冲突，但关注的是医疗机构落地环节，而非三部门评价标准的比较。总体而言，尚未见针对药监局、医保局、卫健委三部门评价标准的系统比较研究；主流分析工具仍是Freeman（1984）</w:t>
      </w:r>
      <w:r>
        <w:rPr>
          <w:rFonts w:hint="eastAsia"/>
          <w:vertAlign w:val="superscript"/>
        </w:rPr>
        <w:t xml:space="preserve">[21]</w:t>
      </w:r>
      <w:r>
        <w:rPr>
          <w:rFonts w:hint="eastAsia"/>
        </w:rPr>
        <w:t xml:space="preserve">的利益相关者理论，它能说明不同主体有不同利益，但难以解释部门之间结构性的评价差异。</w:t>
      </w:r>
    </w:p>
    <w:p>
      <w:pPr>
        <w:pStyle w:val="4"/>
      </w:pPr>
      <w:r>
        <w:rPr>
          <w:rFonts w:hint="eastAsia"/>
        </w:rPr>
        <w:t xml:space="preserve">2.3 既有研究不足与本文定位</w:t>
      </w:r>
    </w:p>
    <w:p>
      <w:pPr>
        <w:pStyle w:val="28"/>
      </w:pPr>
      <w:r>
        <w:rPr>
          <w:rFonts w:hint="eastAsia"/>
        </w:rPr>
        <w:t xml:space="preserve">现有研究有三方面不足。理论上，多数研究沿用利益相关者视角，制度逻辑理论与注意力基础观在该领域应用较少；方法上，缺乏从政策文本中系统测量部门评价关注点的研究；情境上，国际实证集中于欧美HTA体系，针对中国三部门体制的研究不足，而《“十五五”规划纲要》明确要求“三医协同”，使这一缺口更为紧迫。本文针对这三方面展开。</w:t>
      </w:r>
    </w:p>
    <w:p>
      <w:pPr>
        <w:pStyle w:val="2"/>
      </w:pPr>
      <w:r>
        <w:rPr>
          <w:rFonts w:hint="eastAsia"/>
        </w:rPr>
        <w:t xml:space="preserve">3 理论基础与分析框架</w:t>
      </w:r>
    </w:p>
    <w:p>
      <w:pPr>
        <w:pStyle w:val="4"/>
      </w:pPr>
      <w:r>
        <w:rPr>
          <w:rFonts w:hint="eastAsia"/>
        </w:rPr>
        <w:t xml:space="preserve">3.1 核心概念与理论逻辑</w:t>
      </w:r>
    </w:p>
    <w:p>
      <w:pPr>
        <w:pStyle w:val="28"/>
      </w:pPr>
      <w:r>
        <w:rPr>
          <w:rFonts w:hint="eastAsia"/>
        </w:rPr>
        <w:t xml:space="preserve">曾润喜和莫敏丽（2023）</w:t>
      </w:r>
      <w:r>
        <w:rPr>
          <w:rFonts w:hint="eastAsia"/>
          <w:vertAlign w:val="superscript"/>
        </w:rPr>
        <w:t xml:space="preserve">[22]</w:t>
      </w:r>
      <w:r>
        <w:rPr>
          <w:rFonts w:hint="eastAsia"/>
        </w:rPr>
        <w:t xml:space="preserve">将政府注意力界定为政府治理资源对某一议题或某一类事务的集中关注和指向，并将政策文本列为测量政府注意力的三条路径之一。注意力配置（又称注意力分配）描述注意力在不同议题之间的分布：文宏（2014）</w:t>
      </w:r>
      <w:r>
        <w:rPr>
          <w:rFonts w:hint="eastAsia"/>
          <w:vertAlign w:val="superscript"/>
        </w:rPr>
        <w:t xml:space="preserve">[23]</w:t>
      </w:r>
      <w:r>
        <w:rPr>
          <w:rFonts w:hint="eastAsia"/>
        </w:rPr>
        <w:t xml:space="preserve">以关键词在中央政府工作报告中出现的频率测量政府对基本公共服务的注意力；练宏（2015）</w:t>
      </w:r>
      <w:r>
        <w:rPr>
          <w:rFonts w:hint="eastAsia"/>
          <w:vertAlign w:val="superscript"/>
        </w:rPr>
        <w:t xml:space="preserve">[24]</w:t>
      </w:r>
      <w:r>
        <w:rPr>
          <w:rFonts w:hint="eastAsia"/>
        </w:rPr>
        <w:t xml:space="preserve">指出，注意力配置并不是个人技巧或计划安排意义上的技术问题，而是组织环境、制度环境和社会环境的产物。在此基础上，本文将注意力配置差异界定为不同部门在同一组评价维度之间配置注意力的结构性差别，以各评价维度注意力占比的部门间差异加以刻画。</w:t>
      </w:r>
    </w:p>
    <w:p>
      <w:pPr>
        <w:pStyle w:val="3"/>
      </w:pPr>
      <w:r>
        <w:rPr>
          <w:rFonts w:hint="eastAsia"/>
        </w:rPr>
        <w:t xml:space="preserve">在宏观层面，Thornton和Ocasio（2008）</w:t>
      </w:r>
      <w:r>
        <w:rPr>
          <w:rFonts w:hint="eastAsia"/>
          <w:vertAlign w:val="superscript"/>
        </w:rPr>
        <w:t xml:space="preserve">[25]</w:t>
      </w:r>
      <w:r>
        <w:rPr>
          <w:rFonts w:hint="eastAsia"/>
        </w:rPr>
        <w:t xml:space="preserve">的制度逻辑理论认为，不同制度场域中的行动者依据场域的核心原则发展出特定的认知模式与实践逻辑，这些逻辑界定了行动者的合法性标准和行为取向；Greenwood等（2011）</w:t>
      </w:r>
      <w:r>
        <w:rPr>
          <w:rFonts w:hint="eastAsia"/>
          <w:vertAlign w:val="superscript"/>
        </w:rPr>
        <w:t xml:space="preserve">[26]</w:t>
      </w:r>
      <w:r>
        <w:rPr>
          <w:rFonts w:hint="eastAsia"/>
        </w:rPr>
        <w:t xml:space="preserve">进一步指出，组织同时面对多重制度逻辑要求时会产生制度复杂性。药监局、医保局、卫健委分别嵌入不同的制度逻辑，三种逻辑各有侧重，面对同一药品时可能得出不同判断，“三医协同”因而构成一个制度复杂性管理问题。</w:t>
      </w:r>
    </w:p>
    <w:p>
      <w:pPr>
        <w:pStyle w:val="3"/>
      </w:pPr>
      <w:r>
        <w:rPr>
          <w:rFonts w:hint="eastAsia"/>
        </w:rPr>
        <w:t xml:space="preserve">在中观层面，Ocasio（1997）</w:t>
      </w:r>
      <w:r>
        <w:rPr>
          <w:rFonts w:hint="eastAsia"/>
          <w:vertAlign w:val="superscript"/>
        </w:rPr>
        <w:t xml:space="preserve">[27]</w:t>
      </w:r>
      <w:r>
        <w:rPr>
          <w:rFonts w:hint="eastAsia"/>
        </w:rPr>
        <w:t xml:space="preserve">的注意力基础观认为，组织行为取决于决策者将注意力聚焦于哪些议题和答案，而注意力的配置受组织所处制度环境和规则结构的系统性约束。陶鹏和初春（2020）</w:t>
      </w:r>
      <w:r>
        <w:rPr>
          <w:rFonts w:hint="eastAsia"/>
          <w:vertAlign w:val="superscript"/>
        </w:rPr>
        <w:t xml:space="preserve">[28]</w:t>
      </w:r>
      <w:r>
        <w:rPr>
          <w:rFonts w:hint="eastAsia"/>
        </w:rPr>
        <w:t xml:space="preserve">对府际领导批示的分析发现，核心议题对其他议题存在挤出效应，表明注意力基础观适用于中国政府组织。按照这一理论，不同制度逻辑会使三部门在审视同一药物时关注不同信息：药监局关注不良反应信号、临床试验数据与分子新颖性，医保局关注增量成本效果、预算影响与替代疗法，卫健委关注疾病负担、地区差异与基层配备。</w:t>
      </w:r>
    </w:p>
    <w:p>
      <w:pPr>
        <w:pStyle w:val="3"/>
      </w:pPr>
      <w:r>
        <w:rPr>
          <w:rFonts w:hint="eastAsia"/>
        </w:rPr>
        <w:t xml:space="preserve">将两个层次联系起来，李梦颖等（2024）</w:t>
      </w:r>
      <w:r>
        <w:rPr>
          <w:rFonts w:hint="eastAsia"/>
          <w:vertAlign w:val="superscript"/>
        </w:rPr>
        <w:t xml:space="preserve">[20]</w:t>
      </w:r>
      <w:r>
        <w:rPr>
          <w:rFonts w:hint="eastAsia"/>
        </w:rPr>
        <w:t xml:space="preserve">指出，制度逻辑决定着个人或组织注意力配置的基本原则，能帮助决策者把注意力集中在特定的问题和解决方案上。据此，本文的理论链条为：部门嵌入的制度逻辑决定其在评价维度之间的注意力配置，注意力配置体现为部门政策文本对各评价维度的关注程度，因而可以用政策文本中各评价维度的注意力占比测量三部门的注意力配置差异。</w:t>
      </w:r>
    </w:p>
    <w:p>
      <w:pPr>
        <w:pStyle w:val="3"/>
      </w:pPr>
      <w:r>
        <w:rPr>
          <w:rFonts w:hint="eastAsia"/>
        </w:rPr>
        <w:t xml:space="preserve">以政策文本测量部门注意力配置有三方面依据。①正式文件与组织决策联系紧密，文本中关键词的词频统计可以作为组织及决策者关注重点的指示器（文宏 2014</w:t>
      </w:r>
      <w:r>
        <w:rPr>
          <w:rFonts w:hint="eastAsia"/>
          <w:vertAlign w:val="superscript"/>
        </w:rPr>
        <w:t xml:space="preserve">[23]</w:t>
      </w:r>
      <w:r>
        <w:rPr>
          <w:rFonts w:hint="eastAsia"/>
        </w:rPr>
        <w:t xml:space="preserve">）。②组织注意力是稀缺资源（Cyert和March 1963</w:t>
      </w:r>
      <w:r>
        <w:rPr>
          <w:rFonts w:hint="eastAsia"/>
          <w:vertAlign w:val="superscript"/>
        </w:rPr>
        <w:t xml:space="preserve">[29]</w:t>
      </w:r>
      <w:r>
        <w:rPr>
          <w:rFonts w:hint="eastAsia"/>
        </w:rPr>
        <w:t xml:space="preserve">），政策文本篇幅有限，何种议题被反复展开、何种议题仅简略提及，体现了部门在议题之间的取舍。③基于公开文本和公开词典的编码可由第三方复现，其结果能够与部门法定职能和专家访谈相互对照，而自动文本分析的结果须经验证方可采信（Grimmer和Stewart 2013</w:t>
      </w:r>
      <w:r>
        <w:rPr>
          <w:rFonts w:hint="eastAsia"/>
          <w:vertAlign w:val="superscript"/>
        </w:rPr>
        <w:t xml:space="preserve">[30]</w:t>
      </w:r>
      <w:r>
        <w:rPr>
          <w:rFonts w:hint="eastAsia"/>
        </w:rPr>
        <w:t xml:space="preserve">）。政策文本反映的是制度层面的正式表达，与部门内个体决策者的关注仍有距离，这构成本文结论的适用边界。</w:t>
      </w:r>
    </w:p>
    <w:p>
      <w:pPr>
        <w:pStyle w:val="4"/>
      </w:pPr>
      <w:r>
        <w:rPr>
          <w:rFonts w:hint="eastAsia"/>
        </w:rPr>
        <w:t xml:space="preserve">3.2 三种制度逻辑的操作化</w:t>
      </w:r>
    </w:p>
    <w:p>
      <w:pPr>
        <w:pStyle w:val="28"/>
      </w:pPr>
      <w:r>
        <w:rPr>
          <w:rFonts w:hint="eastAsia"/>
        </w:rPr>
        <w:t xml:space="preserve">借鉴李梦颖等（2024）</w:t>
      </w:r>
      <w:r>
        <w:rPr>
          <w:rFonts w:hint="eastAsia"/>
          <w:vertAlign w:val="superscript"/>
        </w:rPr>
        <w:t xml:space="preserve">[20]</w:t>
      </w:r>
      <w:r>
        <w:rPr>
          <w:rFonts w:hint="eastAsia"/>
        </w:rPr>
        <w:t xml:space="preserve">以多重制度逻辑分析医药政策主体行为的做法，本文依据三部门核心规章与规范性文件确立的目标概括其制度逻辑（表1、图1）。《药品注册管理办法》</w:t>
      </w:r>
      <w:r>
        <w:rPr>
          <w:rFonts w:hint="eastAsia"/>
          <w:vertAlign w:val="superscript"/>
        </w:rPr>
        <w:t xml:space="preserve">[31]</w:t>
      </w:r>
      <w:r>
        <w:rPr>
          <w:rFonts w:hint="eastAsia"/>
        </w:rPr>
        <w:t xml:space="preserve">以“保证药品的安全、有效和质量可控”为制定目的，并规定药品注册管理“以临床价值为导向”，本文概括为科学—安全逻辑；《基本医疗保险用药管理暂行办法》</w:t>
      </w:r>
      <w:r>
        <w:rPr>
          <w:rFonts w:hint="eastAsia"/>
          <w:vertAlign w:val="superscript"/>
        </w:rPr>
        <w:t xml:space="preserve">[32]</w:t>
      </w:r>
      <w:r>
        <w:rPr>
          <w:rFonts w:hint="eastAsia"/>
        </w:rPr>
        <w:t xml:space="preserve">（以下简称《暂行办法》）以“提高基本医疗保险基金使用效益”为目的之一，并将“临床必需、安全有效、价格合理”列为药品纳入目录的基本条件，本文概括为经济—效率逻辑；《药品临床综合评价管理指南（2021年版 试行）》</w:t>
      </w:r>
      <w:r>
        <w:rPr>
          <w:rFonts w:hint="eastAsia"/>
          <w:vertAlign w:val="superscript"/>
        </w:rPr>
        <w:t xml:space="preserve">[33]</w:t>
      </w:r>
      <w:r>
        <w:rPr>
          <w:rFonts w:hint="eastAsia"/>
        </w:rPr>
        <w:t xml:space="preserve">（以下简称《管理指南》）以保障临床基本用药的供应与规范使用、更高质量满足人民群众用药需求为目标，本文概括为公共服务逻辑。</w:t>
      </w:r>
    </w:p>
    <w:p>
      <w:pPr>
        <w:pStyle w:val="60"/>
      </w:pPr>
      <w:r>
        <w:rPr>
          <w:rFonts w:hint="eastAsia"/>
        </w:rPr>
        <w:t xml:space="preserve">表1 创新药评价中的三种制度逻辑</w:t>
      </w:r>
    </w:p>
    <w:p>
      <w:pPr>
        <w:pStyle w:val="60"/>
      </w:pPr>
      <w:r>
        <w:rPr>
          <w:rFonts w:hint="eastAsia"/>
        </w:rPr>
        <w:t xml:space="preserve">Table 1 Three Institutional Logics in Innovative Drug Evaluation</w:t>
      </w:r>
    </w:p>
    <w:tbl>
      <w:tblPr>
        <w:tblStyle w:val="46"/>
        <w:tblW w:w="5000" w:type="pct"/>
        <w:tblInd w:w="0" w:type="dxa"/>
        <w:tblBorders>
          <w:top w:val="single" w:color="000000" w:sz="8" w:space="0"/>
          <w:left w:val="single" w:color="000000" w:sz="4" w:space="0"/>
          <w:bottom w:val="single" w:color="000000" w:sz="8" w:space="0"/>
          <w:right w:val="single" w:color="000000" w:sz="4" w:space="0"/>
          <w:insideH w:val="single" w:color="000000" w:sz="4" w:space="0"/>
          <w:insideV w:val="single" w:color="000000" w:sz="4" w:space="0"/>
        </w:tblBorders>
        <w:tblLayout w:type="fixed"/>
        <w:tblCellMar>
          <w:top w:w="30" w:type="dxa"/>
          <w:left w:w="60" w:type="dxa"/>
          <w:bottom w:w="30" w:type="dxa"/>
          <w:right w:w="60" w:type="dxa"/>
        </w:tblCellMar>
      </w:tblPr>
      <w:tblGrid>
        <w:gridCol w:w="1752"/>
        <w:gridCol w:w="1752"/>
        <w:gridCol w:w="1752"/>
        <w:gridCol w:w="1752"/>
        <w:gridCol w:w="1752"/>
      </w:tblGrid>
      <w:tr>
        <w:trPr>
          <w:tblHeader/>
        </w:trPr>
        <w:tc>
          <w:tcPr>
            <w:tcW w:w="1752" w:type="dxa"/>
          </w:tcPr>
          <w:p>
            <w:pPr>
              <w:pStyle w:val="29"/>
            </w:pPr>
            <w:r>
              <w:rPr>
                <w:rFonts w:hint="eastAsia"/>
              </w:rPr>
              <w:t xml:space="preserve">制度逻辑</w:t>
            </w:r>
          </w:p>
        </w:tc>
        <w:tc>
          <w:tcPr>
            <w:tcW w:w="1752" w:type="dxa"/>
          </w:tcPr>
          <w:p>
            <w:pPr>
              <w:pStyle w:val="29"/>
            </w:pPr>
            <w:r>
              <w:rPr>
                <w:rFonts w:hint="eastAsia"/>
              </w:rPr>
              <w:t xml:space="preserve">主导部门</w:t>
            </w:r>
          </w:p>
        </w:tc>
        <w:tc>
          <w:tcPr>
            <w:tcW w:w="1752" w:type="dxa"/>
          </w:tcPr>
          <w:p>
            <w:pPr>
              <w:pStyle w:val="29"/>
            </w:pPr>
            <w:r>
              <w:rPr>
                <w:rFonts w:hint="eastAsia"/>
              </w:rPr>
              <w:t xml:space="preserve">核心目标</w:t>
            </w:r>
          </w:p>
        </w:tc>
        <w:tc>
          <w:tcPr>
            <w:tcW w:w="1752" w:type="dxa"/>
          </w:tcPr>
          <w:p>
            <w:pPr>
              <w:pStyle w:val="29"/>
            </w:pPr>
            <w:r>
              <w:rPr>
                <w:rFonts w:hint="eastAsia"/>
              </w:rPr>
              <w:t xml:space="preserve">评价侧重</w:t>
            </w:r>
          </w:p>
        </w:tc>
        <w:tc>
          <w:tcPr>
            <w:tcW w:w="1752" w:type="dxa"/>
          </w:tcPr>
          <w:p>
            <w:pPr>
              <w:pStyle w:val="29"/>
            </w:pPr>
            <w:r>
              <w:rPr>
                <w:rFonts w:hint="eastAsia"/>
              </w:rPr>
              <w:t xml:space="preserve">注意力焦点</w:t>
            </w:r>
          </w:p>
        </w:tc>
      </w:tr>
      <w:tr>
        <w:tc>
          <w:tcPr>
            <w:tcW w:w="1752" w:type="dxa"/>
          </w:tcPr>
          <w:p>
            <w:pPr>
              <w:pStyle w:val="29"/>
            </w:pPr>
            <w:r>
              <w:rPr>
                <w:rFonts w:hint="eastAsia"/>
              </w:rPr>
              <w:t xml:space="preserve">科学—安全逻辑</w:t>
            </w:r>
          </w:p>
        </w:tc>
        <w:tc>
          <w:tcPr>
            <w:tcW w:w="1752" w:type="dxa"/>
          </w:tcPr>
          <w:p>
            <w:pPr>
              <w:pStyle w:val="29"/>
            </w:pPr>
            <w:r>
              <w:rPr>
                <w:rFonts w:hint="eastAsia"/>
              </w:rPr>
              <w:t xml:space="preserve">药监局</w:t>
            </w:r>
          </w:p>
        </w:tc>
        <w:tc>
          <w:tcPr>
            <w:tcW w:w="1752" w:type="dxa"/>
          </w:tcPr>
          <w:p>
            <w:pPr>
              <w:pStyle w:val="29"/>
            </w:pPr>
            <w:r>
              <w:rPr>
                <w:rFonts w:hint="eastAsia"/>
              </w:rPr>
              <w:t xml:space="preserve">保证药品安全、有效和质量可控</w:t>
            </w:r>
          </w:p>
        </w:tc>
        <w:tc>
          <w:tcPr>
            <w:tcW w:w="1752" w:type="dxa"/>
          </w:tcPr>
          <w:p>
            <w:pPr>
              <w:pStyle w:val="29"/>
            </w:pPr>
            <w:r>
              <w:rPr>
                <w:rFonts w:hint="eastAsia"/>
              </w:rPr>
              <w:t xml:space="preserve">安全性、有效性、创新性</w:t>
            </w:r>
          </w:p>
        </w:tc>
        <w:tc>
          <w:tcPr>
            <w:tcW w:w="1752" w:type="dxa"/>
          </w:tcPr>
          <w:p>
            <w:pPr>
              <w:pStyle w:val="29"/>
            </w:pPr>
            <w:r>
              <w:rPr>
                <w:rFonts w:hint="eastAsia"/>
              </w:rPr>
              <w:t xml:space="preserve">不良反应信号、临床试验数据、分子新颖性</w:t>
            </w:r>
          </w:p>
        </w:tc>
      </w:tr>
      <w:tr>
        <w:tc>
          <w:tcPr>
            <w:tcW w:w="1752" w:type="dxa"/>
          </w:tcPr>
          <w:p>
            <w:pPr>
              <w:pStyle w:val="29"/>
            </w:pPr>
            <w:r>
              <w:rPr>
                <w:rFonts w:hint="eastAsia"/>
              </w:rPr>
              <w:t xml:space="preserve">经济—效率逻辑</w:t>
            </w:r>
          </w:p>
        </w:tc>
        <w:tc>
          <w:tcPr>
            <w:tcW w:w="1752" w:type="dxa"/>
          </w:tcPr>
          <w:p>
            <w:pPr>
              <w:pStyle w:val="29"/>
            </w:pPr>
            <w:r>
              <w:rPr>
                <w:rFonts w:hint="eastAsia"/>
              </w:rPr>
              <w:t xml:space="preserve">医保局</w:t>
            </w:r>
          </w:p>
        </w:tc>
        <w:tc>
          <w:tcPr>
            <w:tcW w:w="1752" w:type="dxa"/>
          </w:tcPr>
          <w:p>
            <w:pPr>
              <w:pStyle w:val="29"/>
            </w:pPr>
            <w:r>
              <w:rPr>
                <w:rFonts w:hint="eastAsia"/>
              </w:rPr>
              <w:t xml:space="preserve">提高医保基金使用效益，价格合理</w:t>
            </w:r>
          </w:p>
        </w:tc>
        <w:tc>
          <w:tcPr>
            <w:tcW w:w="1752" w:type="dxa"/>
          </w:tcPr>
          <w:p>
            <w:pPr>
              <w:pStyle w:val="29"/>
            </w:pPr>
            <w:r>
              <w:rPr>
                <w:rFonts w:hint="eastAsia"/>
              </w:rPr>
              <w:t xml:space="preserve">经济性</w:t>
            </w:r>
          </w:p>
        </w:tc>
        <w:tc>
          <w:tcPr>
            <w:tcW w:w="1752" w:type="dxa"/>
          </w:tcPr>
          <w:p>
            <w:pPr>
              <w:pStyle w:val="29"/>
            </w:pPr>
            <w:r>
              <w:rPr>
                <w:rFonts w:hint="eastAsia"/>
              </w:rPr>
              <w:t xml:space="preserve">增量成本效果比、预算影响、替代疗法</w:t>
            </w:r>
          </w:p>
        </w:tc>
      </w:tr>
      <w:tr>
        <w:tc>
          <w:tcPr>
            <w:tcW w:w="1752" w:type="dxa"/>
          </w:tcPr>
          <w:p>
            <w:pPr>
              <w:pStyle w:val="29"/>
            </w:pPr>
            <w:r>
              <w:rPr>
                <w:rFonts w:hint="eastAsia"/>
              </w:rPr>
              <w:t xml:space="preserve">公共服务逻辑</w:t>
            </w:r>
          </w:p>
        </w:tc>
        <w:tc>
          <w:tcPr>
            <w:tcW w:w="1752" w:type="dxa"/>
          </w:tcPr>
          <w:p>
            <w:pPr>
              <w:pStyle w:val="29"/>
            </w:pPr>
            <w:r>
              <w:rPr>
                <w:rFonts w:hint="eastAsia"/>
              </w:rPr>
              <w:t xml:space="preserve">卫健委</w:t>
            </w:r>
          </w:p>
        </w:tc>
        <w:tc>
          <w:tcPr>
            <w:tcW w:w="1752" w:type="dxa"/>
          </w:tcPr>
          <w:p>
            <w:pPr>
              <w:pStyle w:val="29"/>
            </w:pPr>
            <w:r>
              <w:rPr>
                <w:rFonts w:hint="eastAsia"/>
              </w:rPr>
              <w:t xml:space="preserve">保障临床基本用药供应与规范使用</w:t>
            </w:r>
          </w:p>
        </w:tc>
        <w:tc>
          <w:tcPr>
            <w:tcW w:w="1752" w:type="dxa"/>
          </w:tcPr>
          <w:p>
            <w:pPr>
              <w:pStyle w:val="29"/>
            </w:pPr>
            <w:r>
              <w:rPr>
                <w:rFonts w:hint="eastAsia"/>
              </w:rPr>
              <w:t xml:space="preserve">用药安全与合理使用、基本用药可及</w:t>
            </w:r>
          </w:p>
        </w:tc>
        <w:tc>
          <w:tcPr>
            <w:tcW w:w="1752" w:type="dxa"/>
          </w:tcPr>
          <w:p>
            <w:pPr>
              <w:pStyle w:val="29"/>
            </w:pPr>
            <w:r>
              <w:rPr>
                <w:rFonts w:hint="eastAsia"/>
              </w:rPr>
              <w:t xml:space="preserve">疾病负担、地区差异、基层配备</w:t>
            </w:r>
          </w:p>
        </w:tc>
      </w:tr>
    </w:tbl>
    <w:p>
      <w:pPr>
        <w:pStyle w:val="62"/>
      </w:pPr>
      <w:r>
        <w:rPr>
          <w:rFonts w:hint="eastAsia"/>
        </w:rPr>
        <w:t xml:space="preserve">资料来源：作者整理。</w:t>
      </w:r>
    </w:p>
    <w:p w14:paraId="677C771F">
      <w:pPr>
        <w:pStyle w:val="61"/>
      </w:pPr>
      <w:r>
        <w:drawing>
          <wp:inline distT="0" distB="0" distL="114300" distR="114300">
            <wp:extent cx="5334000" cy="3451225"/>
            <wp:effectExtent l="0" t="0" r="0" b="0"/>
            <wp:docPr id="17" name="Picture"/>
            <wp:cNvGraphicFramePr>
              <a:graphicFrameLocks noChangeAspect="1"/>
            </wp:cNvGraphicFramePr>
            <a:graphic>
              <a:graphicData uri="http://schemas.openxmlformats.org/drawingml/2006/picture">
                <pic:pic>
                  <pic:nvPicPr>
                    <pic:cNvPr id="17" name="Picture"/>
                    <pic:cNvPicPr>
                      <a:picLocks noChangeAspect="1" noChangeArrowheads="1"/>
                    </pic:cNvPicPr>
                  </pic:nvPicPr>
                  <pic:blipFill>
                    <a:blip r:embed="rId8"/>
                    <a:stretch>
                      <a:fillRect/>
                    </a:stretch>
                  </pic:blipFill>
                  <pic:spPr>
                    <a:xfrm>
                      <a:off x="0" y="0"/>
                      <a:ext cx="5334000" cy="3451411"/>
                    </a:xfrm>
                    <a:prstGeom prst="rect">
                      <a:avLst/>
                    </a:prstGeom>
                    <a:noFill/>
                    <a:ln w="9525">
                      <a:noFill/>
                    </a:ln>
                  </pic:spPr>
                </pic:pic>
              </a:graphicData>
            </a:graphic>
          </wp:inline>
        </w:drawing>
      </w:r>
    </w:p>
    <w:p>
      <w:pPr>
        <w:pStyle w:val="60"/>
      </w:pPr>
      <w:r>
        <w:rPr>
          <w:rFonts w:hint="eastAsia"/>
        </w:rPr>
        <w:t xml:space="preserve">图1 “制度逻辑—组织注意力”分析框架</w:t>
      </w:r>
    </w:p>
    <w:p>
      <w:pPr>
        <w:pStyle w:val="60"/>
      </w:pPr>
      <w:r>
        <w:rPr>
          <w:rFonts w:hint="eastAsia"/>
        </w:rPr>
        <w:t xml:space="preserve">Figure 1 The “Institutional Logics–Organizational Attention” Framework</w:t>
      </w:r>
    </w:p>
    <w:p>
      <w:pPr>
        <w:pStyle w:val="62"/>
      </w:pPr>
      <w:r>
        <w:rPr>
          <w:rFonts w:hint="eastAsia"/>
        </w:rPr>
        <w:t xml:space="preserve">资料来源：作者绘制。</w:t>
      </w:r>
    </w:p>
    <w:p>
      <w:pPr>
        <w:pStyle w:val="3"/>
      </w:pPr>
      <w:r>
        <w:rPr>
          <w:rFonts w:hint="eastAsia"/>
        </w:rPr>
        <w:t xml:space="preserve">按照这一框架，三部门在五个评价维度上的注意力配置差异应主要源于各自嵌入的制度逻辑，而非临时性的利益冲突。本文以政策文本编码测量这一差异，以专家访谈印证编码结果，并考察三部门在具体评价标准上的差异。</w:t>
      </w:r>
    </w:p>
    <w:p>
      <w:pPr>
        <w:pStyle w:val="2"/>
      </w:pPr>
      <w:r>
        <w:rPr>
          <w:rFonts w:hint="eastAsia"/>
        </w:rPr>
        <w:t xml:space="preserve">4 研究设计</w:t>
      </w:r>
    </w:p>
    <w:p>
      <w:pPr>
        <w:pStyle w:val="4"/>
      </w:pPr>
      <w:r>
        <w:rPr>
          <w:rFonts w:hint="eastAsia"/>
        </w:rPr>
        <w:t xml:space="preserve">4.1 政策文本与编码方案</w:t>
      </w:r>
    </w:p>
    <w:p>
      <w:pPr>
        <w:pStyle w:val="28"/>
      </w:pPr>
      <w:r>
        <w:rPr>
          <w:rFonts w:hint="eastAsia"/>
        </w:rPr>
        <w:t xml:space="preserve">本文以2017-2026年药监局（含其药品审评中心，以下简称药审中心）、医保局、卫健委发布的涉及创新药评价的规范性文件为研究对象。2017年，人力资源社会保障部组织专家对部分药品进行谈判并确定医保支付标准，将36种药品纳入国家基本医疗保险药品目录乙类范围</w:t>
      </w:r>
      <w:r>
        <w:rPr>
          <w:rFonts w:hint="eastAsia"/>
          <w:vertAlign w:val="superscript"/>
        </w:rPr>
        <w:t xml:space="preserve">[34]</w:t>
      </w:r>
      <w:r>
        <w:rPr>
          <w:rFonts w:hint="eastAsia"/>
        </w:rPr>
        <w:t xml:space="preserve">，医保准入由此开始以谈判方式确定药品的医保支付标准，本文因此以2017年为起点。</w:t>
      </w:r>
    </w:p>
    <w:p>
      <w:pPr>
        <w:pStyle w:val="3"/>
      </w:pPr>
      <w:r>
        <w:rPr>
          <w:rFonts w:hint="eastAsia"/>
        </w:rPr>
        <w:t xml:space="preserve">参考吕倩鹏等（2024）</w:t>
      </w:r>
      <w:r>
        <w:rPr>
          <w:rFonts w:hint="eastAsia"/>
          <w:vertAlign w:val="superscript"/>
        </w:rPr>
        <w:t xml:space="preserve">[9]</w:t>
      </w:r>
      <w:r>
        <w:rPr>
          <w:rFonts w:hint="eastAsia"/>
        </w:rPr>
        <w:t xml:space="preserve">的政策文本筛选做法，本文以北大法宝和各部门官方网站为来源收集文本（截至2026年7月），纳入国家部门发布的规范性文件，剔除不含评价标准实质内容的文件和内容重复的文件。据此排除纯药品清单（医保药品目录本身）、逐年更新的新型抗肿瘤药物临床应用指导原则、年度药品审评报告、按病组（DRG）和病种分值（DIP）付费技术规范，以及已有正式版的征求意见稿。国务院层面仅纳入医药卫生体制改革与医疗保障制度改革两份综合性文件作为跨部门参照。最终纳入政策文本55份，其中药监局系统（含药审中心）19份、医保局系统24份、卫健委系统10份、国务院2份（文件清单与排除规则见附录B）。药监局系统以《药品注册管理办法》等基础性法规和药审中心技术规范为主，医保局系统以《暂行办法》、历年目录调整工作方案与申报指南、续约和竞价规则为主，卫健委系统以药品临床综合评价、合理用药与医疗质量管理文件为主。</w:t>
      </w:r>
    </w:p>
    <w:p>
      <w:pPr>
        <w:pStyle w:val="3"/>
      </w:pPr>
      <w:r>
        <w:rPr>
          <w:rFonts w:hint="eastAsia"/>
        </w:rPr>
        <w:t xml:space="preserve">编码框架以医保局目录调整的评价维度为依据。2017年药品目录调整引入谈判准入后，医保局在评审环节形成安全性、有效性、经济性、创新性、公平性五项维度，《目录调整申报指南》</w:t>
      </w:r>
      <w:r>
        <w:rPr>
          <w:rFonts w:hint="eastAsia"/>
          <w:vertAlign w:val="superscript"/>
        </w:rPr>
        <w:t xml:space="preserve">[35]</w:t>
      </w:r>
      <w:r>
        <w:rPr>
          <w:rFonts w:hint="eastAsia"/>
        </w:rPr>
        <w:t xml:space="preserve">规定申报材料与摘要幻灯片按此五项组织，并逐项界定各维度应提供的内容，2023年至2026年各版一致；《常用问答（2026年版）》</w:t>
      </w:r>
      <w:r>
        <w:rPr>
          <w:rFonts w:hint="eastAsia"/>
          <w:vertAlign w:val="superscript"/>
        </w:rPr>
        <w:t xml:space="preserve">[36]</w:t>
      </w:r>
      <w:r>
        <w:rPr>
          <w:rFonts w:hint="eastAsia"/>
        </w:rPr>
        <w:t xml:space="preserve">亦载明从有效性、安全性、创新性、公平性等多个维度综合研判药品价值。本文以这五个维度作为编码框架，各维度含义依申报指南界定：安全性指药品说明书收载的安全性信息、国内外不良反应发生情况以及与同类药品在安全性方面的优势和不足；有效性指临床试验和真实世界中与对照药品的疗效比较、临床指南与诊疗规范推荐情况以及技术评审报告中关于有效性的结论；经济性指药品销售金额、价格费用情况以及对医保基金的影响；创新性指主要创新点、该创新带来的疗效或安全性方面的优势、是否为自主知识产权的创新药以及药品注册分类；公平性指能否弥补药品目录短板、临床管理难度以及目录外药品的价格费用。</w:t>
      </w:r>
    </w:p>
    <w:p>
      <w:pPr>
        <w:pStyle w:val="3"/>
      </w:pPr>
      <w:r>
        <w:rPr>
          <w:rFonts w:hint="eastAsia"/>
        </w:rPr>
        <w:t xml:space="preserve">以医保评审维度作为比较三部门的共同标尺，是因为它是现行政策中逐年更新、对创新药作综合价值评价并逐项公布维度内容的维度体系。由此带来的限制是，该体系产生于支付方视角，对卫健委的用药管理内容与药监局的药品适宜性内容覆盖有限，本文结果的解释范围以此为限。</w:t>
      </w:r>
    </w:p>
    <w:p>
      <w:pPr>
        <w:pStyle w:val="3"/>
      </w:pPr>
      <w:r>
        <w:rPr>
          <w:rFonts w:hint="eastAsia"/>
        </w:rPr>
        <w:t xml:space="preserve">本文以关键词词典进行编码（以下简称词典编码）。Sevenans等（2014）</w:t>
      </w:r>
      <w:r>
        <w:rPr>
          <w:rFonts w:hint="eastAsia"/>
          <w:vertAlign w:val="superscript"/>
        </w:rPr>
        <w:t xml:space="preserve">[37]</w:t>
      </w:r>
      <w:r>
        <w:rPr>
          <w:rFonts w:hint="eastAsia"/>
        </w:rPr>
        <w:t xml:space="preserve">已将这一方法用于政策议程的自动编码，曾润喜和莫敏丽（2023）</w:t>
      </w:r>
      <w:r>
        <w:rPr>
          <w:rFonts w:hint="eastAsia"/>
          <w:vertAlign w:val="superscript"/>
        </w:rPr>
        <w:t xml:space="preserve">[22]</w:t>
      </w:r>
      <w:r>
        <w:rPr>
          <w:rFonts w:hint="eastAsia"/>
        </w:rPr>
        <w:t xml:space="preserve">也将政策文本词汇列为测量政府注意力的常用内容。通用词典在特定领域中易产生系统性误分类（Loughran和McDonald 2011</w:t>
      </w:r>
      <w:r>
        <w:rPr>
          <w:rFonts w:hint="eastAsia"/>
          <w:vertAlign w:val="superscript"/>
        </w:rPr>
        <w:t xml:space="preserve">[38]</w:t>
      </w:r>
      <w:r>
        <w:rPr>
          <w:rFonts w:hint="eastAsia"/>
        </w:rPr>
        <w:t xml:space="preserve">），本文因此从领域文本中专门构建词典：先按申报指南对五个维度的内容界定提取判据词，并以《药品注册管理办法》</w:t>
      </w:r>
      <w:r>
        <w:rPr>
          <w:rFonts w:hint="eastAsia"/>
          <w:vertAlign w:val="superscript"/>
        </w:rPr>
        <w:t xml:space="preserve">[31]</w:t>
      </w:r>
      <w:r>
        <w:rPr>
          <w:rFonts w:hint="eastAsia"/>
        </w:rPr>
        <w:t xml:space="preserve">、《暂行办法》</w:t>
      </w:r>
      <w:r>
        <w:rPr>
          <w:rFonts w:hint="eastAsia"/>
          <w:vertAlign w:val="superscript"/>
        </w:rPr>
        <w:t xml:space="preserve">[32]</w:t>
      </w:r>
      <w:r>
        <w:rPr>
          <w:rFonts w:hint="eastAsia"/>
        </w:rPr>
        <w:t xml:space="preserve">的相关条文补充，形成每维度20-24个、共107个判据词；再以词频-逆文档频率（TF-IDF）加权（Grimmer和Stewart 2013</w:t>
      </w:r>
      <w:r>
        <w:rPr>
          <w:rFonts w:hint="eastAsia"/>
          <w:vertAlign w:val="superscript"/>
        </w:rPr>
        <w:t xml:space="preserve">[30]</w:t>
      </w:r>
      <w:r>
        <w:rPr>
          <w:rFonts w:hint="eastAsia"/>
        </w:rPr>
        <w:t xml:space="preserve">）提取各部门文本的特征词，检验判据词的区分度并补充候选词；最后对程序性表述设定共现规则，对非药品语境设定排除规则，如“谈判”“竞价”须与价格、费用、基金等词共现方计入经济性，“临床试验”须与疗效、获益、终点等词共现方计入有效性，“安全感”“数据安全”“创新型国家”等表述不计入相应维度。词典全表与构建过程见附录A。</w:t>
      </w:r>
    </w:p>
    <w:p>
      <w:pPr>
        <w:pStyle w:val="3"/>
      </w:pPr>
      <w:r>
        <w:rPr>
          <w:rFonts w:hint="eastAsia"/>
        </w:rPr>
        <w:t xml:space="preserve">政策文本的注意力测量可以词汇、句段或主题为单元（曾润喜和莫敏丽 2023</w:t>
      </w:r>
      <w:r>
        <w:rPr>
          <w:rFonts w:hint="eastAsia"/>
          <w:vertAlign w:val="superscript"/>
        </w:rPr>
        <w:t xml:space="preserve">[22]</w:t>
      </w:r>
      <w:r>
        <w:rPr>
          <w:rFonts w:hint="eastAsia"/>
        </w:rPr>
        <w:t xml:space="preserve">），自动文本分析的分析单元亦可为句子或段落（Grimmer和Stewart 2013</w:t>
      </w:r>
      <w:r>
        <w:rPr>
          <w:rFonts w:hint="eastAsia"/>
          <w:vertAlign w:val="superscript"/>
        </w:rPr>
        <w:t xml:space="preserve">[30]</w:t>
      </w:r>
      <w:r>
        <w:rPr>
          <w:rFonts w:hint="eastAsia"/>
        </w:rPr>
        <w:t xml:space="preserve">）。本文以句子为编码单元，以句号、分号、问号、感叹号及换行符切分正文，55份文件共得到3387个片段。其中422个（12.5%）为文件标题、条目序号、目录页、来源标注或不足12个字符的碎片，不构成完整的意义单元，予以剔除，实际纳入分析2965个句子。参照文宏（2014）</w:t>
      </w:r>
      <w:r>
        <w:rPr>
          <w:rFonts w:hint="eastAsia"/>
          <w:vertAlign w:val="superscript"/>
        </w:rPr>
        <w:t xml:space="preserve">[23]</w:t>
      </w:r>
      <w:r>
        <w:rPr>
          <w:rFonts w:hint="eastAsia"/>
        </w:rPr>
        <w:t xml:space="preserve">以关键词出现频率测量注意力配置的做法，本文判断每个句子是否命中各评价维度的关键词（同一句子可同时命中多个维度，命中同一维度的多个关键词仅计1次），统计各部门在五个评价维度上的命中句次，并以某维度命中句次占该部门五维度命中句次合计的比重作为注意力占比。2965个句子中命中至少一个评价维度的句子为1032句（34.8%），五维度命中句次合计1219。</w:t>
      </w:r>
    </w:p>
    <w:p>
      <w:pPr>
        <w:pStyle w:val="4"/>
      </w:pPr>
      <w:r>
        <w:rPr>
          <w:rFonts w:hint="eastAsia"/>
        </w:rPr>
        <w:t xml:space="preserve">4.2 编码信度与效度检验</w:t>
      </w:r>
    </w:p>
    <w:p>
      <w:pPr>
        <w:pStyle w:val="28"/>
      </w:pPr>
      <w:r>
        <w:rPr>
          <w:rFonts w:hint="eastAsia"/>
        </w:rPr>
        <w:t xml:space="preserve">自动文本分析的输出可能具有误导性甚至错误，词典应当谨慎使用，或至少配合明确的验证（Grimmer和Stewart 2013</w:t>
      </w:r>
      <w:r>
        <w:rPr>
          <w:rFonts w:hint="eastAsia"/>
          <w:vertAlign w:val="superscript"/>
        </w:rPr>
        <w:t xml:space="preserve">[30]</w:t>
      </w:r>
      <w:r>
        <w:rPr>
          <w:rFonts w:hint="eastAsia"/>
        </w:rPr>
        <w:t xml:space="preserve">）。本文从方法间一致性、人工基准、内容效度与构念效度、稳健性四个方面检验编码结果。</w:t>
      </w:r>
    </w:p>
    <w:p>
      <w:pPr>
        <w:pStyle w:val="3"/>
      </w:pPr>
      <w:r>
        <w:rPr>
          <w:rFonts w:hint="eastAsia"/>
        </w:rPr>
        <w:t xml:space="preserve">方法间一致性方面，本文以大语言模型（LLM）语义编码（以下简称LLM编码）作为词典编码的对照。Gilardi等（2023）</w:t>
      </w:r>
      <w:r>
        <w:rPr>
          <w:rFonts w:hint="eastAsia"/>
          <w:vertAlign w:val="superscript"/>
        </w:rPr>
        <w:t xml:space="preserve">[39]</w:t>
      </w:r>
      <w:r>
        <w:rPr>
          <w:rFonts w:hint="eastAsia"/>
        </w:rPr>
        <w:t xml:space="preserve">发现，ChatGPT在多项文本标注任务中的编码员间一致性高于众包工人和受训标注员。LLM编码采用Claude Opus 5模型，以申报指南对五个维度的内容界定为判定标准，对2965个句子逐句独立编码，并要求句子实质性涉及某一维度方可编码。以每个维度为二分类变量计算两种编码结果的Cohen’s κ系数（表2），五个维度的κ值介于0.481-0.702，总体为0.654，属实质性一致（Landis和Koch 1977</w:t>
      </w:r>
      <w:r>
        <w:rPr>
          <w:rFonts w:hint="eastAsia"/>
          <w:vertAlign w:val="superscript"/>
        </w:rPr>
        <w:t xml:space="preserve">[40]</w:t>
      </w:r>
      <w:r>
        <w:rPr>
          <w:rFonts w:hint="eastAsia"/>
        </w:rPr>
        <w:t xml:space="preserve">）。一致性最低的是创新性（κ=0.481）：词典编码将出现“创新药”“创新点”等词的句子计入创新性，LLM编码则不将仅在支付政策语境中提及创新药的句子计入。κ只能说明两种方法判断一致，属于方法间的收敛证据；若两种方法在同一类句子上犯同样的错误，κ仍会较高，因此不能替代以人工标注为基准的准确性检验。</w:t>
      </w:r>
    </w:p>
    <w:p>
      <w:pPr>
        <w:pStyle w:val="60"/>
      </w:pPr>
      <w:r>
        <w:rPr>
          <w:rFonts w:hint="eastAsia"/>
        </w:rPr>
        <w:t xml:space="preserve">表2 词典编码与LLM编码的一致性（Cohen’s κ系数）</w:t>
      </w:r>
    </w:p>
    <w:p>
      <w:pPr>
        <w:pStyle w:val="60"/>
      </w:pPr>
      <w:r>
        <w:rPr>
          <w:rFonts w:hint="eastAsia"/>
        </w:rPr>
        <w:t xml:space="preserve">Table 2 Agreement between Dictionary Coding and LLM Coding (Cohen’s κ)</w:t>
      </w:r>
    </w:p>
    <w:tbl>
      <w:tblPr>
        <w:tblStyle w:val="46"/>
        <w:tblW w:w="5000" w:type="pct"/>
        <w:tblInd w:w="0" w:type="dxa"/>
        <w:tblBorders>
          <w:top w:val="single" w:color="000000" w:sz="8" w:space="0"/>
          <w:left w:val="single" w:color="000000" w:sz="4" w:space="0"/>
          <w:bottom w:val="single" w:color="000000" w:sz="8" w:space="0"/>
          <w:right w:val="single" w:color="000000" w:sz="4" w:space="0"/>
          <w:insideH w:val="single" w:color="000000" w:sz="4" w:space="0"/>
          <w:insideV w:val="single" w:color="000000" w:sz="4" w:space="0"/>
        </w:tblBorders>
        <w:tblLayout w:type="fixed"/>
        <w:tblCellMar>
          <w:top w:w="30" w:type="dxa"/>
          <w:left w:w="60" w:type="dxa"/>
          <w:bottom w:w="30" w:type="dxa"/>
          <w:right w:w="60" w:type="dxa"/>
        </w:tblCellMar>
      </w:tblPr>
      <w:tblGrid>
        <w:gridCol w:w="1460"/>
        <w:gridCol w:w="1460"/>
        <w:gridCol w:w="1460"/>
        <w:gridCol w:w="1460"/>
        <w:gridCol w:w="1460"/>
        <w:gridCol w:w="1460"/>
      </w:tblGrid>
      <w:tr>
        <w:trPr>
          <w:tblHeader/>
        </w:trPr>
        <w:tc>
          <w:tcPr>
            <w:tcW w:w="1460" w:type="dxa"/>
          </w:tcPr>
          <w:p>
            <w:pPr>
              <w:pStyle w:val="29"/>
            </w:pPr>
            <w:r>
              <w:rPr>
                <w:rFonts w:hint="eastAsia"/>
              </w:rPr>
              <w:t xml:space="preserve">评价维度</w:t>
            </w:r>
          </w:p>
        </w:tc>
        <w:tc>
          <w:tcPr>
            <w:tcW w:w="1460" w:type="dxa"/>
          </w:tcPr>
          <w:p>
            <w:pPr>
              <w:pStyle w:val="29"/>
            </w:pPr>
            <w:r>
              <w:rPr>
                <w:rFonts w:hint="eastAsia"/>
              </w:rPr>
              <w:t xml:space="preserve">κ值</w:t>
            </w:r>
          </w:p>
        </w:tc>
        <w:tc>
          <w:tcPr>
            <w:tcW w:w="1460" w:type="dxa"/>
          </w:tcPr>
          <w:p>
            <w:pPr>
              <w:pStyle w:val="29"/>
            </w:pPr>
            <w:r>
              <w:rPr>
                <w:rFonts w:hint="eastAsia"/>
              </w:rPr>
              <w:t xml:space="preserve">一致率（%）</w:t>
            </w:r>
          </w:p>
        </w:tc>
        <w:tc>
          <w:tcPr>
            <w:tcW w:w="1460" w:type="dxa"/>
          </w:tcPr>
          <w:p>
            <w:pPr>
              <w:pStyle w:val="29"/>
            </w:pPr>
            <w:r>
              <w:rPr>
                <w:rFonts w:hint="eastAsia"/>
              </w:rPr>
              <w:t xml:space="preserve">词典编码命中句数</w:t>
            </w:r>
          </w:p>
        </w:tc>
        <w:tc>
          <w:tcPr>
            <w:tcW w:w="1460" w:type="dxa"/>
          </w:tcPr>
          <w:p>
            <w:pPr>
              <w:pStyle w:val="29"/>
            </w:pPr>
            <w:r>
              <w:rPr>
                <w:rFonts w:hint="eastAsia"/>
              </w:rPr>
              <w:t xml:space="preserve">LLM编码命中句数</w:t>
            </w:r>
          </w:p>
        </w:tc>
        <w:tc>
          <w:tcPr>
            <w:tcW w:w="1460" w:type="dxa"/>
          </w:tcPr>
          <w:p>
            <w:pPr>
              <w:pStyle w:val="29"/>
            </w:pPr>
            <w:r>
              <w:rPr>
                <w:rFonts w:hint="eastAsia"/>
              </w:rPr>
              <w:t xml:space="preserve">判定</w:t>
            </w:r>
          </w:p>
        </w:tc>
      </w:tr>
      <w:tr>
        <w:tc>
          <w:tcPr>
            <w:tcW w:w="1460" w:type="dxa"/>
          </w:tcPr>
          <w:p>
            <w:pPr>
              <w:pStyle w:val="29"/>
            </w:pPr>
            <w:r>
              <w:rPr>
                <w:rFonts w:hint="eastAsia"/>
              </w:rPr>
              <w:t xml:space="preserve">安全性</w:t>
            </w:r>
          </w:p>
        </w:tc>
        <w:tc>
          <w:tcPr>
            <w:tcW w:w="1460" w:type="dxa"/>
          </w:tcPr>
          <w:p>
            <w:pPr>
              <w:pStyle w:val="29"/>
            </w:pPr>
            <w:r>
              <w:rPr>
                <w:rFonts w:hint="eastAsia"/>
              </w:rPr>
              <w:t xml:space="preserve">0.702</w:t>
            </w:r>
          </w:p>
        </w:tc>
        <w:tc>
          <w:tcPr>
            <w:tcW w:w="1460" w:type="dxa"/>
          </w:tcPr>
          <w:p>
            <w:pPr>
              <w:pStyle w:val="29"/>
            </w:pPr>
            <w:r>
              <w:rPr>
                <w:rFonts w:hint="eastAsia"/>
              </w:rPr>
              <w:t xml:space="preserve">94.8</w:t>
            </w:r>
          </w:p>
        </w:tc>
        <w:tc>
          <w:tcPr>
            <w:tcW w:w="1460" w:type="dxa"/>
          </w:tcPr>
          <w:p>
            <w:pPr>
              <w:pStyle w:val="29"/>
            </w:pPr>
            <w:r>
              <w:rPr>
                <w:rFonts w:hint="eastAsia"/>
              </w:rPr>
              <w:t xml:space="preserve">246</w:t>
            </w:r>
          </w:p>
        </w:tc>
        <w:tc>
          <w:tcPr>
            <w:tcW w:w="1460" w:type="dxa"/>
          </w:tcPr>
          <w:p>
            <w:pPr>
              <w:pStyle w:val="29"/>
            </w:pPr>
            <w:r>
              <w:rPr>
                <w:rFonts w:hint="eastAsia"/>
              </w:rPr>
              <w:t xml:space="preserve">329</w:t>
            </w:r>
          </w:p>
        </w:tc>
        <w:tc>
          <w:tcPr>
            <w:tcW w:w="1460" w:type="dxa"/>
          </w:tcPr>
          <w:p>
            <w:pPr>
              <w:pStyle w:val="29"/>
            </w:pPr>
            <w:r>
              <w:rPr>
                <w:rFonts w:hint="eastAsia"/>
              </w:rPr>
              <w:t xml:space="preserve">实质性一致</w:t>
            </w:r>
          </w:p>
        </w:tc>
      </w:tr>
      <w:tr>
        <w:tc>
          <w:tcPr>
            <w:tcW w:w="1460" w:type="dxa"/>
          </w:tcPr>
          <w:p>
            <w:pPr>
              <w:pStyle w:val="29"/>
            </w:pPr>
            <w:r>
              <w:rPr>
                <w:rFonts w:hint="eastAsia"/>
              </w:rPr>
              <w:t xml:space="preserve">有效性</w:t>
            </w:r>
          </w:p>
        </w:tc>
        <w:tc>
          <w:tcPr>
            <w:tcW w:w="1460" w:type="dxa"/>
          </w:tcPr>
          <w:p>
            <w:pPr>
              <w:pStyle w:val="29"/>
            </w:pPr>
            <w:r>
              <w:rPr>
                <w:rFonts w:hint="eastAsia"/>
              </w:rPr>
              <w:t xml:space="preserve">0.645</w:t>
            </w:r>
          </w:p>
        </w:tc>
        <w:tc>
          <w:tcPr>
            <w:tcW w:w="1460" w:type="dxa"/>
          </w:tcPr>
          <w:p>
            <w:pPr>
              <w:pStyle w:val="29"/>
            </w:pPr>
            <w:r>
              <w:rPr>
                <w:rFonts w:hint="eastAsia"/>
              </w:rPr>
              <w:t xml:space="preserve">95.4</w:t>
            </w:r>
          </w:p>
        </w:tc>
        <w:tc>
          <w:tcPr>
            <w:tcW w:w="1460" w:type="dxa"/>
          </w:tcPr>
          <w:p>
            <w:pPr>
              <w:pStyle w:val="29"/>
            </w:pPr>
            <w:r>
              <w:rPr>
                <w:rFonts w:hint="eastAsia"/>
              </w:rPr>
              <w:t xml:space="preserve">156</w:t>
            </w:r>
          </w:p>
        </w:tc>
        <w:tc>
          <w:tcPr>
            <w:tcW w:w="1460" w:type="dxa"/>
          </w:tcPr>
          <w:p>
            <w:pPr>
              <w:pStyle w:val="29"/>
            </w:pPr>
            <w:r>
              <w:rPr>
                <w:rFonts w:hint="eastAsia"/>
              </w:rPr>
              <w:t xml:space="preserve">254</w:t>
            </w:r>
          </w:p>
        </w:tc>
        <w:tc>
          <w:tcPr>
            <w:tcW w:w="1460" w:type="dxa"/>
          </w:tcPr>
          <w:p>
            <w:pPr>
              <w:pStyle w:val="29"/>
            </w:pPr>
            <w:r>
              <w:rPr>
                <w:rFonts w:hint="eastAsia"/>
              </w:rPr>
              <w:t xml:space="preserve">实质性一致</w:t>
            </w:r>
          </w:p>
        </w:tc>
      </w:tr>
      <w:tr>
        <w:tc>
          <w:tcPr>
            <w:tcW w:w="1460" w:type="dxa"/>
          </w:tcPr>
          <w:p>
            <w:pPr>
              <w:pStyle w:val="29"/>
            </w:pPr>
            <w:r>
              <w:rPr>
                <w:rFonts w:hint="eastAsia"/>
              </w:rPr>
              <w:t xml:space="preserve">经济性</w:t>
            </w:r>
          </w:p>
        </w:tc>
        <w:tc>
          <w:tcPr>
            <w:tcW w:w="1460" w:type="dxa"/>
          </w:tcPr>
          <w:p>
            <w:pPr>
              <w:pStyle w:val="29"/>
            </w:pPr>
            <w:r>
              <w:rPr>
                <w:rFonts w:hint="eastAsia"/>
              </w:rPr>
              <w:t xml:space="preserve">0.693</w:t>
            </w:r>
          </w:p>
        </w:tc>
        <w:tc>
          <w:tcPr>
            <w:tcW w:w="1460" w:type="dxa"/>
          </w:tcPr>
          <w:p>
            <w:pPr>
              <w:pStyle w:val="29"/>
            </w:pPr>
            <w:r>
              <w:rPr>
                <w:rFonts w:hint="eastAsia"/>
              </w:rPr>
              <w:t xml:space="preserve">90.2</w:t>
            </w:r>
          </w:p>
        </w:tc>
        <w:tc>
          <w:tcPr>
            <w:tcW w:w="1460" w:type="dxa"/>
          </w:tcPr>
          <w:p>
            <w:pPr>
              <w:pStyle w:val="29"/>
            </w:pPr>
            <w:r>
              <w:rPr>
                <w:rFonts w:hint="eastAsia"/>
              </w:rPr>
              <w:t xml:space="preserve">460</w:t>
            </w:r>
          </w:p>
        </w:tc>
        <w:tc>
          <w:tcPr>
            <w:tcW w:w="1460" w:type="dxa"/>
          </w:tcPr>
          <w:p>
            <w:pPr>
              <w:pStyle w:val="29"/>
            </w:pPr>
            <w:r>
              <w:rPr>
                <w:rFonts w:hint="eastAsia"/>
              </w:rPr>
              <w:t xml:space="preserve">714</w:t>
            </w:r>
          </w:p>
        </w:tc>
        <w:tc>
          <w:tcPr>
            <w:tcW w:w="1460" w:type="dxa"/>
          </w:tcPr>
          <w:p>
            <w:pPr>
              <w:pStyle w:val="29"/>
            </w:pPr>
            <w:r>
              <w:rPr>
                <w:rFonts w:hint="eastAsia"/>
              </w:rPr>
              <w:t xml:space="preserve">实质性一致</w:t>
            </w:r>
          </w:p>
        </w:tc>
      </w:tr>
      <w:tr>
        <w:tc>
          <w:tcPr>
            <w:tcW w:w="1460" w:type="dxa"/>
          </w:tcPr>
          <w:p>
            <w:pPr>
              <w:pStyle w:val="29"/>
            </w:pPr>
            <w:r>
              <w:rPr>
                <w:rFonts w:hint="eastAsia"/>
              </w:rPr>
              <w:t xml:space="preserve">创新性</w:t>
            </w:r>
          </w:p>
        </w:tc>
        <w:tc>
          <w:tcPr>
            <w:tcW w:w="1460" w:type="dxa"/>
          </w:tcPr>
          <w:p>
            <w:pPr>
              <w:pStyle w:val="29"/>
            </w:pPr>
            <w:r>
              <w:rPr>
                <w:rFonts w:hint="eastAsia"/>
              </w:rPr>
              <w:t xml:space="preserve">0.481</w:t>
            </w:r>
          </w:p>
        </w:tc>
        <w:tc>
          <w:tcPr>
            <w:tcW w:w="1460" w:type="dxa"/>
          </w:tcPr>
          <w:p>
            <w:pPr>
              <w:pStyle w:val="29"/>
            </w:pPr>
            <w:r>
              <w:rPr>
                <w:rFonts w:hint="eastAsia"/>
              </w:rPr>
              <w:t xml:space="preserve">93.0</w:t>
            </w:r>
          </w:p>
        </w:tc>
        <w:tc>
          <w:tcPr>
            <w:tcW w:w="1460" w:type="dxa"/>
          </w:tcPr>
          <w:p>
            <w:pPr>
              <w:pStyle w:val="29"/>
            </w:pPr>
            <w:r>
              <w:rPr>
                <w:rFonts w:hint="eastAsia"/>
              </w:rPr>
              <w:t xml:space="preserve">237</w:t>
            </w:r>
          </w:p>
        </w:tc>
        <w:tc>
          <w:tcPr>
            <w:tcW w:w="1460" w:type="dxa"/>
          </w:tcPr>
          <w:p>
            <w:pPr>
              <w:pStyle w:val="29"/>
            </w:pPr>
            <w:r>
              <w:rPr>
                <w:rFonts w:hint="eastAsia"/>
              </w:rPr>
              <w:t xml:space="preserve">195</w:t>
            </w:r>
          </w:p>
        </w:tc>
        <w:tc>
          <w:tcPr>
            <w:tcW w:w="1460" w:type="dxa"/>
          </w:tcPr>
          <w:p>
            <w:pPr>
              <w:pStyle w:val="29"/>
            </w:pPr>
            <w:r>
              <w:rPr>
                <w:rFonts w:hint="eastAsia"/>
              </w:rPr>
              <w:t xml:space="preserve">中等一致</w:t>
            </w:r>
          </w:p>
        </w:tc>
      </w:tr>
      <w:tr>
        <w:tc>
          <w:tcPr>
            <w:tcW w:w="1460" w:type="dxa"/>
          </w:tcPr>
          <w:p>
            <w:pPr>
              <w:pStyle w:val="29"/>
            </w:pPr>
            <w:r>
              <w:rPr>
                <w:rFonts w:hint="eastAsia"/>
              </w:rPr>
              <w:t xml:space="preserve">公平性</w:t>
            </w:r>
          </w:p>
        </w:tc>
        <w:tc>
          <w:tcPr>
            <w:tcW w:w="1460" w:type="dxa"/>
          </w:tcPr>
          <w:p>
            <w:pPr>
              <w:pStyle w:val="29"/>
            </w:pPr>
            <w:r>
              <w:rPr>
                <w:rFonts w:hint="eastAsia"/>
              </w:rPr>
              <w:t xml:space="preserve">0.606</w:t>
            </w:r>
          </w:p>
        </w:tc>
        <w:tc>
          <w:tcPr>
            <w:tcW w:w="1460" w:type="dxa"/>
          </w:tcPr>
          <w:p>
            <w:pPr>
              <w:pStyle w:val="29"/>
            </w:pPr>
            <w:r>
              <w:rPr>
                <w:rFonts w:hint="eastAsia"/>
              </w:rPr>
              <w:t xml:space="preserve">96.1</w:t>
            </w:r>
          </w:p>
        </w:tc>
        <w:tc>
          <w:tcPr>
            <w:tcW w:w="1460" w:type="dxa"/>
          </w:tcPr>
          <w:p>
            <w:pPr>
              <w:pStyle w:val="29"/>
            </w:pPr>
            <w:r>
              <w:rPr>
                <w:rFonts w:hint="eastAsia"/>
              </w:rPr>
              <w:t xml:space="preserve">120</w:t>
            </w:r>
          </w:p>
        </w:tc>
        <w:tc>
          <w:tcPr>
            <w:tcW w:w="1460" w:type="dxa"/>
          </w:tcPr>
          <w:p>
            <w:pPr>
              <w:pStyle w:val="29"/>
            </w:pPr>
            <w:r>
              <w:rPr>
                <w:rFonts w:hint="eastAsia"/>
              </w:rPr>
              <w:t xml:space="preserve">187</w:t>
            </w:r>
          </w:p>
        </w:tc>
        <w:tc>
          <w:tcPr>
            <w:tcW w:w="1460" w:type="dxa"/>
          </w:tcPr>
          <w:p>
            <w:pPr>
              <w:pStyle w:val="29"/>
            </w:pPr>
            <w:r>
              <w:rPr>
                <w:rFonts w:hint="eastAsia"/>
              </w:rPr>
              <w:t xml:space="preserve">中等一致</w:t>
            </w:r>
          </w:p>
        </w:tc>
      </w:tr>
      <w:tr>
        <w:tc>
          <w:tcPr>
            <w:tcW w:w="1460" w:type="dxa"/>
          </w:tcPr>
          <w:p>
            <w:pPr>
              <w:pStyle w:val="29"/>
            </w:pPr>
            <w:r>
              <w:rPr>
                <w:rFonts w:hint="eastAsia"/>
              </w:rPr>
              <w:t xml:space="preserve">总体</w:t>
            </w:r>
          </w:p>
        </w:tc>
        <w:tc>
          <w:tcPr>
            <w:tcW w:w="1460" w:type="dxa"/>
          </w:tcPr>
          <w:p>
            <w:pPr>
              <w:pStyle w:val="29"/>
            </w:pPr>
            <w:r>
              <w:rPr>
                <w:rFonts w:hint="eastAsia"/>
              </w:rPr>
              <w:t xml:space="preserve">0.654</w:t>
            </w:r>
          </w:p>
        </w:tc>
        <w:tc>
          <w:tcPr>
            <w:tcW w:w="1460" w:type="dxa"/>
          </w:tcPr>
          <w:p>
            <w:pPr>
              <w:pStyle w:val="29"/>
            </w:pPr>
            <w:r>
              <w:rPr>
                <w:rFonts w:hint="eastAsia"/>
              </w:rPr>
              <w:t xml:space="preserve">93.9</w:t>
            </w:r>
          </w:p>
        </w:tc>
        <w:tc>
          <w:tcPr>
            <w:tcW w:w="1460" w:type="dxa"/>
          </w:tcPr>
          <w:p>
            <w:pPr>
              <w:pStyle w:val="29"/>
            </w:pPr>
            <w:r>
              <w:rPr>
                <w:rFonts w:hint="eastAsia"/>
              </w:rPr>
              <w:t xml:space="preserve">—</w:t>
            </w:r>
          </w:p>
        </w:tc>
        <w:tc>
          <w:tcPr>
            <w:tcW w:w="1460" w:type="dxa"/>
          </w:tcPr>
          <w:p>
            <w:pPr>
              <w:pStyle w:val="29"/>
            </w:pPr>
            <w:r>
              <w:rPr>
                <w:rFonts w:hint="eastAsia"/>
              </w:rPr>
              <w:t xml:space="preserve">—</w:t>
            </w:r>
          </w:p>
        </w:tc>
        <w:tc>
          <w:tcPr>
            <w:tcW w:w="1460" w:type="dxa"/>
          </w:tcPr>
          <w:p>
            <w:pPr>
              <w:pStyle w:val="29"/>
            </w:pPr>
            <w:r>
              <w:rPr>
                <w:rFonts w:hint="eastAsia"/>
              </w:rPr>
              <w:t xml:space="preserve">实质性一致</w:t>
            </w:r>
          </w:p>
        </w:tc>
      </w:tr>
    </w:tbl>
    <w:p>
      <w:pPr>
        <w:pStyle w:val="62"/>
      </w:pPr>
      <w:r>
        <w:rPr>
          <w:rFonts w:hint="eastAsia"/>
        </w:rPr>
        <w:t xml:space="preserve">注：判定标准依据Landis和Koch（1977）</w:t>
      </w:r>
      <w:r>
        <w:rPr>
          <w:rFonts w:hint="eastAsia"/>
          <w:vertAlign w:val="superscript"/>
        </w:rPr>
        <w:t xml:space="preserve">[40]</w:t>
      </w:r>
      <w:r>
        <w:rPr>
          <w:rFonts w:hint="eastAsia"/>
        </w:rPr>
        <w:t xml:space="preserve">：0.81-1.00为几乎完全一致，0.61-0.80为实质性一致，0.41-0.60为中等一致。资料来源：作者计算。</w:t>
      </w:r>
    </w:p>
    <w:p>
      <w:pPr>
        <w:pStyle w:val="3"/>
      </w:pPr>
      <w:r>
        <w:rPr>
          <w:rFonts w:hint="eastAsia"/>
          <w:highlight w:val="yellow"/>
        </w:rPr>
        <w:t xml:space="preserve">人工基准方面，按部门分层从纳入分析的2965个句子中随机抽取296句（约10%），由两名编码员依据编码手册背对背独立标注，报告人工编码员间κ值；编码不一致之处经协商定案形成人工基准后，计算词典编码与LLM编码在各评价维度上的精确率、召回率与F1值，以及两种方法判断一致却均与人工基准不符的比例。【结果待补】</w:t>
      </w:r>
    </w:p>
    <w:p>
      <w:pPr>
        <w:pStyle w:val="3"/>
      </w:pPr>
      <w:r>
        <w:rPr>
          <w:rFonts w:hint="eastAsia"/>
        </w:rPr>
        <w:t xml:space="preserve">内容效度方面，五个评价维度及其含义以申报指南的规定为依据，判据词取自各维度的内容界定与三部门法规条文。词频的部门区分度也支持词典的区分能力：“临床试验”99.2%的出现频次集中于药监局文件，“支付”96.2%集中于医保局文件，“处方”73.5%集中于卫健委文件。构念效度方面，按三部门的制度逻辑，理论上应观察到药监局主要关注安全性、有效性与创新性而较少涉及经济性，医保局以经济性为主要关注。两种编码方法的结果均符合这一预期（表3）。卫健委的结果不符合预期：其文本在这五个维度上的命中句次仅25次，且安全性高于公平性。这一结果既可能反映卫健委的关注点在用药管理与医疗质量而非准入评价，也可能反映这套产生于支付方的维度体系对使用端内容不够敏感，两种解释都指向三部门缺少共同的评价语言。</w:t>
      </w:r>
    </w:p>
    <w:p>
      <w:pPr>
        <w:pStyle w:val="3"/>
      </w:pPr>
      <w:r>
        <w:rPr>
          <w:rFonts w:hint="eastAsia"/>
        </w:rPr>
        <w:t xml:space="preserve">稳健性方面，本文以词典编码和LLM编码两种方法、按句次加总和按文件等权两种计算方式，形成四种测算口径重新计算注意力占比（表3），并在两种编码方法下逐一剔除单份文件后重算。医保局以经济性为主导（56.1%-69.6%）、药监局经济性占比不足1.5%（0.7%-1.2%）、药监局注意力集中于安全性、有效性与创新性三个维度、医保局创新性占比（7.2%-18.8%）不低于其安全性（3.8%-5.2%）与有效性（5.9%-7.1%）占比，这四项结果在四种测算口径下均成立；逐一剔除任一份文件，两种编码方法下各部门的主导维度均不变。需要说明的是，医保局创新性与有效性的差距在LLM编码、文件等权口径下缩小至0.1个百分点，该口径下两者基本持平。药监局内部三个维度的相对次序随测算口径变化：按句次加总时安全性最高，按文件等权时创新性最高。卫健委在四种口径下均无稳定的主导维度。本文仅对四种测算口径下均成立的结果作实质解释。</w:t>
      </w:r>
    </w:p>
    <w:p>
      <w:pPr>
        <w:pStyle w:val="60"/>
      </w:pPr>
      <w:r>
        <w:rPr>
          <w:rFonts w:hint="eastAsia"/>
        </w:rPr>
        <w:t xml:space="preserve">表3 四种测算口径下的注意力占比</w:t>
      </w:r>
    </w:p>
    <w:p>
      <w:pPr>
        <w:pStyle w:val="60"/>
      </w:pPr>
      <w:r>
        <w:rPr>
          <w:rFonts w:hint="eastAsia"/>
        </w:rPr>
        <w:t xml:space="preserve">Table 3 Attention Shares under Four Measurement Specifications</w:t>
      </w:r>
    </w:p>
    <w:tbl>
      <w:tblPr>
        <w:tblStyle w:val="46"/>
        <w:tblW w:w="5000" w:type="pct"/>
        <w:tblInd w:w="0" w:type="dxa"/>
        <w:tblBorders>
          <w:top w:val="single" w:color="000000" w:sz="8" w:space="0"/>
          <w:left w:val="single" w:color="000000" w:sz="4" w:space="0"/>
          <w:bottom w:val="single" w:color="000000" w:sz="8" w:space="0"/>
          <w:right w:val="single" w:color="000000" w:sz="4" w:space="0"/>
          <w:insideH w:val="single" w:color="000000" w:sz="4" w:space="0"/>
          <w:insideV w:val="single" w:color="000000" w:sz="4" w:space="0"/>
        </w:tblBorders>
        <w:tblLayout w:type="fixed"/>
        <w:tblCellMar>
          <w:top w:w="30" w:type="dxa"/>
          <w:left w:w="60" w:type="dxa"/>
          <w:bottom w:w="30" w:type="dxa"/>
          <w:right w:w="60" w:type="dxa"/>
        </w:tblCellMar>
      </w:tblPr>
      <w:tblGrid>
        <w:gridCol w:w="1095"/>
        <w:gridCol w:w="1095"/>
        <w:gridCol w:w="1095"/>
        <w:gridCol w:w="1095"/>
        <w:gridCol w:w="1095"/>
        <w:gridCol w:w="1095"/>
        <w:gridCol w:w="1095"/>
        <w:gridCol w:w="1095"/>
      </w:tblGrid>
      <w:tr>
        <w:trPr>
          <w:tblHeader/>
        </w:trPr>
        <w:tc>
          <w:tcPr>
            <w:tcW w:w="1095" w:type="dxa"/>
          </w:tcPr>
          <w:p>
            <w:pPr>
              <w:pStyle w:val="29"/>
            </w:pPr>
            <w:r>
              <w:rPr>
                <w:rFonts w:hint="eastAsia"/>
              </w:rPr>
              <w:t xml:space="preserve">部门</w:t>
            </w:r>
          </w:p>
        </w:tc>
        <w:tc>
          <w:tcPr>
            <w:tcW w:w="1095" w:type="dxa"/>
          </w:tcPr>
          <w:p>
            <w:pPr>
              <w:pStyle w:val="29"/>
            </w:pPr>
            <w:r>
              <w:rPr>
                <w:rFonts w:hint="eastAsia"/>
              </w:rPr>
              <w:t xml:space="preserve">编码方法</w:t>
            </w:r>
          </w:p>
        </w:tc>
        <w:tc>
          <w:tcPr>
            <w:tcW w:w="1095" w:type="dxa"/>
          </w:tcPr>
          <w:p>
            <w:pPr>
              <w:pStyle w:val="29"/>
            </w:pPr>
            <w:r>
              <w:rPr>
                <w:rFonts w:hint="eastAsia"/>
              </w:rPr>
              <w:t xml:space="preserve">计算方式</w:t>
            </w:r>
          </w:p>
        </w:tc>
        <w:tc>
          <w:tcPr>
            <w:tcW w:w="1095" w:type="dxa"/>
          </w:tcPr>
          <w:p>
            <w:pPr>
              <w:pStyle w:val="29"/>
            </w:pPr>
            <w:r>
              <w:rPr>
                <w:rFonts w:hint="eastAsia"/>
              </w:rPr>
              <w:t xml:space="preserve">安全性</w:t>
            </w:r>
          </w:p>
        </w:tc>
        <w:tc>
          <w:tcPr>
            <w:tcW w:w="1095" w:type="dxa"/>
          </w:tcPr>
          <w:p>
            <w:pPr>
              <w:pStyle w:val="29"/>
            </w:pPr>
            <w:r>
              <w:rPr>
                <w:rFonts w:hint="eastAsia"/>
              </w:rPr>
              <w:t xml:space="preserve">有效性</w:t>
            </w:r>
          </w:p>
        </w:tc>
        <w:tc>
          <w:tcPr>
            <w:tcW w:w="1095" w:type="dxa"/>
          </w:tcPr>
          <w:p>
            <w:pPr>
              <w:pStyle w:val="29"/>
            </w:pPr>
            <w:r>
              <w:rPr>
                <w:rFonts w:hint="eastAsia"/>
              </w:rPr>
              <w:t xml:space="preserve">经济性</w:t>
            </w:r>
          </w:p>
        </w:tc>
        <w:tc>
          <w:tcPr>
            <w:tcW w:w="1095" w:type="dxa"/>
          </w:tcPr>
          <w:p>
            <w:pPr>
              <w:pStyle w:val="29"/>
            </w:pPr>
            <w:r>
              <w:rPr>
                <w:rFonts w:hint="eastAsia"/>
              </w:rPr>
              <w:t xml:space="preserve">创新性</w:t>
            </w:r>
          </w:p>
        </w:tc>
        <w:tc>
          <w:tcPr>
            <w:tcW w:w="1095" w:type="dxa"/>
          </w:tcPr>
          <w:p>
            <w:pPr>
              <w:pStyle w:val="29"/>
            </w:pPr>
            <w:r>
              <w:rPr>
                <w:rFonts w:hint="eastAsia"/>
              </w:rPr>
              <w:t xml:space="preserve">公平性</w:t>
            </w:r>
          </w:p>
        </w:tc>
      </w:tr>
      <w:tr>
        <w:tc>
          <w:tcPr>
            <w:tcW w:w="1095" w:type="dxa"/>
          </w:tcPr>
          <w:p>
            <w:pPr>
              <w:pStyle w:val="29"/>
            </w:pPr>
            <w:r>
              <w:rPr>
                <w:rFonts w:hint="eastAsia"/>
              </w:rPr>
              <w:t xml:space="preserve">药监局</w:t>
            </w:r>
          </w:p>
        </w:tc>
        <w:tc>
          <w:tcPr>
            <w:tcW w:w="1095" w:type="dxa"/>
          </w:tcPr>
          <w:p>
            <w:pPr>
              <w:pStyle w:val="29"/>
            </w:pPr>
            <w:r>
              <w:rPr>
                <w:rFonts w:hint="eastAsia"/>
              </w:rPr>
              <w:t xml:space="preserve">词典编码</w:t>
            </w:r>
          </w:p>
        </w:tc>
        <w:tc>
          <w:tcPr>
            <w:tcW w:w="1095" w:type="dxa"/>
          </w:tcPr>
          <w:p>
            <w:pPr>
              <w:pStyle w:val="29"/>
            </w:pPr>
            <w:r>
              <w:rPr>
                <w:rFonts w:hint="eastAsia"/>
              </w:rPr>
              <w:t xml:space="preserve">句次加总</w:t>
            </w:r>
          </w:p>
        </w:tc>
        <w:tc>
          <w:tcPr>
            <w:tcW w:w="1095" w:type="dxa"/>
          </w:tcPr>
          <w:p>
            <w:pPr>
              <w:pStyle w:val="29"/>
            </w:pPr>
            <w:r>
              <w:rPr>
                <w:rFonts w:hint="eastAsia"/>
              </w:rPr>
              <w:t xml:space="preserve">46.7</w:t>
            </w:r>
          </w:p>
        </w:tc>
        <w:tc>
          <w:tcPr>
            <w:tcW w:w="1095" w:type="dxa"/>
          </w:tcPr>
          <w:p>
            <w:pPr>
              <w:pStyle w:val="29"/>
            </w:pPr>
            <w:r>
              <w:rPr>
                <w:rFonts w:hint="eastAsia"/>
              </w:rPr>
              <w:t xml:space="preserve">24.4</w:t>
            </w:r>
          </w:p>
        </w:tc>
        <w:tc>
          <w:tcPr>
            <w:tcW w:w="1095" w:type="dxa"/>
          </w:tcPr>
          <w:p>
            <w:pPr>
              <w:pStyle w:val="29"/>
            </w:pPr>
            <w:r>
              <w:rPr>
                <w:rFonts w:hint="eastAsia"/>
              </w:rPr>
              <w:t xml:space="preserve">0.7</w:t>
            </w:r>
          </w:p>
        </w:tc>
        <w:tc>
          <w:tcPr>
            <w:tcW w:w="1095" w:type="dxa"/>
          </w:tcPr>
          <w:p>
            <w:pPr>
              <w:pStyle w:val="29"/>
            </w:pPr>
            <w:r>
              <w:rPr>
                <w:rFonts w:hint="eastAsia"/>
              </w:rPr>
              <w:t xml:space="preserve">22.1</w:t>
            </w:r>
          </w:p>
        </w:tc>
        <w:tc>
          <w:tcPr>
            <w:tcW w:w="1095" w:type="dxa"/>
          </w:tcPr>
          <w:p>
            <w:pPr>
              <w:pStyle w:val="29"/>
            </w:pPr>
            <w:r>
              <w:rPr>
                <w:rFonts w:hint="eastAsia"/>
              </w:rPr>
              <w:t xml:space="preserve">6.2</w:t>
            </w:r>
          </w:p>
        </w:tc>
      </w:tr>
      <w:tr>
        <w:tc>
          <w:tcPr>
            <w:tcW w:w="1095" w:type="dxa"/>
          </w:tcPr>
          <w:p>
            <w:pPr>
              <w:pStyle w:val="29"/>
            </w:pPr>
          </w:p>
        </w:tc>
        <w:tc>
          <w:tcPr>
            <w:tcW w:w="1095" w:type="dxa"/>
          </w:tcPr>
          <w:p>
            <w:pPr>
              <w:pStyle w:val="29"/>
            </w:pPr>
          </w:p>
        </w:tc>
        <w:tc>
          <w:tcPr>
            <w:tcW w:w="1095" w:type="dxa"/>
          </w:tcPr>
          <w:p>
            <w:pPr>
              <w:pStyle w:val="29"/>
            </w:pPr>
            <w:r>
              <w:rPr>
                <w:rFonts w:hint="eastAsia"/>
              </w:rPr>
              <w:t xml:space="preserve">文件等权</w:t>
            </w:r>
          </w:p>
        </w:tc>
        <w:tc>
          <w:tcPr>
            <w:tcW w:w="1095" w:type="dxa"/>
          </w:tcPr>
          <w:p>
            <w:pPr>
              <w:pStyle w:val="29"/>
            </w:pPr>
            <w:r>
              <w:rPr>
                <w:rFonts w:hint="eastAsia"/>
              </w:rPr>
              <w:t xml:space="preserve">35.5</w:t>
            </w:r>
          </w:p>
        </w:tc>
        <w:tc>
          <w:tcPr>
            <w:tcW w:w="1095" w:type="dxa"/>
          </w:tcPr>
          <w:p>
            <w:pPr>
              <w:pStyle w:val="29"/>
            </w:pPr>
            <w:r>
              <w:rPr>
                <w:rFonts w:hint="eastAsia"/>
              </w:rPr>
              <w:t xml:space="preserve">19.2</w:t>
            </w:r>
          </w:p>
        </w:tc>
        <w:tc>
          <w:tcPr>
            <w:tcW w:w="1095" w:type="dxa"/>
          </w:tcPr>
          <w:p>
            <w:pPr>
              <w:pStyle w:val="29"/>
            </w:pPr>
            <w:r>
              <w:rPr>
                <w:rFonts w:hint="eastAsia"/>
              </w:rPr>
              <w:t xml:space="preserve">0.9</w:t>
            </w:r>
          </w:p>
        </w:tc>
        <w:tc>
          <w:tcPr>
            <w:tcW w:w="1095" w:type="dxa"/>
          </w:tcPr>
          <w:p>
            <w:pPr>
              <w:pStyle w:val="29"/>
            </w:pPr>
            <w:r>
              <w:rPr>
                <w:rFonts w:hint="eastAsia"/>
              </w:rPr>
              <w:t xml:space="preserve">37.2</w:t>
            </w:r>
          </w:p>
        </w:tc>
        <w:tc>
          <w:tcPr>
            <w:tcW w:w="1095" w:type="dxa"/>
          </w:tcPr>
          <w:p>
            <w:pPr>
              <w:pStyle w:val="29"/>
            </w:pPr>
            <w:r>
              <w:rPr>
                <w:rFonts w:hint="eastAsia"/>
              </w:rPr>
              <w:t xml:space="preserve">7.2</w:t>
            </w:r>
          </w:p>
        </w:tc>
      </w:tr>
      <w:tr>
        <w:tc>
          <w:tcPr>
            <w:tcW w:w="1095" w:type="dxa"/>
          </w:tcPr>
          <w:p>
            <w:pPr>
              <w:pStyle w:val="29"/>
            </w:pPr>
          </w:p>
        </w:tc>
        <w:tc>
          <w:tcPr>
            <w:tcW w:w="1095" w:type="dxa"/>
          </w:tcPr>
          <w:p>
            <w:pPr>
              <w:pStyle w:val="29"/>
            </w:pPr>
            <w:r>
              <w:rPr>
                <w:rFonts w:hint="eastAsia"/>
              </w:rPr>
              <w:t xml:space="preserve">LLM编码</w:t>
            </w:r>
          </w:p>
        </w:tc>
        <w:tc>
          <w:tcPr>
            <w:tcW w:w="1095" w:type="dxa"/>
          </w:tcPr>
          <w:p>
            <w:pPr>
              <w:pStyle w:val="29"/>
            </w:pPr>
            <w:r>
              <w:rPr>
                <w:rFonts w:hint="eastAsia"/>
              </w:rPr>
              <w:t xml:space="preserve">句次加总</w:t>
            </w:r>
          </w:p>
        </w:tc>
        <w:tc>
          <w:tcPr>
            <w:tcW w:w="1095" w:type="dxa"/>
          </w:tcPr>
          <w:p>
            <w:pPr>
              <w:pStyle w:val="29"/>
            </w:pPr>
            <w:r>
              <w:rPr>
                <w:rFonts w:hint="eastAsia"/>
              </w:rPr>
              <w:t xml:space="preserve">43.8</w:t>
            </w:r>
          </w:p>
        </w:tc>
        <w:tc>
          <w:tcPr>
            <w:tcW w:w="1095" w:type="dxa"/>
          </w:tcPr>
          <w:p>
            <w:pPr>
              <w:pStyle w:val="29"/>
            </w:pPr>
            <w:r>
              <w:rPr>
                <w:rFonts w:hint="eastAsia"/>
              </w:rPr>
              <w:t xml:space="preserve">30.2</w:t>
            </w:r>
          </w:p>
        </w:tc>
        <w:tc>
          <w:tcPr>
            <w:tcW w:w="1095" w:type="dxa"/>
          </w:tcPr>
          <w:p>
            <w:pPr>
              <w:pStyle w:val="29"/>
            </w:pPr>
            <w:r>
              <w:rPr>
                <w:rFonts w:hint="eastAsia"/>
              </w:rPr>
              <w:t xml:space="preserve">1.2</w:t>
            </w:r>
          </w:p>
        </w:tc>
        <w:tc>
          <w:tcPr>
            <w:tcW w:w="1095" w:type="dxa"/>
          </w:tcPr>
          <w:p>
            <w:pPr>
              <w:pStyle w:val="29"/>
            </w:pPr>
            <w:r>
              <w:rPr>
                <w:rFonts w:hint="eastAsia"/>
              </w:rPr>
              <w:t xml:space="preserve">19.2</w:t>
            </w:r>
          </w:p>
        </w:tc>
        <w:tc>
          <w:tcPr>
            <w:tcW w:w="1095" w:type="dxa"/>
          </w:tcPr>
          <w:p>
            <w:pPr>
              <w:pStyle w:val="29"/>
            </w:pPr>
            <w:r>
              <w:rPr>
                <w:rFonts w:hint="eastAsia"/>
              </w:rPr>
              <w:t xml:space="preserve">5.5</w:t>
            </w:r>
          </w:p>
        </w:tc>
      </w:tr>
      <w:tr>
        <w:tc>
          <w:tcPr>
            <w:tcW w:w="1095" w:type="dxa"/>
          </w:tcPr>
          <w:p>
            <w:pPr>
              <w:pStyle w:val="29"/>
            </w:pPr>
          </w:p>
        </w:tc>
        <w:tc>
          <w:tcPr>
            <w:tcW w:w="1095" w:type="dxa"/>
          </w:tcPr>
          <w:p>
            <w:pPr>
              <w:pStyle w:val="29"/>
            </w:pPr>
          </w:p>
        </w:tc>
        <w:tc>
          <w:tcPr>
            <w:tcW w:w="1095" w:type="dxa"/>
          </w:tcPr>
          <w:p>
            <w:pPr>
              <w:pStyle w:val="29"/>
            </w:pPr>
            <w:r>
              <w:rPr>
                <w:rFonts w:hint="eastAsia"/>
              </w:rPr>
              <w:t xml:space="preserve">文件等权</w:t>
            </w:r>
          </w:p>
        </w:tc>
        <w:tc>
          <w:tcPr>
            <w:tcW w:w="1095" w:type="dxa"/>
          </w:tcPr>
          <w:p>
            <w:pPr>
              <w:pStyle w:val="29"/>
            </w:pPr>
            <w:r>
              <w:rPr>
                <w:rFonts w:hint="eastAsia"/>
              </w:rPr>
              <w:t xml:space="preserve">34.5</w:t>
            </w:r>
          </w:p>
        </w:tc>
        <w:tc>
          <w:tcPr>
            <w:tcW w:w="1095" w:type="dxa"/>
          </w:tcPr>
          <w:p>
            <w:pPr>
              <w:pStyle w:val="29"/>
            </w:pPr>
            <w:r>
              <w:rPr>
                <w:rFonts w:hint="eastAsia"/>
              </w:rPr>
              <w:t xml:space="preserve">18.7</w:t>
            </w:r>
          </w:p>
        </w:tc>
        <w:tc>
          <w:tcPr>
            <w:tcW w:w="1095" w:type="dxa"/>
          </w:tcPr>
          <w:p>
            <w:pPr>
              <w:pStyle w:val="29"/>
            </w:pPr>
            <w:r>
              <w:rPr>
                <w:rFonts w:hint="eastAsia"/>
              </w:rPr>
              <w:t xml:space="preserve">0.7</w:t>
            </w:r>
          </w:p>
        </w:tc>
        <w:tc>
          <w:tcPr>
            <w:tcW w:w="1095" w:type="dxa"/>
          </w:tcPr>
          <w:p>
            <w:pPr>
              <w:pStyle w:val="29"/>
            </w:pPr>
            <w:r>
              <w:rPr>
                <w:rFonts w:hint="eastAsia"/>
              </w:rPr>
              <w:t xml:space="preserve">35.5</w:t>
            </w:r>
          </w:p>
        </w:tc>
        <w:tc>
          <w:tcPr>
            <w:tcW w:w="1095" w:type="dxa"/>
          </w:tcPr>
          <w:p>
            <w:pPr>
              <w:pStyle w:val="29"/>
            </w:pPr>
            <w:r>
              <w:rPr>
                <w:rFonts w:hint="eastAsia"/>
              </w:rPr>
              <w:t xml:space="preserve">10.6</w:t>
            </w:r>
          </w:p>
        </w:tc>
      </w:tr>
      <w:tr>
        <w:tc>
          <w:tcPr>
            <w:tcW w:w="1095" w:type="dxa"/>
          </w:tcPr>
          <w:p>
            <w:pPr>
              <w:pStyle w:val="29"/>
            </w:pPr>
            <w:r>
              <w:rPr>
                <w:rFonts w:hint="eastAsia"/>
              </w:rPr>
              <w:t xml:space="preserve">医保局</w:t>
            </w:r>
          </w:p>
        </w:tc>
        <w:tc>
          <w:tcPr>
            <w:tcW w:w="1095" w:type="dxa"/>
          </w:tcPr>
          <w:p>
            <w:pPr>
              <w:pStyle w:val="29"/>
            </w:pPr>
            <w:r>
              <w:rPr>
                <w:rFonts w:hint="eastAsia"/>
              </w:rPr>
              <w:t xml:space="preserve">词典编码</w:t>
            </w:r>
          </w:p>
        </w:tc>
        <w:tc>
          <w:tcPr>
            <w:tcW w:w="1095" w:type="dxa"/>
          </w:tcPr>
          <w:p>
            <w:pPr>
              <w:pStyle w:val="29"/>
            </w:pPr>
            <w:r>
              <w:rPr>
                <w:rFonts w:hint="eastAsia"/>
              </w:rPr>
              <w:t xml:space="preserve">句次加总</w:t>
            </w:r>
          </w:p>
        </w:tc>
        <w:tc>
          <w:tcPr>
            <w:tcW w:w="1095" w:type="dxa"/>
          </w:tcPr>
          <w:p>
            <w:pPr>
              <w:pStyle w:val="29"/>
            </w:pPr>
            <w:r>
              <w:rPr>
                <w:rFonts w:hint="eastAsia"/>
              </w:rPr>
              <w:t xml:space="preserve">4.2</w:t>
            </w:r>
          </w:p>
        </w:tc>
        <w:tc>
          <w:tcPr>
            <w:tcW w:w="1095" w:type="dxa"/>
          </w:tcPr>
          <w:p>
            <w:pPr>
              <w:pStyle w:val="29"/>
            </w:pPr>
            <w:r>
              <w:rPr>
                <w:rFonts w:hint="eastAsia"/>
              </w:rPr>
              <w:t xml:space="preserve">5.9</w:t>
            </w:r>
          </w:p>
        </w:tc>
        <w:tc>
          <w:tcPr>
            <w:tcW w:w="1095" w:type="dxa"/>
          </w:tcPr>
          <w:p>
            <w:pPr>
              <w:pStyle w:val="29"/>
            </w:pPr>
            <w:r>
              <w:rPr>
                <w:rFonts w:hint="eastAsia"/>
              </w:rPr>
              <w:t xml:space="preserve">60.4</w:t>
            </w:r>
          </w:p>
        </w:tc>
        <w:tc>
          <w:tcPr>
            <w:tcW w:w="1095" w:type="dxa"/>
          </w:tcPr>
          <w:p>
            <w:pPr>
              <w:pStyle w:val="29"/>
            </w:pPr>
            <w:r>
              <w:rPr>
                <w:rFonts w:hint="eastAsia"/>
              </w:rPr>
              <w:t xml:space="preserve">18.8</w:t>
            </w:r>
          </w:p>
        </w:tc>
        <w:tc>
          <w:tcPr>
            <w:tcW w:w="1095" w:type="dxa"/>
          </w:tcPr>
          <w:p>
            <w:pPr>
              <w:pStyle w:val="29"/>
            </w:pPr>
            <w:r>
              <w:rPr>
                <w:rFonts w:hint="eastAsia"/>
              </w:rPr>
              <w:t xml:space="preserve">10.7</w:t>
            </w:r>
          </w:p>
        </w:tc>
      </w:tr>
      <w:tr>
        <w:tc>
          <w:tcPr>
            <w:tcW w:w="1095" w:type="dxa"/>
          </w:tcPr>
          <w:p>
            <w:pPr>
              <w:pStyle w:val="29"/>
            </w:pPr>
          </w:p>
        </w:tc>
        <w:tc>
          <w:tcPr>
            <w:tcW w:w="1095" w:type="dxa"/>
          </w:tcPr>
          <w:p>
            <w:pPr>
              <w:pStyle w:val="29"/>
            </w:pPr>
          </w:p>
        </w:tc>
        <w:tc>
          <w:tcPr>
            <w:tcW w:w="1095" w:type="dxa"/>
          </w:tcPr>
          <w:p>
            <w:pPr>
              <w:pStyle w:val="29"/>
            </w:pPr>
            <w:r>
              <w:rPr>
                <w:rFonts w:hint="eastAsia"/>
              </w:rPr>
              <w:t xml:space="preserve">文件等权</w:t>
            </w:r>
          </w:p>
        </w:tc>
        <w:tc>
          <w:tcPr>
            <w:tcW w:w="1095" w:type="dxa"/>
          </w:tcPr>
          <w:p>
            <w:pPr>
              <w:pStyle w:val="29"/>
            </w:pPr>
            <w:r>
              <w:rPr>
                <w:rFonts w:hint="eastAsia"/>
              </w:rPr>
              <w:t xml:space="preserve">4.8</w:t>
            </w:r>
          </w:p>
        </w:tc>
        <w:tc>
          <w:tcPr>
            <w:tcW w:w="1095" w:type="dxa"/>
          </w:tcPr>
          <w:p>
            <w:pPr>
              <w:pStyle w:val="29"/>
            </w:pPr>
            <w:r>
              <w:rPr>
                <w:rFonts w:hint="eastAsia"/>
              </w:rPr>
              <w:t xml:space="preserve">6.7</w:t>
            </w:r>
          </w:p>
        </w:tc>
        <w:tc>
          <w:tcPr>
            <w:tcW w:w="1095" w:type="dxa"/>
          </w:tcPr>
          <w:p>
            <w:pPr>
              <w:pStyle w:val="29"/>
            </w:pPr>
            <w:r>
              <w:rPr>
                <w:rFonts w:hint="eastAsia"/>
              </w:rPr>
              <w:t xml:space="preserve">56.1</w:t>
            </w:r>
          </w:p>
        </w:tc>
        <w:tc>
          <w:tcPr>
            <w:tcW w:w="1095" w:type="dxa"/>
          </w:tcPr>
          <w:p>
            <w:pPr>
              <w:pStyle w:val="29"/>
            </w:pPr>
            <w:r>
              <w:rPr>
                <w:rFonts w:hint="eastAsia"/>
              </w:rPr>
              <w:t xml:space="preserve">16.5</w:t>
            </w:r>
          </w:p>
        </w:tc>
        <w:tc>
          <w:tcPr>
            <w:tcW w:w="1095" w:type="dxa"/>
          </w:tcPr>
          <w:p>
            <w:pPr>
              <w:pStyle w:val="29"/>
            </w:pPr>
            <w:r>
              <w:rPr>
                <w:rFonts w:hint="eastAsia"/>
              </w:rPr>
              <w:t xml:space="preserve">15.9</w:t>
            </w:r>
          </w:p>
        </w:tc>
      </w:tr>
      <w:tr>
        <w:tc>
          <w:tcPr>
            <w:tcW w:w="1095" w:type="dxa"/>
          </w:tcPr>
          <w:p>
            <w:pPr>
              <w:pStyle w:val="29"/>
            </w:pPr>
          </w:p>
        </w:tc>
        <w:tc>
          <w:tcPr>
            <w:tcW w:w="1095" w:type="dxa"/>
          </w:tcPr>
          <w:p>
            <w:pPr>
              <w:pStyle w:val="29"/>
            </w:pPr>
            <w:r>
              <w:rPr>
                <w:rFonts w:hint="eastAsia"/>
              </w:rPr>
              <w:t xml:space="preserve">LLM编码</w:t>
            </w:r>
          </w:p>
        </w:tc>
        <w:tc>
          <w:tcPr>
            <w:tcW w:w="1095" w:type="dxa"/>
          </w:tcPr>
          <w:p>
            <w:pPr>
              <w:pStyle w:val="29"/>
            </w:pPr>
            <w:r>
              <w:rPr>
                <w:rFonts w:hint="eastAsia"/>
              </w:rPr>
              <w:t xml:space="preserve">句次加总</w:t>
            </w:r>
          </w:p>
        </w:tc>
        <w:tc>
          <w:tcPr>
            <w:tcW w:w="1095" w:type="dxa"/>
          </w:tcPr>
          <w:p>
            <w:pPr>
              <w:pStyle w:val="29"/>
            </w:pPr>
            <w:r>
              <w:rPr>
                <w:rFonts w:hint="eastAsia"/>
              </w:rPr>
              <w:t xml:space="preserve">3.8</w:t>
            </w:r>
          </w:p>
        </w:tc>
        <w:tc>
          <w:tcPr>
            <w:tcW w:w="1095" w:type="dxa"/>
          </w:tcPr>
          <w:p>
            <w:pPr>
              <w:pStyle w:val="29"/>
            </w:pPr>
            <w:r>
              <w:rPr>
                <w:rFonts w:hint="eastAsia"/>
              </w:rPr>
              <w:t xml:space="preserve">6.2</w:t>
            </w:r>
          </w:p>
        </w:tc>
        <w:tc>
          <w:tcPr>
            <w:tcW w:w="1095" w:type="dxa"/>
          </w:tcPr>
          <w:p>
            <w:pPr>
              <w:pStyle w:val="29"/>
            </w:pPr>
            <w:r>
              <w:rPr>
                <w:rFonts w:hint="eastAsia"/>
              </w:rPr>
              <w:t xml:space="preserve">69.6</w:t>
            </w:r>
          </w:p>
        </w:tc>
        <w:tc>
          <w:tcPr>
            <w:tcW w:w="1095" w:type="dxa"/>
          </w:tcPr>
          <w:p>
            <w:pPr>
              <w:pStyle w:val="29"/>
            </w:pPr>
            <w:r>
              <w:rPr>
                <w:rFonts w:hint="eastAsia"/>
              </w:rPr>
              <w:t xml:space="preserve">7.4</w:t>
            </w:r>
          </w:p>
        </w:tc>
        <w:tc>
          <w:tcPr>
            <w:tcW w:w="1095" w:type="dxa"/>
          </w:tcPr>
          <w:p>
            <w:pPr>
              <w:pStyle w:val="29"/>
            </w:pPr>
            <w:r>
              <w:rPr>
                <w:rFonts w:hint="eastAsia"/>
              </w:rPr>
              <w:t xml:space="preserve">13.0</w:t>
            </w:r>
          </w:p>
        </w:tc>
      </w:tr>
      <w:tr>
        <w:tc>
          <w:tcPr>
            <w:tcW w:w="1095" w:type="dxa"/>
          </w:tcPr>
          <w:p>
            <w:pPr>
              <w:pStyle w:val="29"/>
            </w:pPr>
          </w:p>
        </w:tc>
        <w:tc>
          <w:tcPr>
            <w:tcW w:w="1095" w:type="dxa"/>
          </w:tcPr>
          <w:p>
            <w:pPr>
              <w:pStyle w:val="29"/>
            </w:pPr>
          </w:p>
        </w:tc>
        <w:tc>
          <w:tcPr>
            <w:tcW w:w="1095" w:type="dxa"/>
          </w:tcPr>
          <w:p>
            <w:pPr>
              <w:pStyle w:val="29"/>
            </w:pPr>
            <w:r>
              <w:rPr>
                <w:rFonts w:hint="eastAsia"/>
              </w:rPr>
              <w:t xml:space="preserve">文件等权</w:t>
            </w:r>
          </w:p>
        </w:tc>
        <w:tc>
          <w:tcPr>
            <w:tcW w:w="1095" w:type="dxa"/>
          </w:tcPr>
          <w:p>
            <w:pPr>
              <w:pStyle w:val="29"/>
            </w:pPr>
            <w:r>
              <w:rPr>
                <w:rFonts w:hint="eastAsia"/>
              </w:rPr>
              <w:t xml:space="preserve">5.2</w:t>
            </w:r>
          </w:p>
        </w:tc>
        <w:tc>
          <w:tcPr>
            <w:tcW w:w="1095" w:type="dxa"/>
          </w:tcPr>
          <w:p>
            <w:pPr>
              <w:pStyle w:val="29"/>
            </w:pPr>
            <w:r>
              <w:rPr>
                <w:rFonts w:hint="eastAsia"/>
              </w:rPr>
              <w:t xml:space="preserve">7.1</w:t>
            </w:r>
          </w:p>
        </w:tc>
        <w:tc>
          <w:tcPr>
            <w:tcW w:w="1095" w:type="dxa"/>
          </w:tcPr>
          <w:p>
            <w:pPr>
              <w:pStyle w:val="29"/>
            </w:pPr>
            <w:r>
              <w:rPr>
                <w:rFonts w:hint="eastAsia"/>
              </w:rPr>
              <w:t xml:space="preserve">62.6</w:t>
            </w:r>
          </w:p>
        </w:tc>
        <w:tc>
          <w:tcPr>
            <w:tcW w:w="1095" w:type="dxa"/>
          </w:tcPr>
          <w:p>
            <w:pPr>
              <w:pStyle w:val="29"/>
            </w:pPr>
            <w:r>
              <w:rPr>
                <w:rFonts w:hint="eastAsia"/>
              </w:rPr>
              <w:t xml:space="preserve">7.2</w:t>
            </w:r>
          </w:p>
        </w:tc>
        <w:tc>
          <w:tcPr>
            <w:tcW w:w="1095" w:type="dxa"/>
          </w:tcPr>
          <w:p>
            <w:pPr>
              <w:pStyle w:val="29"/>
            </w:pPr>
            <w:r>
              <w:rPr>
                <w:rFonts w:hint="eastAsia"/>
              </w:rPr>
              <w:t xml:space="preserve">17.9</w:t>
            </w:r>
          </w:p>
        </w:tc>
      </w:tr>
      <w:tr>
        <w:tc>
          <w:tcPr>
            <w:tcW w:w="1095" w:type="dxa"/>
          </w:tcPr>
          <w:p>
            <w:pPr>
              <w:pStyle w:val="29"/>
            </w:pPr>
            <w:r>
              <w:rPr>
                <w:rFonts w:hint="eastAsia"/>
              </w:rPr>
              <w:t xml:space="preserve">卫健委</w:t>
            </w:r>
          </w:p>
        </w:tc>
        <w:tc>
          <w:tcPr>
            <w:tcW w:w="1095" w:type="dxa"/>
          </w:tcPr>
          <w:p>
            <w:pPr>
              <w:pStyle w:val="29"/>
            </w:pPr>
            <w:r>
              <w:rPr>
                <w:rFonts w:hint="eastAsia"/>
              </w:rPr>
              <w:t xml:space="preserve">词典编码</w:t>
            </w:r>
          </w:p>
        </w:tc>
        <w:tc>
          <w:tcPr>
            <w:tcW w:w="1095" w:type="dxa"/>
          </w:tcPr>
          <w:p>
            <w:pPr>
              <w:pStyle w:val="29"/>
            </w:pPr>
            <w:r>
              <w:rPr>
                <w:rFonts w:hint="eastAsia"/>
              </w:rPr>
              <w:t xml:space="preserve">句次加总</w:t>
            </w:r>
          </w:p>
        </w:tc>
        <w:tc>
          <w:tcPr>
            <w:tcW w:w="1095" w:type="dxa"/>
          </w:tcPr>
          <w:p>
            <w:pPr>
              <w:pStyle w:val="29"/>
            </w:pPr>
            <w:r>
              <w:rPr>
                <w:rFonts w:hint="eastAsia"/>
              </w:rPr>
              <w:t xml:space="preserve">40.0</w:t>
            </w:r>
          </w:p>
        </w:tc>
        <w:tc>
          <w:tcPr>
            <w:tcW w:w="1095" w:type="dxa"/>
          </w:tcPr>
          <w:p>
            <w:pPr>
              <w:pStyle w:val="29"/>
            </w:pPr>
            <w:r>
              <w:rPr>
                <w:rFonts w:hint="eastAsia"/>
              </w:rPr>
              <w:t xml:space="preserve">20.0</w:t>
            </w:r>
          </w:p>
        </w:tc>
        <w:tc>
          <w:tcPr>
            <w:tcW w:w="1095" w:type="dxa"/>
          </w:tcPr>
          <w:p>
            <w:pPr>
              <w:pStyle w:val="29"/>
            </w:pPr>
            <w:r>
              <w:rPr>
                <w:rFonts w:hint="eastAsia"/>
              </w:rPr>
              <w:t xml:space="preserve">24.0</w:t>
            </w:r>
          </w:p>
        </w:tc>
        <w:tc>
          <w:tcPr>
            <w:tcW w:w="1095" w:type="dxa"/>
          </w:tcPr>
          <w:p>
            <w:pPr>
              <w:pStyle w:val="29"/>
            </w:pPr>
            <w:r>
              <w:rPr>
                <w:rFonts w:hint="eastAsia"/>
              </w:rPr>
              <w:t xml:space="preserve">4.0</w:t>
            </w:r>
          </w:p>
        </w:tc>
        <w:tc>
          <w:tcPr>
            <w:tcW w:w="1095" w:type="dxa"/>
          </w:tcPr>
          <w:p>
            <w:pPr>
              <w:pStyle w:val="29"/>
            </w:pPr>
            <w:r>
              <w:rPr>
                <w:rFonts w:hint="eastAsia"/>
              </w:rPr>
              <w:t xml:space="preserve">12.0</w:t>
            </w:r>
          </w:p>
        </w:tc>
      </w:tr>
      <w:tr>
        <w:tc>
          <w:tcPr>
            <w:tcW w:w="1095" w:type="dxa"/>
          </w:tcPr>
          <w:p>
            <w:pPr>
              <w:pStyle w:val="29"/>
            </w:pPr>
          </w:p>
        </w:tc>
        <w:tc>
          <w:tcPr>
            <w:tcW w:w="1095" w:type="dxa"/>
          </w:tcPr>
          <w:p>
            <w:pPr>
              <w:pStyle w:val="29"/>
            </w:pPr>
          </w:p>
        </w:tc>
        <w:tc>
          <w:tcPr>
            <w:tcW w:w="1095" w:type="dxa"/>
          </w:tcPr>
          <w:p>
            <w:pPr>
              <w:pStyle w:val="29"/>
            </w:pPr>
            <w:r>
              <w:rPr>
                <w:rFonts w:hint="eastAsia"/>
              </w:rPr>
              <w:t xml:space="preserve">文件等权</w:t>
            </w:r>
          </w:p>
        </w:tc>
        <w:tc>
          <w:tcPr>
            <w:tcW w:w="1095" w:type="dxa"/>
          </w:tcPr>
          <w:p>
            <w:pPr>
              <w:pStyle w:val="29"/>
            </w:pPr>
            <w:r>
              <w:rPr>
                <w:rFonts w:hint="eastAsia"/>
              </w:rPr>
              <w:t xml:space="preserve">22.4</w:t>
            </w:r>
          </w:p>
        </w:tc>
        <w:tc>
          <w:tcPr>
            <w:tcW w:w="1095" w:type="dxa"/>
          </w:tcPr>
          <w:p>
            <w:pPr>
              <w:pStyle w:val="29"/>
            </w:pPr>
            <w:r>
              <w:rPr>
                <w:rFonts w:hint="eastAsia"/>
              </w:rPr>
              <w:t xml:space="preserve">10.5</w:t>
            </w:r>
          </w:p>
        </w:tc>
        <w:tc>
          <w:tcPr>
            <w:tcW w:w="1095" w:type="dxa"/>
          </w:tcPr>
          <w:p>
            <w:pPr>
              <w:pStyle w:val="29"/>
            </w:pPr>
            <w:r>
              <w:rPr>
                <w:rFonts w:hint="eastAsia"/>
              </w:rPr>
              <w:t xml:space="preserve">60.3</w:t>
            </w:r>
          </w:p>
        </w:tc>
        <w:tc>
          <w:tcPr>
            <w:tcW w:w="1095" w:type="dxa"/>
          </w:tcPr>
          <w:p>
            <w:pPr>
              <w:pStyle w:val="29"/>
            </w:pPr>
            <w:r>
              <w:rPr>
                <w:rFonts w:hint="eastAsia"/>
              </w:rPr>
              <w:t xml:space="preserve">1.6</w:t>
            </w:r>
          </w:p>
        </w:tc>
        <w:tc>
          <w:tcPr>
            <w:tcW w:w="1095" w:type="dxa"/>
          </w:tcPr>
          <w:p>
            <w:pPr>
              <w:pStyle w:val="29"/>
            </w:pPr>
            <w:r>
              <w:rPr>
                <w:rFonts w:hint="eastAsia"/>
              </w:rPr>
              <w:t xml:space="preserve">5.2</w:t>
            </w:r>
          </w:p>
        </w:tc>
      </w:tr>
      <w:tr>
        <w:tc>
          <w:tcPr>
            <w:tcW w:w="1095" w:type="dxa"/>
          </w:tcPr>
          <w:p>
            <w:pPr>
              <w:pStyle w:val="29"/>
            </w:pPr>
          </w:p>
        </w:tc>
        <w:tc>
          <w:tcPr>
            <w:tcW w:w="1095" w:type="dxa"/>
          </w:tcPr>
          <w:p>
            <w:pPr>
              <w:pStyle w:val="29"/>
            </w:pPr>
            <w:r>
              <w:rPr>
                <w:rFonts w:hint="eastAsia"/>
              </w:rPr>
              <w:t xml:space="preserve">LLM编码</w:t>
            </w:r>
          </w:p>
        </w:tc>
        <w:tc>
          <w:tcPr>
            <w:tcW w:w="1095" w:type="dxa"/>
          </w:tcPr>
          <w:p>
            <w:pPr>
              <w:pStyle w:val="29"/>
            </w:pPr>
            <w:r>
              <w:rPr>
                <w:rFonts w:hint="eastAsia"/>
              </w:rPr>
              <w:t xml:space="preserve">句次加总</w:t>
            </w:r>
          </w:p>
        </w:tc>
        <w:tc>
          <w:tcPr>
            <w:tcW w:w="1095" w:type="dxa"/>
          </w:tcPr>
          <w:p>
            <w:pPr>
              <w:pStyle w:val="29"/>
            </w:pPr>
            <w:r>
              <w:rPr>
                <w:rFonts w:hint="eastAsia"/>
              </w:rPr>
              <w:t xml:space="preserve">55.6</w:t>
            </w:r>
          </w:p>
        </w:tc>
        <w:tc>
          <w:tcPr>
            <w:tcW w:w="1095" w:type="dxa"/>
          </w:tcPr>
          <w:p>
            <w:pPr>
              <w:pStyle w:val="29"/>
            </w:pPr>
            <w:r>
              <w:rPr>
                <w:rFonts w:hint="eastAsia"/>
              </w:rPr>
              <w:t xml:space="preserve">5.6</w:t>
            </w:r>
          </w:p>
        </w:tc>
        <w:tc>
          <w:tcPr>
            <w:tcW w:w="1095" w:type="dxa"/>
          </w:tcPr>
          <w:p>
            <w:pPr>
              <w:pStyle w:val="29"/>
            </w:pPr>
            <w:r>
              <w:rPr>
                <w:rFonts w:hint="eastAsia"/>
              </w:rPr>
              <w:t xml:space="preserve">27.8</w:t>
            </w:r>
          </w:p>
        </w:tc>
        <w:tc>
          <w:tcPr>
            <w:tcW w:w="1095" w:type="dxa"/>
          </w:tcPr>
          <w:p>
            <w:pPr>
              <w:pStyle w:val="29"/>
            </w:pPr>
            <w:r>
              <w:rPr>
                <w:rFonts w:hint="eastAsia"/>
              </w:rPr>
              <w:t xml:space="preserve">0.0</w:t>
            </w:r>
          </w:p>
        </w:tc>
        <w:tc>
          <w:tcPr>
            <w:tcW w:w="1095" w:type="dxa"/>
          </w:tcPr>
          <w:p>
            <w:pPr>
              <w:pStyle w:val="29"/>
            </w:pPr>
            <w:r>
              <w:rPr>
                <w:rFonts w:hint="eastAsia"/>
              </w:rPr>
              <w:t xml:space="preserve">11.1</w:t>
            </w:r>
          </w:p>
        </w:tc>
      </w:tr>
      <w:tr>
        <w:tc>
          <w:tcPr>
            <w:tcW w:w="1095" w:type="dxa"/>
          </w:tcPr>
          <w:p>
            <w:pPr>
              <w:pStyle w:val="29"/>
            </w:pPr>
          </w:p>
        </w:tc>
        <w:tc>
          <w:tcPr>
            <w:tcW w:w="1095" w:type="dxa"/>
          </w:tcPr>
          <w:p>
            <w:pPr>
              <w:pStyle w:val="29"/>
            </w:pPr>
          </w:p>
        </w:tc>
        <w:tc>
          <w:tcPr>
            <w:tcW w:w="1095" w:type="dxa"/>
          </w:tcPr>
          <w:p>
            <w:pPr>
              <w:pStyle w:val="29"/>
            </w:pPr>
            <w:r>
              <w:rPr>
                <w:rFonts w:hint="eastAsia"/>
              </w:rPr>
              <w:t xml:space="preserve">文件等权</w:t>
            </w:r>
          </w:p>
        </w:tc>
        <w:tc>
          <w:tcPr>
            <w:tcW w:w="1095" w:type="dxa"/>
          </w:tcPr>
          <w:p>
            <w:pPr>
              <w:pStyle w:val="29"/>
            </w:pPr>
            <w:r>
              <w:rPr>
                <w:rFonts w:hint="eastAsia"/>
              </w:rPr>
              <w:t xml:space="preserve">41.3</w:t>
            </w:r>
          </w:p>
        </w:tc>
        <w:tc>
          <w:tcPr>
            <w:tcW w:w="1095" w:type="dxa"/>
          </w:tcPr>
          <w:p>
            <w:pPr>
              <w:pStyle w:val="29"/>
            </w:pPr>
            <w:r>
              <w:rPr>
                <w:rFonts w:hint="eastAsia"/>
              </w:rPr>
              <w:t xml:space="preserve">7.1</w:t>
            </w:r>
          </w:p>
        </w:tc>
        <w:tc>
          <w:tcPr>
            <w:tcW w:w="1095" w:type="dxa"/>
          </w:tcPr>
          <w:p>
            <w:pPr>
              <w:pStyle w:val="29"/>
            </w:pPr>
            <w:r>
              <w:rPr>
                <w:rFonts w:hint="eastAsia"/>
              </w:rPr>
              <w:t xml:space="preserve">35.7</w:t>
            </w:r>
          </w:p>
        </w:tc>
        <w:tc>
          <w:tcPr>
            <w:tcW w:w="1095" w:type="dxa"/>
          </w:tcPr>
          <w:p>
            <w:pPr>
              <w:pStyle w:val="29"/>
            </w:pPr>
            <w:r>
              <w:rPr>
                <w:rFonts w:hint="eastAsia"/>
              </w:rPr>
              <w:t xml:space="preserve">0.0</w:t>
            </w:r>
          </w:p>
        </w:tc>
        <w:tc>
          <w:tcPr>
            <w:tcW w:w="1095" w:type="dxa"/>
          </w:tcPr>
          <w:p>
            <w:pPr>
              <w:pStyle w:val="29"/>
            </w:pPr>
            <w:r>
              <w:rPr>
                <w:rFonts w:hint="eastAsia"/>
              </w:rPr>
              <w:t xml:space="preserve">15.9</w:t>
            </w:r>
          </w:p>
        </w:tc>
      </w:tr>
    </w:tbl>
    <w:p>
      <w:pPr>
        <w:pStyle w:val="62"/>
      </w:pPr>
      <w:r>
        <w:rPr>
          <w:rFonts w:hint="eastAsia"/>
        </w:rPr>
        <w:t xml:space="preserve">注：单位为%。句次加总指以部门全部文件的命中句次计算占比；文件等权指先计算每份文件的占比再取算术平均，无命中句次的文件不计入。国务院仅2份文件，未列入。资料来源：作者计算。</w:t>
      </w:r>
    </w:p>
    <w:p>
      <w:pPr>
        <w:pStyle w:val="4"/>
      </w:pPr>
      <w:r>
        <w:rPr>
          <w:rFonts w:hint="eastAsia"/>
        </w:rPr>
        <w:t xml:space="preserve">4.3 专家访谈设计</w:t>
      </w:r>
    </w:p>
    <w:p>
      <w:pPr>
        <w:pStyle w:val="28"/>
      </w:pPr>
      <w:r>
        <w:rPr>
          <w:rFonts w:hint="eastAsia"/>
        </w:rPr>
        <w:t xml:space="preserve">为避免单一数据来源的偏差，本文采用数据来源三角验证，以专家访谈资料检验和解释文本编码结果。三角验证指使用多种方法或数据来源形成对研究现象的全面理解，也被视为通过不同来源信息的汇合检验效度的策略（Carter等 2014</w:t>
      </w:r>
      <w:r>
        <w:rPr>
          <w:rFonts w:hint="eastAsia"/>
          <w:vertAlign w:val="superscript"/>
        </w:rPr>
        <w:t xml:space="preserve">[41]</w:t>
      </w:r>
      <w:r>
        <w:rPr>
          <w:rFonts w:hint="eastAsia"/>
        </w:rPr>
        <w:t xml:space="preserve">）。课题组于2025年2月至6月开展3场专家研讨会和2场半结构化一对一深度访谈。研讨会与会者包括医保管理部门、宏观管理部门、行业协会、精算与投资机构及创新药企业市场准入部门的专家共13名；一对一访谈对象为高校药事管理领域资深专家和医保评审领域专家各1名，两位均长期参与国家医保药品目录评审、谈判或药品临床综合评价工作。药监局专家未能安排一对一访谈，相关评价标准信息以研讨会交流和药审中心公开技术文件补充。</w:t>
      </w:r>
    </w:p>
    <w:p>
      <w:pPr>
        <w:pStyle w:val="3"/>
      </w:pPr>
      <w:r>
        <w:rPr>
          <w:rFonts w:hint="eastAsia"/>
        </w:rPr>
        <w:t xml:space="preserve">访谈围绕“创新”的界定与判据、证据类型与充分性标准、评价维度的权重考量三个主题展开，提纲依据“制度逻辑—组织注意力”分析框架设计，并经2025年5月课题研讨会讨论修订。访谈与研讨经参与者同意后记录整理，形成纪要与转录文本约6.2万字，由两名研究人员分别整理并交叉核对，按三个主题归纳。访谈资料用于两个方面：一是检验和解释文本编码结果；二是结合政策条文，识别三部门在创新定义、证据要求和价值衡量上的评价标准。词典全表、LLM编码参数与提示词及访谈提纲见附录A。</w:t>
      </w:r>
    </w:p>
    <w:p>
      <w:pPr>
        <w:pStyle w:val="2"/>
      </w:pPr>
      <w:r>
        <w:rPr>
          <w:rFonts w:hint="eastAsia"/>
        </w:rPr>
        <w:t xml:space="preserve">5 政策文本比较分析</w:t>
      </w:r>
    </w:p>
    <w:p>
      <w:pPr>
        <w:pStyle w:val="4"/>
      </w:pPr>
      <w:r>
        <w:rPr>
          <w:rFonts w:hint="eastAsia"/>
        </w:rPr>
        <w:t xml:space="preserve">5.1 三部门的注意力配置差异</w:t>
      </w:r>
    </w:p>
    <w:p>
      <w:pPr>
        <w:pStyle w:val="28"/>
      </w:pPr>
      <w:r>
        <w:rPr>
          <w:rFonts w:hint="eastAsia"/>
        </w:rPr>
        <w:t xml:space="preserve">表4报告了词典编码、按句次加总测算口径下各部门的命中句次与注意力占比，图2以雷达图呈现三部门的注意力配置。</w:t>
      </w:r>
    </w:p>
    <w:p>
      <w:pPr>
        <w:pStyle w:val="60"/>
      </w:pPr>
      <w:r>
        <w:rPr>
          <w:rFonts w:hint="eastAsia"/>
        </w:rPr>
        <w:t xml:space="preserve">表4 各部门评价维度命中句次与注意力占比</w:t>
      </w:r>
    </w:p>
    <w:p>
      <w:pPr>
        <w:pStyle w:val="60"/>
      </w:pPr>
      <w:r>
        <w:rPr>
          <w:rFonts w:hint="eastAsia"/>
        </w:rPr>
        <w:t xml:space="preserve">Table 4 Sentence Hits and Attention Shares by Evaluation Dimension</w:t>
      </w:r>
    </w:p>
    <w:tbl>
      <w:tblPr>
        <w:tblStyle w:val="46"/>
        <w:tblW w:w="5000" w:type="pct"/>
        <w:tblInd w:w="0" w:type="dxa"/>
        <w:tblBorders>
          <w:top w:val="single" w:color="000000" w:sz="8" w:space="0"/>
          <w:left w:val="single" w:color="000000" w:sz="4" w:space="0"/>
          <w:bottom w:val="single" w:color="000000" w:sz="8" w:space="0"/>
          <w:right w:val="single" w:color="000000" w:sz="4" w:space="0"/>
          <w:insideH w:val="single" w:color="000000" w:sz="4" w:space="0"/>
          <w:insideV w:val="single" w:color="000000" w:sz="4" w:space="0"/>
        </w:tblBorders>
        <w:tblLayout w:type="fixed"/>
        <w:tblCellMar>
          <w:top w:w="30" w:type="dxa"/>
          <w:left w:w="60" w:type="dxa"/>
          <w:bottom w:w="30" w:type="dxa"/>
          <w:right w:w="60" w:type="dxa"/>
        </w:tblCellMar>
      </w:tblPr>
      <w:tblGrid>
        <w:gridCol w:w="1095"/>
        <w:gridCol w:w="1095"/>
        <w:gridCol w:w="1095"/>
        <w:gridCol w:w="1095"/>
        <w:gridCol w:w="1095"/>
        <w:gridCol w:w="1095"/>
        <w:gridCol w:w="1095"/>
        <w:gridCol w:w="1095"/>
      </w:tblGrid>
      <w:tr>
        <w:trPr>
          <w:tblHeader/>
        </w:trPr>
        <w:tc>
          <w:tcPr>
            <w:tcW w:w="1095" w:type="dxa"/>
          </w:tcPr>
          <w:p>
            <w:pPr>
              <w:pStyle w:val="29"/>
            </w:pPr>
            <w:r>
              <w:rPr>
                <w:rFonts w:hint="eastAsia"/>
              </w:rPr>
              <w:t xml:space="preserve">部门</w:t>
            </w:r>
          </w:p>
        </w:tc>
        <w:tc>
          <w:tcPr>
            <w:tcW w:w="1095" w:type="dxa"/>
          </w:tcPr>
          <w:p>
            <w:pPr>
              <w:pStyle w:val="29"/>
            </w:pPr>
            <w:r>
              <w:rPr>
                <w:rFonts w:hint="eastAsia"/>
              </w:rPr>
              <w:t xml:space="preserve">文件数</w:t>
            </w:r>
          </w:p>
        </w:tc>
        <w:tc>
          <w:tcPr>
            <w:tcW w:w="1095" w:type="dxa"/>
          </w:tcPr>
          <w:p>
            <w:pPr>
              <w:pStyle w:val="29"/>
            </w:pPr>
            <w:r>
              <w:rPr>
                <w:rFonts w:hint="eastAsia"/>
              </w:rPr>
              <w:t xml:space="preserve">安全性</w:t>
            </w:r>
          </w:p>
        </w:tc>
        <w:tc>
          <w:tcPr>
            <w:tcW w:w="1095" w:type="dxa"/>
          </w:tcPr>
          <w:p>
            <w:pPr>
              <w:pStyle w:val="29"/>
            </w:pPr>
            <w:r>
              <w:rPr>
                <w:rFonts w:hint="eastAsia"/>
              </w:rPr>
              <w:t xml:space="preserve">有效性</w:t>
            </w:r>
          </w:p>
        </w:tc>
        <w:tc>
          <w:tcPr>
            <w:tcW w:w="1095" w:type="dxa"/>
          </w:tcPr>
          <w:p>
            <w:pPr>
              <w:pStyle w:val="29"/>
            </w:pPr>
            <w:r>
              <w:rPr>
                <w:rFonts w:hint="eastAsia"/>
              </w:rPr>
              <w:t xml:space="preserve">经济性</w:t>
            </w:r>
          </w:p>
        </w:tc>
        <w:tc>
          <w:tcPr>
            <w:tcW w:w="1095" w:type="dxa"/>
          </w:tcPr>
          <w:p>
            <w:pPr>
              <w:pStyle w:val="29"/>
            </w:pPr>
            <w:r>
              <w:rPr>
                <w:rFonts w:hint="eastAsia"/>
              </w:rPr>
              <w:t xml:space="preserve">创新性</w:t>
            </w:r>
          </w:p>
        </w:tc>
        <w:tc>
          <w:tcPr>
            <w:tcW w:w="1095" w:type="dxa"/>
          </w:tcPr>
          <w:p>
            <w:pPr>
              <w:pStyle w:val="29"/>
            </w:pPr>
            <w:r>
              <w:rPr>
                <w:rFonts w:hint="eastAsia"/>
              </w:rPr>
              <w:t xml:space="preserve">公平性</w:t>
            </w:r>
          </w:p>
        </w:tc>
        <w:tc>
          <w:tcPr>
            <w:tcW w:w="1095" w:type="dxa"/>
          </w:tcPr>
          <w:p>
            <w:pPr>
              <w:pStyle w:val="29"/>
            </w:pPr>
            <w:r>
              <w:rPr>
                <w:rFonts w:hint="eastAsia"/>
              </w:rPr>
              <w:t xml:space="preserve">合计</w:t>
            </w:r>
          </w:p>
        </w:tc>
      </w:tr>
      <w:tr>
        <w:tc>
          <w:tcPr>
            <w:tcW w:w="1095" w:type="dxa"/>
          </w:tcPr>
          <w:p>
            <w:pPr>
              <w:pStyle w:val="29"/>
            </w:pPr>
            <w:r>
              <w:rPr>
                <w:rFonts w:hint="eastAsia"/>
              </w:rPr>
              <w:t xml:space="preserve">药监局</w:t>
            </w:r>
          </w:p>
        </w:tc>
        <w:tc>
          <w:tcPr>
            <w:tcW w:w="1095" w:type="dxa"/>
          </w:tcPr>
          <w:p>
            <w:pPr>
              <w:pStyle w:val="29"/>
            </w:pPr>
            <w:r>
              <w:rPr>
                <w:rFonts w:hint="eastAsia"/>
              </w:rPr>
              <w:t xml:space="preserve">19</w:t>
            </w:r>
          </w:p>
        </w:tc>
        <w:tc>
          <w:tcPr>
            <w:tcW w:w="1095" w:type="dxa"/>
          </w:tcPr>
          <w:p>
            <w:pPr>
              <w:pStyle w:val="29"/>
            </w:pPr>
            <w:r>
              <w:rPr>
                <w:rFonts w:hint="eastAsia"/>
              </w:rPr>
              <w:t xml:space="preserve">205（46.7）</w:t>
            </w:r>
          </w:p>
        </w:tc>
        <w:tc>
          <w:tcPr>
            <w:tcW w:w="1095" w:type="dxa"/>
          </w:tcPr>
          <w:p>
            <w:pPr>
              <w:pStyle w:val="29"/>
            </w:pPr>
            <w:r>
              <w:rPr>
                <w:rFonts w:hint="eastAsia"/>
              </w:rPr>
              <w:t xml:space="preserve">107（24.4）</w:t>
            </w:r>
          </w:p>
        </w:tc>
        <w:tc>
          <w:tcPr>
            <w:tcW w:w="1095" w:type="dxa"/>
          </w:tcPr>
          <w:p>
            <w:pPr>
              <w:pStyle w:val="29"/>
            </w:pPr>
            <w:r>
              <w:rPr>
                <w:rFonts w:hint="eastAsia"/>
              </w:rPr>
              <w:t xml:space="preserve">3（0.7）</w:t>
            </w:r>
          </w:p>
        </w:tc>
        <w:tc>
          <w:tcPr>
            <w:tcW w:w="1095" w:type="dxa"/>
          </w:tcPr>
          <w:p>
            <w:pPr>
              <w:pStyle w:val="29"/>
            </w:pPr>
            <w:r>
              <w:rPr>
                <w:rFonts w:hint="eastAsia"/>
              </w:rPr>
              <w:t xml:space="preserve">97（22.1）</w:t>
            </w:r>
          </w:p>
        </w:tc>
        <w:tc>
          <w:tcPr>
            <w:tcW w:w="1095" w:type="dxa"/>
          </w:tcPr>
          <w:p>
            <w:pPr>
              <w:pStyle w:val="29"/>
            </w:pPr>
            <w:r>
              <w:rPr>
                <w:rFonts w:hint="eastAsia"/>
              </w:rPr>
              <w:t xml:space="preserve">27（6.2）</w:t>
            </w:r>
          </w:p>
        </w:tc>
        <w:tc>
          <w:tcPr>
            <w:tcW w:w="1095" w:type="dxa"/>
          </w:tcPr>
          <w:p>
            <w:pPr>
              <w:pStyle w:val="29"/>
            </w:pPr>
            <w:r>
              <w:rPr>
                <w:rFonts w:hint="eastAsia"/>
              </w:rPr>
              <w:t xml:space="preserve">439</w:t>
            </w:r>
          </w:p>
        </w:tc>
      </w:tr>
      <w:tr>
        <w:tc>
          <w:tcPr>
            <w:tcW w:w="1095" w:type="dxa"/>
          </w:tcPr>
          <w:p>
            <w:pPr>
              <w:pStyle w:val="29"/>
            </w:pPr>
            <w:r>
              <w:rPr>
                <w:rFonts w:hint="eastAsia"/>
              </w:rPr>
              <w:t xml:space="preserve">医保局</w:t>
            </w:r>
          </w:p>
        </w:tc>
        <w:tc>
          <w:tcPr>
            <w:tcW w:w="1095" w:type="dxa"/>
          </w:tcPr>
          <w:p>
            <w:pPr>
              <w:pStyle w:val="29"/>
            </w:pPr>
            <w:r>
              <w:rPr>
                <w:rFonts w:hint="eastAsia"/>
              </w:rPr>
              <w:t xml:space="preserve">24</w:t>
            </w:r>
          </w:p>
        </w:tc>
        <w:tc>
          <w:tcPr>
            <w:tcW w:w="1095" w:type="dxa"/>
          </w:tcPr>
          <w:p>
            <w:pPr>
              <w:pStyle w:val="29"/>
            </w:pPr>
            <w:r>
              <w:rPr>
                <w:rFonts w:hint="eastAsia"/>
              </w:rPr>
              <w:t xml:space="preserve">30（4.2）</w:t>
            </w:r>
          </w:p>
        </w:tc>
        <w:tc>
          <w:tcPr>
            <w:tcW w:w="1095" w:type="dxa"/>
          </w:tcPr>
          <w:p>
            <w:pPr>
              <w:pStyle w:val="29"/>
            </w:pPr>
            <w:r>
              <w:rPr>
                <w:rFonts w:hint="eastAsia"/>
              </w:rPr>
              <w:t xml:space="preserve">42（5.9）</w:t>
            </w:r>
          </w:p>
        </w:tc>
        <w:tc>
          <w:tcPr>
            <w:tcW w:w="1095" w:type="dxa"/>
          </w:tcPr>
          <w:p>
            <w:pPr>
              <w:pStyle w:val="29"/>
            </w:pPr>
            <w:r>
              <w:rPr>
                <w:rFonts w:hint="eastAsia"/>
              </w:rPr>
              <w:t xml:space="preserve">430（60.4）</w:t>
            </w:r>
          </w:p>
        </w:tc>
        <w:tc>
          <w:tcPr>
            <w:tcW w:w="1095" w:type="dxa"/>
          </w:tcPr>
          <w:p>
            <w:pPr>
              <w:pStyle w:val="29"/>
            </w:pPr>
            <w:r>
              <w:rPr>
                <w:rFonts w:hint="eastAsia"/>
              </w:rPr>
              <w:t xml:space="preserve">134（18.8）</w:t>
            </w:r>
          </w:p>
        </w:tc>
        <w:tc>
          <w:tcPr>
            <w:tcW w:w="1095" w:type="dxa"/>
          </w:tcPr>
          <w:p>
            <w:pPr>
              <w:pStyle w:val="29"/>
            </w:pPr>
            <w:r>
              <w:rPr>
                <w:rFonts w:hint="eastAsia"/>
              </w:rPr>
              <w:t xml:space="preserve">76（10.7）</w:t>
            </w:r>
          </w:p>
        </w:tc>
        <w:tc>
          <w:tcPr>
            <w:tcW w:w="1095" w:type="dxa"/>
          </w:tcPr>
          <w:p>
            <w:pPr>
              <w:pStyle w:val="29"/>
            </w:pPr>
            <w:r>
              <w:rPr>
                <w:rFonts w:hint="eastAsia"/>
              </w:rPr>
              <w:t xml:space="preserve">712</w:t>
            </w:r>
          </w:p>
        </w:tc>
      </w:tr>
      <w:tr>
        <w:tc>
          <w:tcPr>
            <w:tcW w:w="1095" w:type="dxa"/>
          </w:tcPr>
          <w:p>
            <w:pPr>
              <w:pStyle w:val="29"/>
            </w:pPr>
            <w:r>
              <w:rPr>
                <w:rFonts w:hint="eastAsia"/>
              </w:rPr>
              <w:t xml:space="preserve">卫健委</w:t>
            </w:r>
          </w:p>
        </w:tc>
        <w:tc>
          <w:tcPr>
            <w:tcW w:w="1095" w:type="dxa"/>
          </w:tcPr>
          <w:p>
            <w:pPr>
              <w:pStyle w:val="29"/>
            </w:pPr>
            <w:r>
              <w:rPr>
                <w:rFonts w:hint="eastAsia"/>
              </w:rPr>
              <w:t xml:space="preserve">10</w:t>
            </w:r>
          </w:p>
        </w:tc>
        <w:tc>
          <w:tcPr>
            <w:tcW w:w="1095" w:type="dxa"/>
          </w:tcPr>
          <w:p>
            <w:pPr>
              <w:pStyle w:val="29"/>
            </w:pPr>
            <w:r>
              <w:rPr>
                <w:rFonts w:hint="eastAsia"/>
              </w:rPr>
              <w:t xml:space="preserve">10（40.0）</w:t>
            </w:r>
          </w:p>
        </w:tc>
        <w:tc>
          <w:tcPr>
            <w:tcW w:w="1095" w:type="dxa"/>
          </w:tcPr>
          <w:p>
            <w:pPr>
              <w:pStyle w:val="29"/>
            </w:pPr>
            <w:r>
              <w:rPr>
                <w:rFonts w:hint="eastAsia"/>
              </w:rPr>
              <w:t xml:space="preserve">5（20.0）</w:t>
            </w:r>
          </w:p>
        </w:tc>
        <w:tc>
          <w:tcPr>
            <w:tcW w:w="1095" w:type="dxa"/>
          </w:tcPr>
          <w:p>
            <w:pPr>
              <w:pStyle w:val="29"/>
            </w:pPr>
            <w:r>
              <w:rPr>
                <w:rFonts w:hint="eastAsia"/>
              </w:rPr>
              <w:t xml:space="preserve">6（24.0）</w:t>
            </w:r>
          </w:p>
        </w:tc>
        <w:tc>
          <w:tcPr>
            <w:tcW w:w="1095" w:type="dxa"/>
          </w:tcPr>
          <w:p>
            <w:pPr>
              <w:pStyle w:val="29"/>
            </w:pPr>
            <w:r>
              <w:rPr>
                <w:rFonts w:hint="eastAsia"/>
              </w:rPr>
              <w:t xml:space="preserve">1（4.0）</w:t>
            </w:r>
          </w:p>
        </w:tc>
        <w:tc>
          <w:tcPr>
            <w:tcW w:w="1095" w:type="dxa"/>
          </w:tcPr>
          <w:p>
            <w:pPr>
              <w:pStyle w:val="29"/>
            </w:pPr>
            <w:r>
              <w:rPr>
                <w:rFonts w:hint="eastAsia"/>
              </w:rPr>
              <w:t xml:space="preserve">3（12.0）</w:t>
            </w:r>
          </w:p>
        </w:tc>
        <w:tc>
          <w:tcPr>
            <w:tcW w:w="1095" w:type="dxa"/>
          </w:tcPr>
          <w:p>
            <w:pPr>
              <w:pStyle w:val="29"/>
            </w:pPr>
            <w:r>
              <w:rPr>
                <w:rFonts w:hint="eastAsia"/>
              </w:rPr>
              <w:t xml:space="preserve">25</w:t>
            </w:r>
          </w:p>
        </w:tc>
      </w:tr>
      <w:tr>
        <w:tc>
          <w:tcPr>
            <w:tcW w:w="1095" w:type="dxa"/>
          </w:tcPr>
          <w:p>
            <w:pPr>
              <w:pStyle w:val="29"/>
            </w:pPr>
            <w:r>
              <w:rPr>
                <w:rFonts w:hint="eastAsia"/>
              </w:rPr>
              <w:t xml:space="preserve">国务院</w:t>
            </w:r>
          </w:p>
        </w:tc>
        <w:tc>
          <w:tcPr>
            <w:tcW w:w="1095" w:type="dxa"/>
          </w:tcPr>
          <w:p>
            <w:pPr>
              <w:pStyle w:val="29"/>
            </w:pPr>
            <w:r>
              <w:rPr>
                <w:rFonts w:hint="eastAsia"/>
              </w:rPr>
              <w:t xml:space="preserve">2</w:t>
            </w:r>
          </w:p>
        </w:tc>
        <w:tc>
          <w:tcPr>
            <w:tcW w:w="1095" w:type="dxa"/>
          </w:tcPr>
          <w:p>
            <w:pPr>
              <w:pStyle w:val="29"/>
            </w:pPr>
            <w:r>
              <w:rPr>
                <w:rFonts w:hint="eastAsia"/>
              </w:rPr>
              <w:t xml:space="preserve">1（2.3）</w:t>
            </w:r>
          </w:p>
        </w:tc>
        <w:tc>
          <w:tcPr>
            <w:tcW w:w="1095" w:type="dxa"/>
          </w:tcPr>
          <w:p>
            <w:pPr>
              <w:pStyle w:val="29"/>
            </w:pPr>
            <w:r>
              <w:rPr>
                <w:rFonts w:hint="eastAsia"/>
              </w:rPr>
              <w:t xml:space="preserve">2（4.7）</w:t>
            </w:r>
          </w:p>
        </w:tc>
        <w:tc>
          <w:tcPr>
            <w:tcW w:w="1095" w:type="dxa"/>
          </w:tcPr>
          <w:p>
            <w:pPr>
              <w:pStyle w:val="29"/>
            </w:pPr>
            <w:r>
              <w:rPr>
                <w:rFonts w:hint="eastAsia"/>
              </w:rPr>
              <w:t xml:space="preserve">21（48.8）</w:t>
            </w:r>
          </w:p>
        </w:tc>
        <w:tc>
          <w:tcPr>
            <w:tcW w:w="1095" w:type="dxa"/>
          </w:tcPr>
          <w:p>
            <w:pPr>
              <w:pStyle w:val="29"/>
            </w:pPr>
            <w:r>
              <w:rPr>
                <w:rFonts w:hint="eastAsia"/>
              </w:rPr>
              <w:t xml:space="preserve">5（11.6）</w:t>
            </w:r>
          </w:p>
        </w:tc>
        <w:tc>
          <w:tcPr>
            <w:tcW w:w="1095" w:type="dxa"/>
          </w:tcPr>
          <w:p>
            <w:pPr>
              <w:pStyle w:val="29"/>
            </w:pPr>
            <w:r>
              <w:rPr>
                <w:rFonts w:hint="eastAsia"/>
              </w:rPr>
              <w:t xml:space="preserve">14（32.6）</w:t>
            </w:r>
          </w:p>
        </w:tc>
        <w:tc>
          <w:tcPr>
            <w:tcW w:w="1095" w:type="dxa"/>
          </w:tcPr>
          <w:p>
            <w:pPr>
              <w:pStyle w:val="29"/>
            </w:pPr>
            <w:r>
              <w:rPr>
                <w:rFonts w:hint="eastAsia"/>
              </w:rPr>
              <w:t xml:space="preserve">43</w:t>
            </w:r>
          </w:p>
        </w:tc>
      </w:tr>
      <w:tr>
        <w:tc>
          <w:tcPr>
            <w:tcW w:w="1095" w:type="dxa"/>
          </w:tcPr>
          <w:p>
            <w:pPr>
              <w:pStyle w:val="29"/>
            </w:pPr>
            <w:r>
              <w:rPr>
                <w:rFonts w:hint="eastAsia"/>
              </w:rPr>
              <w:t xml:space="preserve">合计</w:t>
            </w:r>
          </w:p>
        </w:tc>
        <w:tc>
          <w:tcPr>
            <w:tcW w:w="1095" w:type="dxa"/>
          </w:tcPr>
          <w:p>
            <w:pPr>
              <w:pStyle w:val="29"/>
            </w:pPr>
            <w:r>
              <w:rPr>
                <w:rFonts w:hint="eastAsia"/>
              </w:rPr>
              <w:t xml:space="preserve">55</w:t>
            </w:r>
          </w:p>
        </w:tc>
        <w:tc>
          <w:tcPr>
            <w:tcW w:w="1095" w:type="dxa"/>
          </w:tcPr>
          <w:p>
            <w:pPr>
              <w:pStyle w:val="29"/>
            </w:pPr>
            <w:r>
              <w:rPr>
                <w:rFonts w:hint="eastAsia"/>
              </w:rPr>
              <w:t xml:space="preserve">246（20.2）</w:t>
            </w:r>
          </w:p>
        </w:tc>
        <w:tc>
          <w:tcPr>
            <w:tcW w:w="1095" w:type="dxa"/>
          </w:tcPr>
          <w:p>
            <w:pPr>
              <w:pStyle w:val="29"/>
            </w:pPr>
            <w:r>
              <w:rPr>
                <w:rFonts w:hint="eastAsia"/>
              </w:rPr>
              <w:t xml:space="preserve">156（12.8）</w:t>
            </w:r>
          </w:p>
        </w:tc>
        <w:tc>
          <w:tcPr>
            <w:tcW w:w="1095" w:type="dxa"/>
          </w:tcPr>
          <w:p>
            <w:pPr>
              <w:pStyle w:val="29"/>
            </w:pPr>
            <w:r>
              <w:rPr>
                <w:rFonts w:hint="eastAsia"/>
              </w:rPr>
              <w:t xml:space="preserve">460（37.7）</w:t>
            </w:r>
          </w:p>
        </w:tc>
        <w:tc>
          <w:tcPr>
            <w:tcW w:w="1095" w:type="dxa"/>
          </w:tcPr>
          <w:p>
            <w:pPr>
              <w:pStyle w:val="29"/>
            </w:pPr>
            <w:r>
              <w:rPr>
                <w:rFonts w:hint="eastAsia"/>
              </w:rPr>
              <w:t xml:space="preserve">237（19.4）</w:t>
            </w:r>
          </w:p>
        </w:tc>
        <w:tc>
          <w:tcPr>
            <w:tcW w:w="1095" w:type="dxa"/>
          </w:tcPr>
          <w:p>
            <w:pPr>
              <w:pStyle w:val="29"/>
            </w:pPr>
            <w:r>
              <w:rPr>
                <w:rFonts w:hint="eastAsia"/>
              </w:rPr>
              <w:t xml:space="preserve">120（9.8）</w:t>
            </w:r>
          </w:p>
        </w:tc>
        <w:tc>
          <w:tcPr>
            <w:tcW w:w="1095" w:type="dxa"/>
          </w:tcPr>
          <w:p>
            <w:pPr>
              <w:pStyle w:val="29"/>
            </w:pPr>
            <w:r>
              <w:rPr>
                <w:rFonts w:hint="eastAsia"/>
              </w:rPr>
              <w:t xml:space="preserve">1219</w:t>
            </w:r>
          </w:p>
        </w:tc>
      </w:tr>
    </w:tbl>
    <w:p>
      <w:pPr>
        <w:pStyle w:val="62"/>
      </w:pPr>
      <w:r>
        <w:rPr>
          <w:rFonts w:hint="eastAsia"/>
        </w:rPr>
        <w:t xml:space="preserve">注：括号内为注意力占比（%），测算口径为词典编码、按句次加总。资料来源：作者计算。</w:t>
      </w:r>
    </w:p>
    <w:p w14:paraId="16C2EB6C">
      <w:pPr>
        <w:pStyle w:val="61"/>
      </w:pPr>
      <w:r>
        <w:drawing>
          <wp:inline distT="0" distB="0" distL="114300" distR="114300">
            <wp:extent cx="3963035" cy="4112895"/>
            <wp:effectExtent l="0" t="0" r="0" b="0"/>
            <wp:docPr id="27" name="Picture"/>
            <wp:cNvGraphicFramePr>
              <a:graphicFrameLocks noChangeAspect="1"/>
            </wp:cNvGraphicFramePr>
            <a:graphic>
              <a:graphicData uri="http://schemas.openxmlformats.org/drawingml/2006/picture">
                <pic:pic>
                  <pic:nvPicPr>
                    <pic:cNvPr id="27" name="Picture"/>
                    <pic:cNvPicPr>
                      <a:picLocks noChangeAspect="1" noChangeArrowheads="1"/>
                    </pic:cNvPicPr>
                  </pic:nvPicPr>
                  <pic:blipFill>
                    <a:blip r:embed="rId9"/>
                    <a:stretch>
                      <a:fillRect/>
                    </a:stretch>
                  </pic:blipFill>
                  <pic:spPr>
                    <a:xfrm>
                      <a:off x="0" y="0"/>
                      <a:ext cx="3963419" cy="4113270"/>
                    </a:xfrm>
                    <a:prstGeom prst="rect">
                      <a:avLst/>
                    </a:prstGeom>
                    <a:noFill/>
                    <a:ln w="9525">
                      <a:noFill/>
                    </a:ln>
                  </pic:spPr>
                </pic:pic>
              </a:graphicData>
            </a:graphic>
          </wp:inline>
        </w:drawing>
      </w:r>
    </w:p>
    <w:p>
      <w:pPr>
        <w:pStyle w:val="60"/>
      </w:pPr>
      <w:r>
        <w:rPr>
          <w:rFonts w:hint="eastAsia"/>
        </w:rPr>
        <w:t xml:space="preserve">图2 三部门评价维度注意力占比雷达图</w:t>
      </w:r>
    </w:p>
    <w:p>
      <w:pPr>
        <w:pStyle w:val="60"/>
      </w:pPr>
      <w:r>
        <w:rPr>
          <w:rFonts w:hint="eastAsia"/>
        </w:rPr>
        <w:t xml:space="preserve">Figure 2 Radar Chart of Attention Shares across the Three Authorities</w:t>
      </w:r>
    </w:p>
    <w:p>
      <w:pPr>
        <w:pStyle w:val="62"/>
      </w:pPr>
      <w:r>
        <w:rPr>
          <w:rFonts w:hint="eastAsia"/>
        </w:rPr>
        <w:t xml:space="preserve">资料来源：根据表4绘制。</w:t>
      </w:r>
    </w:p>
    <w:p>
      <w:pPr>
        <w:pStyle w:val="3"/>
      </w:pPr>
      <w:r>
        <w:rPr>
          <w:rFonts w:hint="eastAsia"/>
        </w:rPr>
        <w:t xml:space="preserve">医保局以经济性为主导，经济性占比为60.4%；其创新性占比（18.8%）高于安全性（4.2%）和有效性（5.9%）。医保局的创新性命中句次63.4%来自《支持创新药高质量发展的若干措施》</w:t>
      </w:r>
      <w:r>
        <w:rPr>
          <w:rFonts w:hint="eastAsia"/>
          <w:vertAlign w:val="superscript"/>
        </w:rPr>
        <w:t xml:space="preserve">[42]</w:t>
      </w:r>
      <w:r>
        <w:rPr>
          <w:rFonts w:hint="eastAsia"/>
        </w:rPr>
        <w:t xml:space="preserve">和《国家基本医疗保险、生育保险和工伤保险药品目录及商业健康保险创新药品目录调整常用问答（2026年版）》</w:t>
      </w:r>
      <w:r>
        <w:rPr>
          <w:rFonts w:hint="eastAsia"/>
          <w:vertAlign w:val="superscript"/>
        </w:rPr>
        <w:t xml:space="preserve">[36]</w:t>
      </w:r>
      <w:r>
        <w:rPr>
          <w:rFonts w:hint="eastAsia"/>
        </w:rPr>
        <w:t xml:space="preserve">两份文件，但按文件等权计算时，其创新性占比仍不低于安全性与有效性。安全性与有效性合计仍有72句次，说明医保局文本并非不涉及安全有效，而是相对于经济性居于次要位置。药监局的注意力集中于安全性（46.7%）、有效性（24.4%）与创新性（22.1%），三者合计约九成，经济性仅占0.7%（3句次）；三个维度之间的相对次序随测算口径变化，不作实质解释。作为跨部门参照，国务院文件在经济性（48.8%）与公平性（32.6%）上的占比较高。</w:t>
      </w:r>
    </w:p>
    <w:p>
      <w:pPr>
        <w:pStyle w:val="3"/>
      </w:pPr>
      <w:r>
        <w:rPr>
          <w:rFonts w:hint="eastAsia"/>
        </w:rPr>
        <w:t xml:space="preserve">卫健委的情况需要单独说明。其纳入分析的183个句子中，命中五个评价维度的句次合计仅25次，占比在四种测算口径下波动较大，不足以支持实质解释，本文因而不对卫健委的维度占比作解释，仅将其作为使用端参照。这一结果本身提供了信息：以医保评审维度衡量，卫健委文本中可被这套维度测到的内容明显少于药监局与医保局，其文本更多涉及处方管理、合理用药与医疗质量，落在准入评价维度之外。</w:t>
      </w:r>
    </w:p>
    <w:p>
      <w:pPr>
        <w:pStyle w:val="3"/>
      </w:pPr>
      <w:r>
        <w:rPr>
          <w:rFonts w:hint="eastAsia"/>
        </w:rPr>
        <w:t xml:space="preserve">从跨部门比较看，经济性命中句次主要来自医保局文件，安全性与有效性命中句次主要来自药监局文件。创新性在药监局和医保局文件中均有较高占比，两者对“创新”的判据却不相同。</w:t>
      </w:r>
    </w:p>
    <w:p>
      <w:pPr>
        <w:pStyle w:val="4"/>
      </w:pPr>
      <w:r>
        <w:rPr>
          <w:rFonts w:hint="eastAsia"/>
        </w:rPr>
        <w:t xml:space="preserve">5.2 三部门评价标准的定义不一致</w:t>
      </w:r>
    </w:p>
    <w:p>
      <w:pPr>
        <w:pStyle w:val="28"/>
      </w:pPr>
      <w:r>
        <w:rPr>
          <w:rFonts w:hint="eastAsia"/>
        </w:rPr>
        <w:t xml:space="preserve">除注意力配置差异外，政策文本与专家访谈的交叉分析显示，三部门对同一概念的定义与评价标准也不一致（以下称定义不一致），集中于创新定义、证据要求和价值衡量三个方面，其中创新定义与证据要求的不一致主要存在于药监局与医保局之间。</w:t>
      </w:r>
    </w:p>
    <w:p>
      <w:pPr>
        <w:pStyle w:val="3"/>
      </w:pPr>
      <w:r>
        <w:rPr>
          <w:rFonts w:hint="eastAsia"/>
        </w:rPr>
        <w:t xml:space="preserve">在创新定义上，《化学药品注册分类及申报资料要求》</w:t>
      </w:r>
      <w:r>
        <w:rPr>
          <w:rFonts w:hint="eastAsia"/>
          <w:vertAlign w:val="superscript"/>
        </w:rPr>
        <w:t xml:space="preserve">[43]</w:t>
      </w:r>
      <w:r>
        <w:rPr>
          <w:rFonts w:hint="eastAsia"/>
        </w:rPr>
        <w:t xml:space="preserve">将化学药品中境内外均未上市的创新药界定为“含有新的结构明确的、具有药理作用的化合物，且具有临床价值的药品”，以化合物的新颖性为前提。受访的医保评审领域专家指出，药监局认定的一类新药在创新性上达到了很高标准，但并不意味着能够达到医保所要求的临床价值，医保更注重与目录内同一治疗领域、同一适应症药品相比的优势；受访的高校药事管理领域专家也指出，药监考核的是新化合物、新结构、新机制，医保主要考虑新药是否满足了现有产品还不能解决的健康需求。两者都涉及临床价值，但药监局要求药品具有临床价值，医保局要求药品相对于已有药品具有临床价值增量。药监局以药品作为创新药获批来认定创新，医保局以相对治疗价值来认定创新，二者分别对应Kesselheim等（2013）</w:t>
      </w:r>
      <w:r>
        <w:rPr>
          <w:rFonts w:hint="eastAsia"/>
          <w:vertAlign w:val="superscript"/>
        </w:rPr>
        <w:t xml:space="preserve">[14]</w:t>
      </w:r>
      <w:r>
        <w:rPr>
          <w:rFonts w:hint="eastAsia"/>
        </w:rPr>
        <w:t xml:space="preserve">对药物创新测量方法所归纳四类中的“获批新药数量”与“治疗价值评估”两类。同一药品因而可能在审批环节被认定为创新药，在准入环节却不被认为具有足够的临床价值增量。</w:t>
      </w:r>
    </w:p>
    <w:p>
      <w:pPr>
        <w:pStyle w:val="3"/>
      </w:pPr>
      <w:r>
        <w:rPr>
          <w:rFonts w:hint="eastAsia"/>
        </w:rPr>
        <w:t xml:space="preserve">在证据要求上，《药品注册管理办法》</w:t>
      </w:r>
      <w:r>
        <w:rPr>
          <w:rFonts w:hint="eastAsia"/>
          <w:vertAlign w:val="superscript"/>
        </w:rPr>
        <w:t xml:space="preserve">[31]</w:t>
      </w:r>
      <w:r>
        <w:rPr>
          <w:rFonts w:hint="eastAsia"/>
        </w:rPr>
        <w:t xml:space="preserve">设有突破性治疗药物、附条件批准、优先审评审批和特别审批四项加快上市注册程序。受访的高校药事管理领域专家指出，经快速通道获批的品种中，有的可能仅完成Ⅱ期临床试验即获批，试验规模为二三百至四百例，临床专家难以判断其非劣效结论的实际意义。受访的医保评审领域专家则介绍，医保局评审以与目录内药品的成本—疗效比较为最重要的评价指标，预算影响分析次之。审批环节可接受的有限证据，与准入环节对比较证据的要求之间由此形成落差。</w:t>
      </w:r>
    </w:p>
    <w:p>
      <w:pPr>
        <w:pStyle w:val="3"/>
      </w:pPr>
      <w:r>
        <w:rPr>
          <w:rFonts w:hint="eastAsia"/>
        </w:rPr>
        <w:t xml:space="preserve">在价值衡量上，受访的高校药事管理领域专家指出，医保评审中各评价维度之间的权重比例系数没有明确的绝对标准，但倾向于从健康需求出发。受访的医保评审领域专家介绍，医保局评审先将药品分为创新、提升、改进和同质四个层次，再进行经济性评价，评分主要围绕安全性、有效性和经济性展开；药监局以保证药品的安全、有效和质量可控为审评目的</w:t>
      </w:r>
      <w:r>
        <w:rPr>
          <w:rFonts w:hint="eastAsia"/>
          <w:vertAlign w:val="superscript"/>
        </w:rPr>
        <w:t xml:space="preserve">[31]</w:t>
      </w:r>
      <w:r>
        <w:rPr>
          <w:rFonts w:hint="eastAsia"/>
        </w:rPr>
        <w:t xml:space="preserve">；《管理指南》</w:t>
      </w:r>
      <w:r>
        <w:rPr>
          <w:rFonts w:hint="eastAsia"/>
          <w:vertAlign w:val="superscript"/>
        </w:rPr>
        <w:t xml:space="preserve">[33]</w:t>
      </w:r>
      <w:r>
        <w:rPr>
          <w:rFonts w:hint="eastAsia"/>
        </w:rPr>
        <w:t xml:space="preserve">则从6个维度开展综合评价。同样是衡量药品价值，三部门采用的维度范围与权重安排并不相同。</w:t>
      </w:r>
    </w:p>
    <w:p>
      <w:pPr>
        <w:pStyle w:val="4"/>
      </w:pPr>
      <w:r>
        <w:rPr>
          <w:rFonts w:hint="eastAsia"/>
        </w:rPr>
        <w:t xml:space="preserve">5.3 制度逻辑的解释</w:t>
      </w:r>
    </w:p>
    <w:p>
      <w:pPr>
        <w:pStyle w:val="28"/>
      </w:pPr>
      <w:r>
        <w:rPr>
          <w:rFonts w:hint="eastAsia"/>
        </w:rPr>
        <w:t xml:space="preserve">三部门注意力配置差异中稳健的部分与各自的制度逻辑相符。医保局以经济性为主导，对应经济—效率逻辑下“价格合理”的准入条件和提高医保基金使用效益的目标；药监局的经济性占比在三部门中最低（0.7%，3句次），注意力集中于安全性、有效性与创新性，对应科学—安全逻辑下以安全、有效和质量可控为目的的审评职责。卫健委的注意力配置未能在这套维度下得到稳定测量，与其职责重心在用药管理和医疗质量而非准入评价有关。三种逻辑并存且各有侧重，符合Greenwood等（2011）</w:t>
      </w:r>
      <w:r>
        <w:rPr>
          <w:rFonts w:hint="eastAsia"/>
          <w:vertAlign w:val="superscript"/>
        </w:rPr>
        <w:t xml:space="preserve">[26]</w:t>
      </w:r>
      <w:r>
        <w:rPr>
          <w:rFonts w:hint="eastAsia"/>
        </w:rPr>
        <w:t xml:space="preserve">所说的制度复杂性。</w:t>
      </w:r>
    </w:p>
    <w:p>
      <w:pPr>
        <w:pStyle w:val="3"/>
      </w:pPr>
      <w:r>
        <w:rPr>
          <w:rFonts w:hint="eastAsia"/>
        </w:rPr>
        <w:t xml:space="preserve">三部门的评价也有共同基础。《药品注册管理办法》</w:t>
      </w:r>
      <w:r>
        <w:rPr>
          <w:rFonts w:hint="eastAsia"/>
          <w:vertAlign w:val="superscript"/>
        </w:rPr>
        <w:t xml:space="preserve">[31]</w:t>
      </w:r>
      <w:r>
        <w:rPr>
          <w:rFonts w:hint="eastAsia"/>
        </w:rPr>
        <w:t xml:space="preserve">以保证药品安全、有效为制定目的，《暂行办法》</w:t>
      </w:r>
      <w:r>
        <w:rPr>
          <w:rFonts w:hint="eastAsia"/>
          <w:vertAlign w:val="superscript"/>
        </w:rPr>
        <w:t xml:space="preserve">[32]</w:t>
      </w:r>
      <w:r>
        <w:rPr>
          <w:rFonts w:hint="eastAsia"/>
        </w:rPr>
        <w:t xml:space="preserve">将安全有效列为药品纳入目录的基本条件之一，《管理指南》</w:t>
      </w:r>
      <w:r>
        <w:rPr>
          <w:rFonts w:hint="eastAsia"/>
          <w:vertAlign w:val="superscript"/>
        </w:rPr>
        <w:t xml:space="preserve">[33]</w:t>
      </w:r>
      <w:r>
        <w:rPr>
          <w:rFonts w:hint="eastAsia"/>
        </w:rPr>
        <w:t xml:space="preserve">的评价维度同样包含安全性与有效性。安全性与有效性是三部门共同认可的评价前提，可以作为统一一级评价维度的起点。</w:t>
      </w:r>
    </w:p>
    <w:p>
      <w:pPr>
        <w:pStyle w:val="3"/>
      </w:pPr>
      <w:r>
        <w:rPr>
          <w:rFonts w:hint="eastAsia"/>
        </w:rPr>
        <w:t xml:space="preserve">三部门之间的差异由此可以区分为两类。第一类是分工差异，即各部门依职能在评价维度之间形成的注意力配置差异。五个评价维度均有部门给予较高关注，这类差异主要源于制度分工，并非协调的重点；若要求三部门在维度权重上趋同，可能削弱专业分工。第二类是定义不一致。三部门使用同一概念，判据却不相同，使同一药品在审批环节与准入环节得到的判断难以衔接，应作为协调的重点。</w:t>
      </w:r>
    </w:p>
    <w:p>
      <w:pPr>
        <w:pStyle w:val="2"/>
      </w:pPr>
      <w:r>
        <w:rPr>
          <w:rFonts w:hint="eastAsia"/>
        </w:rPr>
        <w:t xml:space="preserve">6 协调路径与政策建议</w:t>
      </w:r>
    </w:p>
    <w:p>
      <w:pPr>
        <w:pStyle w:val="28"/>
      </w:pPr>
      <w:r>
        <w:rPr>
          <w:rFonts w:hint="eastAsia"/>
        </w:rPr>
        <w:t xml:space="preserve">协调的重点是定义不一致，而非分工差异。即便在制度环境相近的法国、德国、意大利之间，健康技术评估结论的一致率也仅为52%-82%（Casilli等 2023</w:t>
      </w:r>
      <w:r>
        <w:rPr>
          <w:rFonts w:hint="eastAsia"/>
          <w:vertAlign w:val="superscript"/>
        </w:rPr>
        <w:t xml:space="preserve">[12]</w:t>
      </w:r>
      <w:r>
        <w:rPr>
          <w:rFonts w:hint="eastAsia"/>
        </w:rPr>
        <w:t xml:space="preserve">），评价机构之间的差异难以完全消除。跨部门对话的作用在于对齐定义与评价标准、增进相互理解，使各部门在本职能范围内参考其他部门的判据，而不是重新划分职能或统一维度权重。以下三条建议分别侧重创新定义、证据要求和价值衡量，并逐条说明现行政策已有的安排与本文的补充。</w:t>
      </w:r>
    </w:p>
    <w:p>
      <w:pPr>
        <w:pStyle w:val="4"/>
      </w:pPr>
      <w:r>
        <w:rPr>
          <w:rFonts w:hint="eastAsia"/>
        </w:rPr>
        <w:t xml:space="preserve">6.1 统一一级评价维度，相互公开指标体系</w:t>
      </w:r>
    </w:p>
    <w:p>
      <w:pPr>
        <w:pStyle w:val="28"/>
      </w:pPr>
      <w:r>
        <w:rPr>
          <w:rFonts w:hint="eastAsia"/>
        </w:rPr>
        <w:t xml:space="preserve">针对创新定义的不一致，建议按“求同存异”的思路构建三部门评价框架。德国联邦联合委员会（G-BA）的附加效益评级和法国高等卫生管理局（HAS）的临床获益改善度（ASMR）分级，都以统一的分级结论连接审批结论与支付决策（Casilli等 2023</w:t>
      </w:r>
      <w:r>
        <w:rPr>
          <w:rFonts w:hint="eastAsia"/>
          <w:vertAlign w:val="superscript"/>
        </w:rPr>
        <w:t xml:space="preserve">[12]</w:t>
      </w:r>
      <w:r>
        <w:rPr>
          <w:rFonts w:hint="eastAsia"/>
        </w:rPr>
        <w:t xml:space="preserve">）。借鉴这一思路：①求同，三部门以本文使用的五个评价维度作为共同的一级评价维度，并对“创新”“临床价值”等共用概念作出统一说明，明确技术新颖性与相对于已有药品的临床价值增量分别指什么；②存异，二级指标、测量指标和权重由各部门按职能设定，药监局侧重安全性、有效性与创新性，医保局侧重经济性与创新性，卫健委侧重合理用药与配备使用；③公开，各部门的评价维度、指标体系和权重在部门之间相互公开，使同一药品在不同环节的评价依据可以对照。</w:t>
      </w:r>
    </w:p>
    <w:p>
      <w:pPr>
        <w:pStyle w:val="3"/>
      </w:pPr>
      <w:r>
        <w:rPr>
          <w:rFonts w:hint="eastAsia"/>
        </w:rPr>
        <w:t xml:space="preserve">现行政策已在价格环节引入分类评价。《国务院办公厅关于健全药品价格形成机制的若干意见》</w:t>
      </w:r>
      <w:r>
        <w:rPr>
          <w:rFonts w:hint="eastAsia"/>
          <w:vertAlign w:val="superscript"/>
        </w:rPr>
        <w:t xml:space="preserve">[44]</w:t>
      </w:r>
      <w:r>
        <w:rPr>
          <w:rFonts w:hint="eastAsia"/>
        </w:rPr>
        <w:t xml:space="preserve">实行新上市药品企业自评制度，由企业综合临床价值、市场供求、竞争格局、社会承受能力等因素自主合理定价并接受社会监督和同行评议，并区分高水平创新药、改良新药、通用名药等情形分别予以政策支持和引导。本文的补充在于把分类评价从定价环节扩展到审批、准入与使用三个环节，由三部门共用一级评价维度、分设二级指标，使各环节的评价结果能够相互参考。</w:t>
      </w:r>
    </w:p>
    <w:p>
      <w:pPr>
        <w:pStyle w:val="4"/>
      </w:pPr>
      <w:r>
        <w:rPr>
          <w:rFonts w:hint="eastAsia"/>
        </w:rPr>
        <w:t xml:space="preserve">6.2 健全证据的动态评价与审批—准入衔接</w:t>
      </w:r>
    </w:p>
    <w:p>
      <w:pPr>
        <w:pStyle w:val="28"/>
      </w:pPr>
      <w:r>
        <w:rPr>
          <w:rFonts w:hint="eastAsia"/>
        </w:rPr>
        <w:t xml:space="preserve">针对证据要求的不一致，应承认证据的阶段性。意大利药品管理局（AIFA）以“创新/有条件创新/非创新”三级判定为基础，为证据尚不充分的药品配套条件准入协议和基于绩效的风险分担机制，实际临床表现未达预期时相应调整价格，以动态调整替代一次性准入判断。</w:t>
      </w:r>
    </w:p>
    <w:p>
      <w:pPr>
        <w:pStyle w:val="3"/>
      </w:pPr>
      <w:r>
        <w:rPr>
          <w:rFonts w:hint="eastAsia"/>
        </w:rPr>
        <w:t xml:space="preserve">现行政策已有相关安排。《支持创新药高质量发展的若干措施》</w:t>
      </w:r>
      <w:r>
        <w:rPr>
          <w:rFonts w:hint="eastAsia"/>
          <w:vertAlign w:val="superscript"/>
        </w:rPr>
        <w:t xml:space="preserve">[42]</w:t>
      </w:r>
      <w:r>
        <w:rPr>
          <w:rFonts w:hint="eastAsia"/>
        </w:rPr>
        <w:t xml:space="preserve">鼓励创新药开展真实世界研究，推动研究结果与药品目录准入、续约、调整医保支付范围等挂钩，并规定上市申请获得国家药品监管部门受理的创新药，企业可同步申请医保部门给予点对点政策指导；《国务院办公厅关于健全药品价格形成机制的若干意见》</w:t>
      </w:r>
      <w:r>
        <w:rPr>
          <w:rFonts w:hint="eastAsia"/>
          <w:vertAlign w:val="superscript"/>
        </w:rPr>
        <w:t xml:space="preserve">[44]</w:t>
      </w:r>
      <w:r>
        <w:rPr>
          <w:rFonts w:hint="eastAsia"/>
        </w:rPr>
        <w:t xml:space="preserve">允许医药企业根据真实世界研究结果和临床使用实效，在首发价格基础上适当调整价格水平。</w:t>
      </w:r>
    </w:p>
    <w:p>
      <w:pPr>
        <w:pStyle w:val="3"/>
      </w:pPr>
      <w:r>
        <w:rPr>
          <w:rFonts w:hint="eastAsia"/>
        </w:rPr>
        <w:t xml:space="preserve">本文的补充有两点。①对经加快上市注册程序获批的创新药设置价值验证周期：以条件性方式先行纳入目录，事先明确需补充的比较证据、真实世界证据的收集要求与评价节点，周期结束后据实重估准入条件和支付标准，使研究结果与准入、续约挂钩有可操作的时间安排和证据清单；岳晓萌等（2021）</w:t>
      </w:r>
      <w:r>
        <w:rPr>
          <w:rFonts w:hint="eastAsia"/>
          <w:vertAlign w:val="superscript"/>
        </w:rPr>
        <w:t xml:space="preserve">[45]</w:t>
      </w:r>
      <w:r>
        <w:rPr>
          <w:rFonts w:hint="eastAsia"/>
        </w:rPr>
        <w:t xml:space="preserve">梳理的欧美医保目录退出机制可为周期结束后的调整提供参照。②在企业与医保部门点对点指导的基础上，建立药监部门与医保部门之间的证据衔接，将审评环节形成的疗效与安全性证据评价结论及上市后证据补充要求同步提供给医保准入评审参考，减少两个环节对同一药品证据的重复评价。</w:t>
      </w:r>
    </w:p>
    <w:p>
      <w:pPr>
        <w:pStyle w:val="4"/>
      </w:pPr>
      <w:r>
        <w:rPr>
          <w:rFonts w:hint="eastAsia"/>
        </w:rPr>
        <w:t xml:space="preserve">6.3 公开评审理由，共享评价信息</w:t>
      </w:r>
    </w:p>
    <w:p>
      <w:pPr>
        <w:pStyle w:val="28"/>
      </w:pPr>
      <w:r>
        <w:rPr>
          <w:rFonts w:hint="eastAsia"/>
        </w:rPr>
        <w:t xml:space="preserve">针对价值衡量的不一致，三部门的维度范围与权重难以统一，但评审理由与评价信息可以公开和共享，使各方能够理解彼此的衡量方式。访谈显示，医保目录评审中企业需将申报材料制作成演示文稿供综合组专家审阅打分，材料描述不清晰会直接影响得分；药物经济学测算采用背对背方式进行；商业健康保险机构则因难以获得公立医院的数据而难以测算定价。法国、德国、意大利的评估结论及理由对外公开，Casilli等（2023）</w:t>
      </w:r>
      <w:r>
        <w:rPr>
          <w:rFonts w:hint="eastAsia"/>
          <w:vertAlign w:val="superscript"/>
        </w:rPr>
        <w:t xml:space="preserve">[12]</w:t>
      </w:r>
      <w:r>
        <w:rPr>
          <w:rFonts w:hint="eastAsia"/>
        </w:rPr>
        <w:t xml:space="preserve">的跨国比较正是以此为基础。</w:t>
      </w:r>
    </w:p>
    <w:p>
      <w:pPr>
        <w:pStyle w:val="3"/>
      </w:pPr>
      <w:r>
        <w:rPr>
          <w:rFonts w:hint="eastAsia"/>
        </w:rPr>
        <w:t xml:space="preserve">现行政策已有部分公开安排。国家医保局在目录调整中公示通过形式审查的药品及其有效性、安全性、创新性、公平性等申报信息（不含经济性），并向企业反馈是否通过评审、主规格、参照药品和支付范围</w:t>
      </w:r>
      <w:r>
        <w:rPr>
          <w:rFonts w:hint="eastAsia"/>
          <w:vertAlign w:val="superscript"/>
        </w:rPr>
        <w:t xml:space="preserve">[36]</w:t>
      </w:r>
      <w:r>
        <w:rPr>
          <w:rFonts w:hint="eastAsia"/>
        </w:rPr>
        <w:t xml:space="preserve">；《支持创新药高质量发展的若干措施》</w:t>
      </w:r>
      <w:r>
        <w:rPr>
          <w:rFonts w:hint="eastAsia"/>
          <w:vertAlign w:val="superscript"/>
        </w:rPr>
        <w:t xml:space="preserve">[42]</w:t>
      </w:r>
      <w:r>
        <w:rPr>
          <w:rFonts w:hint="eastAsia"/>
        </w:rPr>
        <w:t xml:space="preserve">提出加强医疗、医保、医药三方信息互通与协同，探索为创新药研发提供必要的医保数据服务，并对商业健康保险创新药品目录内药品探索更严格的价格保密机制。本文的补充有两点。①公开评审结果的理由：向企业反馈评审结果时说明未通过评审的主要理由，公开药物经济学测算的方法学框架，在价格保密的前提下提高评审理由的透明度，使企业形成稳定预期。②把信息互通从服务研发延伸到服务评价：依托医保信息平台和药品临床综合评价体系，推动审评证据、医保测算依据与临床使用数据在部门之间共享，并在数据安全与个人信息保护合规的前提下，向商业健康保险机构有序开放。</w:t>
      </w:r>
    </w:p>
    <w:p>
      <w:pPr>
        <w:pStyle w:val="2"/>
      </w:pPr>
      <w:r>
        <w:rPr>
          <w:rFonts w:hint="eastAsia"/>
        </w:rPr>
        <w:t xml:space="preserve">7 结论与展望</w:t>
      </w:r>
    </w:p>
    <w:p>
      <w:pPr>
        <w:pStyle w:val="28"/>
      </w:pPr>
      <w:r>
        <w:rPr>
          <w:rFonts w:hint="eastAsia"/>
        </w:rPr>
        <w:t xml:space="preserve">本文以制度逻辑理论与注意力基础观为框架，以55份政策文本的句子级编码测量药监局、医保局、卫健委在五个评价维度上的注意力配置差异，并结合专家访谈与政策条文识别三部门评价标准的差异。研究发现：①药监局与医保局的注意力配置与各自的制度逻辑相符，在此格局下，医保局对创新性的关注不低于其对安全性与有效性的关注，这一结果在四种测算口径下均成立，而访谈显示其判据是相对于已有药品的临床价值增量，药监局认定创新药则以化合物的新颖性为前提；②卫健委文本中可被医保评审维度测到的内容明显较少，表明三部门尚缺少共同的评价语言；③三部门在创新定义、证据要求和价值衡量三个方面定义不一致，其中创新定义与证据要求的不一致主要存在于药监局与医保局之间，使同一药品在审批与准入环节的判断难以衔接。</w:t>
      </w:r>
    </w:p>
    <w:p>
      <w:pPr>
        <w:pStyle w:val="3"/>
      </w:pPr>
      <w:r>
        <w:rPr>
          <w:rFonts w:hint="eastAsia"/>
        </w:rPr>
        <w:t xml:space="preserve">本文的理论贡献在于将制度逻辑理论与注意力基础观结合，以政策文本中的注意力占比测量部门注意力配置，为解释三医协同中的部门评价差异提供了可测量的分析框架。实践上，本文区分分工差异与定义不一致，提出协调应聚焦于定义不一致，并据此提出统一一级评价维度、衔接证据评价、公开共享评价信息三条建议。</w:t>
      </w:r>
    </w:p>
    <w:p>
      <w:pPr>
        <w:pStyle w:val="3"/>
      </w:pPr>
      <w:r>
        <w:rPr>
          <w:rFonts w:hint="eastAsia"/>
        </w:rPr>
        <w:t xml:space="preserve">本研究存在以下局限，也指向后续研究方向。①本文以政策文本测量制度层面的注意力配置，尚未对三部门从业者个体的评价关注进行代表性测量；定义不一致主要依据两场一对一访谈与政策条文识别，药监局专家未能参加一对一访谈，研讨会资料也未经系统编码。</w:t>
      </w:r>
      <w:r>
        <w:rPr>
          <w:rFonts w:hint="eastAsia"/>
          <w:highlight w:val="yellow"/>
        </w:rPr>
        <w:t xml:space="preserve">②编码的一致性虽经两种方法检验，编码准确性尚待以人工标注为基准直接检验。</w:t>
      </w:r>
      <w:r>
        <w:rPr>
          <w:rFonts w:hint="eastAsia"/>
        </w:rPr>
        <w:t xml:space="preserve">③时间窗口内中国创新药评价制度处于快速变革期，部分政策文件的效力可能因后续调整而变化，需跟踪“十五五”时期三医协同政策的实施进展。④评价维度取自医保准入评审，对卫健委的用药管理内容与药监局的药品适宜性内容覆盖有限，全部句子中命中至少一个维度的比例为34.8%，相关结果的解释范围以此为限。⑤分析主体限于三个政府部门，未来可将制药企业和患者群体纳入分析。</w:t>
      </w:r>
    </w:p>
    <w:p>
      <w:pPr>
        <w:pStyle w:val="2"/>
      </w:pPr>
      <w:r>
        <w:rPr>
          <w:rFonts w:hint="eastAsia"/>
        </w:rPr>
        <w:t xml:space="preserve">参考文献</w:t>
      </w:r>
    </w:p>
    <w:p>
      <w:pPr>
        <w:pStyle w:val="63"/>
      </w:pPr>
      <w:r>
        <w:rPr>
          <w:rFonts w:hint="eastAsia"/>
        </w:rPr>
        <w:t xml:space="preserve">[1] 孔繁翠．创新药价值评估的国际经验比较及启示[J]．中国卫生政策研究，2022，15(6)：17-23．Kong F C. International Experience Comparison and Implications of Value Assessment of Innovative Drugs [J]. Chinese Journal of Health Policy, 2022, 15(6): 17-23.</w:t>
      </w:r>
    </w:p>
    <w:p>
      <w:pPr>
        <w:pStyle w:val="63"/>
      </w:pPr>
      <w:r>
        <w:rPr>
          <w:rFonts w:hint="eastAsia"/>
        </w:rPr>
        <w:t xml:space="preserve">[2] 赵华婷，颜建周，邵蓉．法国临床效益评价对我国创新药医保目录动态调整的启示[J]．中国卫生经济，2019，38(5)：94-96．Zhao H T, Yan J Z, Shao R. Implications of France’s Clinical Benefit Assessment for the Dynamic Adjustment of China’s Medical Insurance Catalogue for Innovative Drugs [J]. Chinese Health Economics, 2019, 38(5): 94-96.</w:t>
      </w:r>
    </w:p>
    <w:p>
      <w:pPr>
        <w:pStyle w:val="63"/>
      </w:pPr>
      <w:r>
        <w:rPr>
          <w:rFonts w:hint="eastAsia"/>
        </w:rPr>
        <w:t xml:space="preserve">[3] 段晓托，连桂玉，贾耀珠．我国创新药进入医保目录的障碍与对策[J]．中国药房，2017，28(4)：455-457．Duan X T, Lian G Y, Jia Y Z. Obstacles and Countermeasures for Innovative Drugs to Enter the Medical Insurance Catalogue in China [J]. China Pharmacy, 2017, 28(4): 455-457.</w:t>
      </w:r>
    </w:p>
    <w:p>
      <w:pPr>
        <w:pStyle w:val="63"/>
      </w:pPr>
      <w:r>
        <w:rPr>
          <w:rFonts w:hint="eastAsia"/>
        </w:rPr>
        <w:t xml:space="preserve">[4] 艾丹丹，陈辰，吴婷婷，等．价值医疗背景下创新药品的定价和支付模式综述[J]．中国卫生经济，2020，39(3)：77-79．Ai D D, Chen C, Wu T T, et al. Review on Pricing and Payment Models of Innovative Drugs under Value-Based Healthcare [J]. Chinese Health Economics, 2020, 39(3): 77-79.</w:t>
      </w:r>
    </w:p>
    <w:p>
      <w:pPr>
        <w:pStyle w:val="63"/>
      </w:pPr>
      <w:r>
        <w:rPr>
          <w:rFonts w:hint="eastAsia"/>
        </w:rPr>
        <w:t xml:space="preserve">[5] 康姗姗，胡霞，颜建周．药品上市决策中的多方利益博弈[J]．中国药房，2010，21(21)：1921-1925．Kang S S, Hu X, Yan J Z. Multi-Party Interest Game in Drug Marketing Decision [J]. China Pharmacy, 2010, 21(21): 1921-1925.</w:t>
      </w:r>
    </w:p>
    <w:p>
      <w:pPr>
        <w:pStyle w:val="63"/>
      </w:pPr>
      <w:r>
        <w:rPr>
          <w:rFonts w:hint="eastAsia"/>
        </w:rPr>
        <w:t xml:space="preserve">[6] 张新鑫，侯文华，申成霖．价格管制、战略性创新激励与创新药市场绩效[J]．科研管理，2017，38(10)：68-75．Zhang X X, Hou W H, Shen C L. Price Regulation, Strategic Innovation Incentives and Market Performance of Innovative Drugs [J]. Science Research Management, 2017, 38(10): 68-75.</w:t>
      </w:r>
    </w:p>
    <w:p>
      <w:pPr>
        <w:pStyle w:val="63"/>
      </w:pPr>
      <w:r>
        <w:rPr>
          <w:rFonts w:hint="eastAsia"/>
        </w:rPr>
        <w:t xml:space="preserve">[7] 谭清立，李永盈，崔洪瑞．创新药医保谈判的博弈分析[J]．卫生经济研究，2024，41(6)：5-9，15．Tan Q L, Li Y Y, Cui H R. Game Analysis of Medical Insurance Negotiation for Innovative Drugs [J]. Health Economics Research, 2024, 41(6): 5-9, 15.</w:t>
      </w:r>
    </w:p>
    <w:p>
      <w:pPr>
        <w:pStyle w:val="63"/>
      </w:pPr>
      <w:r>
        <w:rPr>
          <w:rFonts w:hint="eastAsia"/>
        </w:rPr>
        <w:t xml:space="preserve">[8] 王恩楠，朱铭来．我国专利药品医疗保险价格谈判的演化博弈研究[J]．中国卫生政策研究，2023，16(2)：44-51．Wang E N, Zhu M L. Evolutionary Game Study on Medical Insurance Price Negotiation of Patented Drugs in China [J]. Chinese Journal of Health Policy, 2023, 16(2): 44-51.</w:t>
      </w:r>
    </w:p>
    <w:p>
      <w:pPr>
        <w:pStyle w:val="63"/>
      </w:pPr>
      <w:r>
        <w:rPr>
          <w:rFonts w:hint="eastAsia"/>
        </w:rPr>
        <w:t xml:space="preserve">[9] 吕倩鹏，吴红，刘智勇．政策工具视角下我国创新药物研发政策量化研究[J]．中国卫生事业管理，2024，41(12)：1393-1399．Lv Q P, Wu H, Liu Z Y. Quantitative Research on China’s Innovative Drug R&amp;D Policies from the Perspective of Policy Instruments [J]. Chinese Health Service Management, 2024, 41(12): 1393-1399.</w:t>
      </w:r>
    </w:p>
    <w:p>
      <w:pPr>
        <w:pStyle w:val="63"/>
      </w:pPr>
      <w:r>
        <w:rPr>
          <w:rFonts w:hint="eastAsia"/>
        </w:rPr>
        <w:t xml:space="preserve">[10] 毛心仪，姚峥嵘．制度创新理论视角下我国药品研发制度变迁设计[J]．卫生经济研究，2021，38(7)：38-43．Mao X Y, Yao Z R. Institutional Change of China’s Drug R&amp;D System from the Perspective of Institutional Innovation Theory [J]. Health Economics Research, 2021, 38(7): 38-43.</w:t>
      </w:r>
    </w:p>
    <w:p>
      <w:pPr>
        <w:pStyle w:val="63"/>
      </w:pPr>
      <w:r>
        <w:rPr>
          <w:rFonts w:hint="eastAsia"/>
        </w:rPr>
        <w:t xml:space="preserve">[11] 杨钰婷，胡婉慈，左根永．我国医疗保险国谈药品单独支付政策省际比较研究[J]．中国卫生政策研究，2024，17(1)：24-29．Yang Y T, Hu W C, Zuo G Y. Inter-Provincial Comparative Study on Separate Payment Policies for Nationally Negotiated Drugs in China [J]. Chinese Journal of Health Policy, 2024, 17(1): 24-29.</w:t>
      </w:r>
    </w:p>
    <w:p>
      <w:pPr>
        <w:pStyle w:val="63"/>
      </w:pPr>
      <w:r>
        <w:rPr>
          <w:rFonts w:hint="eastAsia"/>
        </w:rPr>
        <w:t xml:space="preserve">[12] CASILLI G, LIDONNICI D, JOMMI C, et al. Do France, Germany, and Italy Agree on the Added Therapeutic Value of Medicines?[J]. International Journal of Technology Assessment in Health Care, 2023, 39(1): e54.</w:t>
      </w:r>
    </w:p>
    <w:p>
      <w:pPr>
        <w:pStyle w:val="63"/>
      </w:pPr>
      <w:r>
        <w:rPr>
          <w:rFonts w:hint="eastAsia"/>
        </w:rPr>
        <w:t xml:space="preserve">[13] GARAU M, HAMPSON G, DEVLIN N, et al. Applying a Multicriteria Decision Analysis (MCDA) Approach to Elicit Stakeholders’ Preferences in Italy: The Case of Obinutuzumab for Rituximab-Refractory Indolent Non-Hodgkin Lymphoma (iNHL)[J]. PharmacoEconomics Open, 2018, 2(2): 153-163.</w:t>
      </w:r>
    </w:p>
    <w:p>
      <w:pPr>
        <w:pStyle w:val="63"/>
      </w:pPr>
      <w:r>
        <w:rPr>
          <w:rFonts w:hint="eastAsia"/>
        </w:rPr>
        <w:t xml:space="preserve">[14] KESSELHEIM A S, WANG B, AVORN J. Defining “Innovativeness” in Drug Development: A Systematic Review[J]. Clinical Pharmacology &amp; Therapeutics, 2013, 94(3): 336-348.</w:t>
      </w:r>
    </w:p>
    <w:p>
      <w:pPr>
        <w:pStyle w:val="63"/>
      </w:pPr>
      <w:r>
        <w:rPr>
          <w:rFonts w:hint="eastAsia"/>
        </w:rPr>
        <w:t xml:space="preserve">[15] MONLEÓN C, SPÄTH H M, CRESPO C, et al. Systematic Literature Review on the Implicit Factors Influencing the Health Technology Assessment Deliberative Process in Europe[J]. Journal of Market Access &amp; Health Policy, 2022, 10(1): 2094047.</w:t>
      </w:r>
    </w:p>
    <w:p>
      <w:pPr>
        <w:pStyle w:val="63"/>
      </w:pPr>
      <w:r>
        <w:rPr>
          <w:rFonts w:hint="eastAsia"/>
        </w:rPr>
        <w:t xml:space="preserve">[16] KÅLLBERG C, MATHIESEN L, GOPINATHAN U, et al. The Role of Drug Regulatory Authorities and Health Technology Assessment Agencies in Shaping Incentives for Antibiotic R&amp;D: A Qualitative Study[J]. Journal of Pharmaceutical Policy and Practice, 2023, 16: 53.</w:t>
      </w:r>
    </w:p>
    <w:p>
      <w:pPr>
        <w:pStyle w:val="63"/>
      </w:pPr>
      <w:r>
        <w:rPr>
          <w:rFonts w:hint="eastAsia"/>
        </w:rPr>
        <w:t xml:space="preserve">[17] MUNDY L, FORREST B, HUANG L Y, et al. Health Technology Assessment and Innovation: Here to Help or Hinder?[J]. International Journal of Technology Assessment in Health Care, 2024, 40(1): e37.</w:t>
      </w:r>
    </w:p>
    <w:p>
      <w:pPr>
        <w:pStyle w:val="63"/>
      </w:pPr>
      <w:r>
        <w:rPr>
          <w:rFonts w:hint="eastAsia"/>
        </w:rPr>
        <w:t xml:space="preserve">[18] JANSSENS R, BARBIER L, MULLER M, et al. How Can Patient Preferences Be Used and Communicated in the Regulatory Evaluation of Medicinal Products? Findings and Recommendations from IMI PREFER and Call to Action[J]. Frontiers in Pharmacology, 2023, 14: 1192770.</w:t>
      </w:r>
    </w:p>
    <w:p>
      <w:pPr>
        <w:pStyle w:val="63"/>
      </w:pPr>
      <w:r>
        <w:rPr>
          <w:rFonts w:hint="eastAsia"/>
        </w:rPr>
        <w:t xml:space="preserve">[19] MOUNTFORD N, CAI Y. Towards a Flatter Ontology of Institutional Logics: How Logics Relate in Situations of Institutional Complexity[J]. International Journal of Management Reviews, 2023, 25(2): 363-383.</w:t>
      </w:r>
    </w:p>
    <w:p>
      <w:pPr>
        <w:pStyle w:val="63"/>
      </w:pPr>
      <w:r>
        <w:rPr>
          <w:rFonts w:hint="eastAsia"/>
        </w:rPr>
        <w:t xml:space="preserve">[20] 李梦颖，伍琳，王昕妍，等．我国医保谈判药品落地问题的多重制度逻辑分析与政策建议[J]．中国药房，2024，35(14)：1683-1689．Li M Y, Wu L, Wang X Y, et al. Multiple Institutional Logics Analysis and Policy Suggestions on the Implementation of Negotiated Drugs in China [J]. China Pharmacy, 2024, 35(14): 1683-1689.</w:t>
      </w:r>
    </w:p>
    <w:p>
      <w:pPr>
        <w:pStyle w:val="63"/>
      </w:pPr>
      <w:r>
        <w:rPr>
          <w:rFonts w:hint="eastAsia"/>
        </w:rPr>
        <w:t xml:space="preserve">[21] FREEMAN R E. Strategic Management: A Stakeholder Approach[M]. Boston: Pitman, 1984.</w:t>
      </w:r>
    </w:p>
    <w:p>
      <w:pPr>
        <w:pStyle w:val="63"/>
      </w:pPr>
      <w:r>
        <w:rPr>
          <w:rFonts w:hint="eastAsia"/>
        </w:rPr>
        <w:t xml:space="preserve">[22] 曾润喜，莫敏丽．政府注意力的测量：路径、内容与展望[J]．华中科技大学学报（社会科学版），2023，37(1)：66-73．Zeng R X, Mo M L. Measuring Government Attention: Approaches, Contents and Prospects [J]. Journal of Huazhong University of Science and Technology (Social Science Edition), 2023, 37(1): 66-73.</w:t>
      </w:r>
    </w:p>
    <w:p>
      <w:pPr>
        <w:pStyle w:val="63"/>
      </w:pPr>
      <w:r>
        <w:rPr>
          <w:rFonts w:hint="eastAsia"/>
        </w:rPr>
        <w:t xml:space="preserve">[23] 文宏．中国政府推进基本公共服务的注意力测量——基于中央政府工作报告（1954—2013）的文本分析[J]．吉林大学社会科学学报，2014，54(2)：20-26．Wen H. Measuring Government Attention to Basic Public Services: A Text Analysis of Central Government Work Reports (1954-2013) [J]. Jilin University Journal Social Sciences Edition, 2014, 54(2): 20-26.</w:t>
      </w:r>
    </w:p>
    <w:p>
      <w:pPr>
        <w:pStyle w:val="63"/>
      </w:pPr>
      <w:r>
        <w:rPr>
          <w:rFonts w:hint="eastAsia"/>
        </w:rPr>
        <w:t xml:space="preserve">[24] 练宏．注意力分配——基于跨学科视角的理论述评[J]．社会学研究，2015，30(4)：215-241，246．Lian H. Attention Allocation: A Theoretical Review from an Interdisciplinary Perspective [J]. Sociological Studies, 2015, 30(4): 215-241, 246.</w:t>
      </w:r>
    </w:p>
    <w:p>
      <w:pPr>
        <w:pStyle w:val="63"/>
      </w:pPr>
      <w:r>
        <w:rPr>
          <w:rFonts w:hint="eastAsia"/>
        </w:rPr>
        <w:t xml:space="preserve">[25] THORNTON P H, OCASIO W. Institutional logics[M]//GREENWOOD R, OLIVER C, SAHLIN K, et al. The SAGE Handbook of Organizational Institutionalism. London: SAGE, 2008: 99-129.</w:t>
      </w:r>
    </w:p>
    <w:p>
      <w:pPr>
        <w:pStyle w:val="63"/>
      </w:pPr>
      <w:r>
        <w:rPr>
          <w:rFonts w:hint="eastAsia"/>
        </w:rPr>
        <w:t xml:space="preserve">[26] GREENWOOD R, RAYNARD M, KODEIH F, et al. Institutional Complexity and Organizational Responses[J]. Academy of Management Annals, 2011, 5(1): 317-371.</w:t>
      </w:r>
    </w:p>
    <w:p>
      <w:pPr>
        <w:pStyle w:val="63"/>
      </w:pPr>
      <w:r>
        <w:rPr>
          <w:rFonts w:hint="eastAsia"/>
        </w:rPr>
        <w:t xml:space="preserve">[27] OCASIO W. Towards an Attention-Based View of the Firm[J]. Strategic Management Journal, 1997, 18(S1): 187-206.</w:t>
      </w:r>
    </w:p>
    <w:p>
      <w:pPr>
        <w:pStyle w:val="63"/>
      </w:pPr>
      <w:r>
        <w:rPr>
          <w:rFonts w:hint="eastAsia"/>
        </w:rPr>
        <w:t xml:space="preserve">[28] 陶鹏，初春．府际结构下领导注意力的议题分配与优先——基于公开批示的分析[J]．公共行政评论，2020，13(1)：63-78．Tao P, Chu C. Issue Allocation and Priority of Leadership Attention in Intergovernmental Structure: An Analysis Based on Public Instructions [J]. Journal of Public Administration, 2020, 13(1): 63-78.</w:t>
      </w:r>
    </w:p>
    <w:p>
      <w:pPr>
        <w:pStyle w:val="63"/>
      </w:pPr>
      <w:r>
        <w:rPr>
          <w:rFonts w:hint="eastAsia"/>
        </w:rPr>
        <w:t xml:space="preserve">[29] CYERT R M, MARCH J G. A Behavioral Theory of the Firm[M]. Englewood Cliffs: Prentice-Hall, 1963.</w:t>
      </w:r>
    </w:p>
    <w:p>
      <w:pPr>
        <w:pStyle w:val="63"/>
      </w:pPr>
      <w:r>
        <w:rPr>
          <w:rFonts w:hint="eastAsia"/>
        </w:rPr>
        <w:t xml:space="preserve">[30] GRIMMER J, STEWART B M. Text as Data: The Promise and Pitfalls of Automatic Content Analysis Methods for Political Texts[J]. Political Analysis, 2013, 21(3): 267-297.</w:t>
      </w:r>
    </w:p>
    <w:p>
      <w:pPr>
        <w:pStyle w:val="63"/>
      </w:pPr>
      <w:r>
        <w:rPr>
          <w:rFonts w:hint="eastAsia"/>
        </w:rPr>
        <w:t xml:space="preserve">[31] 国家市场监督管理总局．药品注册管理办法（国家市场监督管理总局令第27号）[Z]．2020．State Administration for Market Regulation. Provisions for Drug Registration (SAMR Order No. 27) [Z]. 2020.</w:t>
      </w:r>
    </w:p>
    <w:p>
      <w:pPr>
        <w:pStyle w:val="63"/>
      </w:pPr>
      <w:r>
        <w:rPr>
          <w:rFonts w:hint="eastAsia"/>
        </w:rPr>
        <w:t xml:space="preserve">[32] 国家医疗保障局．基本医疗保险用药管理暂行办法（国家医疗保障局令第1号）[Z]．2020．National Healthcare Security Administration. Interim Measures for the Administration of Basic Medical Insurance Drugs (NHSA Order No. 1) [Z]. 2020.</w:t>
      </w:r>
    </w:p>
    <w:p>
      <w:pPr>
        <w:pStyle w:val="63"/>
      </w:pPr>
      <w:r>
        <w:rPr>
          <w:rFonts w:hint="eastAsia"/>
        </w:rPr>
        <w:t xml:space="preserve">[33] 国家卫生健康委办公厅．药品临床综合评价管理指南（2021年版 试行）（国卫办药政发〔2021〕16号）[Z]．2021．General Office of the National Health Commission. Administrative Guidelines for Comprehensive Clinical Evaluation of Drugs (2021 Edition, for Trial Implementation) [Z]. 2021.</w:t>
      </w:r>
    </w:p>
    <w:p>
      <w:pPr>
        <w:pStyle w:val="63"/>
      </w:pPr>
      <w:r>
        <w:rPr>
          <w:rFonts w:hint="eastAsia"/>
        </w:rPr>
        <w:t xml:space="preserve">[34] 人力资源社会保障部．关于将36种药品纳入国家基本医疗保险、工伤保险和生育保险药品目录乙类范围的通知（人社部发〔2017〕54号）[Z]．2017．Ministry of Human Resources and Social Security. Notice on Including 36 Drugs in Category B of the National Drug Catalogue for Basic Medical Insurance, Work-Related Injury Insurance and Maternity Insurance (No. 54 [2017]) [Z]. 2017.</w:t>
      </w:r>
    </w:p>
    <w:p>
      <w:pPr>
        <w:pStyle w:val="63"/>
      </w:pPr>
      <w:r>
        <w:rPr>
          <w:rFonts w:hint="eastAsia"/>
        </w:rPr>
        <w:t xml:space="preserve">[35] 国家医疗保障局．2026年国家基本医疗保险、生育保险和工伤保险药品目录及商业健康保险创新药品目录调整申报指南[Z]．2026．National Healthcare Security Administration. Application Guidelines for the 2026 Adjustment of the National Drug Catalogue for Basic Medical Insurance, Maternity Insurance and Work-Related Injury Insurance and the Commercial Health Insurance Innovative Drug Catalogue [Z]. 2026.</w:t>
      </w:r>
    </w:p>
    <w:p>
      <w:pPr>
        <w:pStyle w:val="63"/>
      </w:pPr>
      <w:r>
        <w:rPr>
          <w:rFonts w:hint="eastAsia"/>
        </w:rPr>
        <w:t xml:space="preserve">[36] 国家医疗保障局．国家基本医疗保险、生育保险和工伤保险药品目录及商业健康保险创新药品目录调整常用问答（2026年版）[Z]．2026．National Healthcare Security Administration. Frequently Asked Questions on the Adjustment of the National Drug Catalogue for Basic Medical Insurance, Maternity Insurance and Work-Related Injury Insurance and the Commercial Health Insurance Innovative Drug Catalogue (2026 Edition) [Z]. 2026.</w:t>
      </w:r>
    </w:p>
    <w:p>
      <w:pPr>
        <w:pStyle w:val="63"/>
      </w:pPr>
      <w:r>
        <w:rPr>
          <w:rFonts w:hint="eastAsia"/>
        </w:rPr>
        <w:t xml:space="preserve">[37] SEVENANS J, ALBAUGH Q, SHAHAF T, et al. The Automated Coding of Policy Agendas: A Dictionary-Based Approach (Version 2.0)[R]. The 7th Annual Conference of the Comparative Agendas Project, Konstanz, 2014.</w:t>
      </w:r>
    </w:p>
    <w:p>
      <w:pPr>
        <w:pStyle w:val="63"/>
      </w:pPr>
      <w:r>
        <w:rPr>
          <w:rFonts w:hint="eastAsia"/>
        </w:rPr>
        <w:t xml:space="preserve">[38] LOUGHRAN T, MCDONALD B. When Is a Liability Not a Liability? Textual Analysis, Dictionaries, and 10-Ks[J]. The Journal of Finance, 2011, 66(1): 35-65.</w:t>
      </w:r>
    </w:p>
    <w:p>
      <w:pPr>
        <w:pStyle w:val="63"/>
      </w:pPr>
      <w:r>
        <w:rPr>
          <w:rFonts w:hint="eastAsia"/>
        </w:rPr>
        <w:t xml:space="preserve">[39] GILARDI F, ALIZADEH M, KUBLI M. ChatGPT Outperforms Crowd Workers for Text-Annotation Tasks[J]. Proceedings of the National Academy of Sciences, 2023, 120(30): e2305016120.</w:t>
      </w:r>
    </w:p>
    <w:p>
      <w:pPr>
        <w:pStyle w:val="63"/>
      </w:pPr>
      <w:r>
        <w:rPr>
          <w:rFonts w:hint="eastAsia"/>
        </w:rPr>
        <w:t xml:space="preserve">[40] LANDIS J R, KOCH G G. The Measurement of Observer Agreement for Categorical Data[J]. Biometrics, 1977, 33(1): 159-174.</w:t>
      </w:r>
    </w:p>
    <w:p>
      <w:pPr>
        <w:pStyle w:val="63"/>
      </w:pPr>
      <w:r>
        <w:rPr>
          <w:rFonts w:hint="eastAsia"/>
        </w:rPr>
        <w:t xml:space="preserve">[41] CARTER N, BRYANT-LUKOSIUS D, DICENSO A, et al. The Use of Triangulation in Qualitative Research[J]. Oncology Nursing Forum, 2014, 41(5): 545-547.</w:t>
      </w:r>
    </w:p>
    <w:p>
      <w:pPr>
        <w:pStyle w:val="63"/>
      </w:pPr>
      <w:r>
        <w:rPr>
          <w:rFonts w:hint="eastAsia"/>
        </w:rPr>
        <w:t xml:space="preserve">[42] 国家医疗保障局，国家卫生健康委员会．支持创新药高质量发展的若干措施（医保发〔2025〕16号）[Z]．2025．National Healthcare Security Administration, National Health Commission. Several Measures to Support the High-Quality Development of Innovative Drugs (No. 16 [2025]) [Z]. 2025.</w:t>
      </w:r>
    </w:p>
    <w:p>
      <w:pPr>
        <w:pStyle w:val="63"/>
      </w:pPr>
      <w:r>
        <w:rPr>
          <w:rFonts w:hint="eastAsia"/>
        </w:rPr>
        <w:t xml:space="preserve">[43] 国家药品监督管理局．国家药监局关于发布化学药品注册分类及申报资料要求的通告（2020年第44号）[Z]．2020．National Medical Products Administration. Announcement on Issuing the Registration Classification and Application Dossier Requirements for Chemical Drugs (No. 44 of 2020) [Z]. 2020.</w:t>
      </w:r>
    </w:p>
    <w:p>
      <w:pPr>
        <w:pStyle w:val="63"/>
      </w:pPr>
      <w:r>
        <w:rPr>
          <w:rFonts w:hint="eastAsia"/>
        </w:rPr>
        <w:t xml:space="preserve">[44] 国务院办公厅．关于健全药品价格形成机制的若干意见（国办发〔2026〕9号）[Z]．2026．General Office of the State Council. Several Opinions on Improving the Drug Price Formation Mechanism (No. 9 [2026]) [Z]. 2026.</w:t>
      </w:r>
    </w:p>
    <w:p>
      <w:pPr>
        <w:pStyle w:val="63"/>
      </w:pPr>
      <w:r>
        <w:rPr>
          <w:rFonts w:hint="eastAsia"/>
        </w:rPr>
        <w:t xml:space="preserve">[45] 岳晓萌，李钰翔，赵绯丽，等．医保药品目录调整之退出机制的国际经验借鉴[J]．医药导报，2021，40(2)：158-162．Yue X M, Li Y X, Zhao F L, et al. International Experience of Exit Mechanisms in Medical Insurance Drug Catalogue Adjustment [J]. Herald of Medicine, 2021, 40(2): 158-162.</w:t>
      </w:r>
    </w:p>
    <w:p>
      <w:pPr>
        <w:pStyle w:val="2"/>
      </w:pPr>
      <w:r>
        <w:rPr>
          <w:rFonts w:hint="eastAsia"/>
        </w:rPr>
        <w:t xml:space="preserve">附录A 编码方案技术细节</w:t>
      </w:r>
    </w:p>
    <w:p>
      <w:pPr>
        <w:pStyle w:val="28"/>
      </w:pPr>
      <w:r>
        <w:rPr>
          <w:rFonts w:hint="eastAsia"/>
        </w:rPr>
        <w:t xml:space="preserve">A1  词典构建过程与关键词全表。第一步，判据词提取：五个维度的判据词取自《目录调整申报指南》附件“申报药品摘要幻灯片要求”对各维度应提供内容的界定，并以《药品注册管理办法》《基本医疗保险用药管理暂行办法》的相关条文补充，五个维度共107个判据词。第二步，统计验证：对清洗后的2965个句子进行中文分词与TF-IDF特征词提取（每部门前80个特征词），检验判据词在部门间的区分度，并从高频特征词中补充判据词未覆盖的表述。第三步，规则设定：对程序性表述设定共现规则，对非药品语境设定排除规则，避免制度术语与套话被计入评价维度。以下词条在句子内以正则模式检索，同一句命中同一维度的多个词条仅计1次。</w:t>
      </w:r>
    </w:p>
    <w:p>
      <w:pPr>
        <w:pStyle w:val="3"/>
      </w:pPr>
      <w:r>
        <w:rPr>
          <w:rFonts w:hint="eastAsia"/>
        </w:rPr>
        <w:t xml:space="preserve">安全性（21个）：不良反应、不良事件、安全性、药品安全、用药安全、毒性、禁忌、药物警戒、安全信号、风险控制、风险管理、风险最小化、风险评估、“获益…风险”（正则）、“风险…获益”（正则）、SAE、ADR、副作用、安全监测、安全性数据、安全性信息。</w:t>
      </w:r>
    </w:p>
    <w:p>
      <w:pPr>
        <w:pStyle w:val="3"/>
      </w:pPr>
      <w:r>
        <w:rPr>
          <w:rFonts w:hint="eastAsia"/>
        </w:rPr>
        <w:t xml:space="preserve">有效性（20个）：有效性、疗效、临床价值、临床获益、治疗效果、生存率、生存期、无进展生存、客观缓解、疾病控制率、循证、临床证据、治疗价值、临床优势、QALY、生命质量、健康效用、指南推荐、诊疗规范推荐、技术评审报告。</w:t>
      </w:r>
    </w:p>
    <w:p>
      <w:pPr>
        <w:pStyle w:val="3"/>
      </w:pPr>
      <w:r>
        <w:rPr>
          <w:rFonts w:hint="eastAsia"/>
        </w:rPr>
        <w:t xml:space="preserve">经济性（24个）：价格、费用、成本、支付标准、报销、医保基金、基金支出、基金承受、基金可持续、预算影响、基金支付能力、销售金额、销量、药物经济、经济性、定价、降价、降幅、“日均…费用”（正则）、疗程费用、医疗费用、药品费用、成本效果、成本效用。</w:t>
      </w:r>
    </w:p>
    <w:p>
      <w:pPr>
        <w:pStyle w:val="3"/>
      </w:pPr>
      <w:r>
        <w:rPr>
          <w:rFonts w:hint="eastAsia"/>
        </w:rPr>
        <w:t xml:space="preserve">创新性（22个）：创新药、创新性、创新点、自主知识产权、原始创新、自主研发、新药研发、重大新药创制、突破性治疗、优先审评、附条件批准、特别审批、临床急需、未满足、“填补…空白”（正则）、首创、新靶点、新作用机制、新化合物、新分子实体、注册分类、改良型新药。</w:t>
      </w:r>
    </w:p>
    <w:p>
      <w:pPr>
        <w:pStyle w:val="3"/>
      </w:pPr>
      <w:r>
        <w:rPr>
          <w:rFonts w:hint="eastAsia"/>
        </w:rPr>
        <w:t xml:space="preserve">公平性（20个）：公平、目录短板、保障空白、保障尚不充分、儿童用药、儿科用药、罕见病、短缺、供应保障、断供、可及、可获得、可负担、临床管理难度、基层用药、保基本、基本药物、困难群众、用药需求短板、用药保障需求。</w:t>
      </w:r>
    </w:p>
    <w:p>
      <w:pPr>
        <w:pStyle w:val="3"/>
      </w:pPr>
      <w:r>
        <w:rPr>
          <w:rFonts w:hint="eastAsia"/>
        </w:rPr>
        <w:t xml:space="preserve">共现规则。有效性：临床试验、临床研究、真实世界须与疗效、有效性、获益、临床价值、终点、缓解、生存、证据之一共现方计入；经济性：谈判、竞价、报价、集中带量采购、集采、支付意愿须与价格、费用、标准、金额、基金、降幅、成本、预算、报价之一共现方计入。</w:t>
      </w:r>
    </w:p>
    <w:p>
      <w:pPr>
        <w:pStyle w:val="3"/>
      </w:pPr>
      <w:r>
        <w:rPr>
          <w:rFonts w:hint="eastAsia"/>
        </w:rPr>
        <w:t xml:space="preserve">排除规则。安全性排除“安全感”、“数据安全”、“生产安全”、“安全生产”、“网络安全”、“信息安全”、“食品安全”；有效性排除“有效期”、“有效账号”、“有效身份”；经济性排除“不收取任何费用”；创新性排除“创新型国家”、“创新驱动发展”、“产业创新发展”、“新质生产力”、“传承创新”；公平性排除“公平竞争”。</w:t>
      </w:r>
    </w:p>
    <w:p>
      <w:pPr>
        <w:pStyle w:val="3"/>
      </w:pPr>
      <w:r>
        <w:rPr>
          <w:rFonts w:hint="eastAsia"/>
        </w:rPr>
        <w:t xml:space="preserve">语料清洗。3387个切分片段中，422个（12.5%）为文件标题（145）、条目序号（49）、目录页（20）、来源标注（2）与不足12个字符的碎片（206），不构成完整的意义单元，予以剔除，实际纳入分析2965句。</w:t>
      </w:r>
    </w:p>
    <w:p>
      <w:pPr>
        <w:pStyle w:val="3"/>
      </w:pPr>
      <w:r>
        <w:rPr>
          <w:rFonts w:hint="eastAsia"/>
        </w:rPr>
        <w:t xml:space="preserve">A2  LLM编码参数。模型为Claude Opus 5，以申报指南对五个维度的内容界定为判定标准，对清洗后的2965个句子逐句独立编码，编码在同一会话内分批进行，未参考词典编码结果。判定规则与词典一致：一个句子可涉及0个或多个维度；只有当句子实质性涉及某一维度时才编码，提及不等于涉及；程序性表述（如仅说明谈判流程、申报时限、账号注册）不计入相应维度；文件名称与政策套话中出现的“创新”“安全”不计入相应维度。判定所依据的五个维度界定为：安全性指药品说明书收载的安全性信息、国内外不良反应发生情况以及与同类药品在安全性方面的优势和不足；有效性指临床试验和真实世界中与对照药品的疗效比较、临床指南与诊疗规范推荐情况以及技术评审报告中关于有效性的结论；经济性指药品销售金额、价格费用情况以及对医保基金的影响；创新性指主要创新点、该创新带来的疗效或安全性方面的优势、是否为自主知识产权的创新药以及药品注册分类；公平性指能否弥补药品目录短板、临床管理难度以及目录外药品的价格费用。</w:t>
      </w:r>
    </w:p>
    <w:p>
      <w:pPr>
        <w:pStyle w:val="3"/>
      </w:pPr>
      <w:r>
        <w:rPr>
          <w:rFonts w:hint="eastAsia"/>
        </w:rPr>
        <w:t xml:space="preserve">A3 访谈提纲。访谈围绕三个主题模块展开，各模块核心问题如下；实际访谈按半结构化方式进行，在下列问题基础上依受访者所处环节追问。</w:t>
      </w:r>
    </w:p>
    <w:p>
      <w:pPr>
        <w:pStyle w:val="3"/>
      </w:pPr>
      <w:r>
        <w:rPr>
          <w:rFonts w:hint="eastAsia"/>
        </w:rPr>
        <w:t xml:space="preserve">模块一，“创新”的界定与判据：贵部门在评价中如何界定创新药？判定创新的具体依据是什么？技术层面的新颖性（新化合物、新靶点、新作用机制）与临床价值增量之间如何取舍？药监局认定的一类新药是否自动构成本部门认可的创新？</w:t>
      </w:r>
    </w:p>
    <w:p>
      <w:pPr>
        <w:pStyle w:val="3"/>
      </w:pPr>
      <w:r>
        <w:rPr>
          <w:rFonts w:hint="eastAsia"/>
        </w:rPr>
        <w:t xml:space="preserve">模块二，证据类型与充分性标准：评价要求提交哪些类型的证据？对随机对照试验、单臂试验、真实世界证据和药物经济学证据的采信标准有何差异？经加快通道获批、证据尚不充分的品种如何处理？证据不足时的决策规则是什么？</w:t>
      </w:r>
    </w:p>
    <w:p>
      <w:pPr>
        <w:pStyle w:val="3"/>
      </w:pPr>
      <w:r>
        <w:rPr>
          <w:rFonts w:hint="eastAsia"/>
        </w:rPr>
        <w:t xml:space="preserve">模块三，评价维度的权重考量：安全性、有效性、经济性、创新性、公平性五个维度在本部门评价中的相对重要性如何排序？是否存在明确的赋权或打分规则？各维度发生冲突时以何者优先？现行权重安排有哪些有待改进之处？</w:t>
      </w:r>
    </w:p>
    <w:p>
      <w:pPr>
        <w:pStyle w:val="2"/>
      </w:pPr>
      <w:r>
        <w:rPr>
          <w:rFonts w:hint="eastAsia"/>
        </w:rPr>
        <w:t xml:space="preserve">附录B  纳入句子级编码的55份政策文件清单</w:t>
      </w:r>
    </w:p>
    <w:p>
      <w:pPr>
        <w:pStyle w:val="3"/>
      </w:pPr>
      <w:r>
        <w:rPr>
          <w:rFonts w:hint="eastAsia"/>
        </w:rPr>
        <w:t xml:space="preserve">说明：条目按发布主体分组，组内按句子单元数降序排列。文件名称与文号依官方发布文本著录，历年国家医保药品目录调整工作方案、申报指南、续约规则和竞价规则以简称著录，未公开文号者从略；括号内数字为该文件切分所得的句子单元数，合计3387个片段，经清洗后纳入分析2965句。</w:t>
      </w:r>
    </w:p>
    <w:p>
      <w:pPr>
        <w:pStyle w:val="3"/>
      </w:pPr>
      <w:r>
        <w:rPr>
          <w:rFonts w:hint="eastAsia"/>
        </w:rPr>
        <w:t xml:space="preserve">B1  药监局系统（含药品审评中心），共19份，1169句。《以临床价值为导向的抗肿瘤药物临床研发指导原则》，CDE 2021年第46号（224）；《关于深化审评审批制度改革鼓励药品医疗器械创新的意见》，厅字〔2017〕42号（168）；《创新药研发中涉及适老化设计时的一般原则及考虑要点（试行）》，CDE 2025年第45号（129）；《关于全面深化药品医疗器械监管改革促进医药产业高质量发展的意见》，国办发〔2025〕1号（106）；《老年人群参与创新药临床试验的关键要素及试验设计要点（试行）》，CDE 2025年第44号（104）；《创新药临床试验申请申报资料要求（模块一）》，CDE 2025年第40号（101）；《创新药研发期间风险管理计划撰写技术指导原则（试行）》，CDE 2025年第38号（89）；《抗肿瘤创新药上市申请安全性总结资料准备技术指导原则》，CDE 2020年第56号（63）；《药审中心加快创新药上市许可申请审评工作规范（试行）》（51）；《优化创新药临床试验审评审批试点工作方案》，国药监药注〔2024〕30号（38）；《真实世界证据支持药物研发与审评的指导原则（试行）》，2020年第1号（23）；《药品注册管理办法》，市场监管总局令第27号（19）；《关于优化创新药临床试验审评审批有关事项的公告》（17）；《优化药品补充申请审评审批试点》，国药监药注〔2024〕10号（10）；《药品试验数据保护实施办法》，2026年第47号（10）；《罕见疾病创新药物研发鼓励试点计划（“关爱计划-延伸”）》，药审业〔2026〕177号（5）；《突破性治疗药物审评工作程序（试行）等三个文件》，2020年第82号公告（5）；《药物临床试验质量管理规范（2026年修订）》，2026年第50号（4）；《关于同意在京沪开展优化创新药临床试验审评审批试点的批复》，国药监药注函〔2024〕55号（3）。</w:t>
      </w:r>
    </w:p>
    <w:p>
      <w:pPr>
        <w:pStyle w:val="3"/>
      </w:pPr>
      <w:r>
        <w:rPr>
          <w:rFonts w:hint="eastAsia"/>
        </w:rPr>
        <w:t xml:space="preserve">B2  医保局系统，共24份，1722句。《国家基本医疗保险、生育保险和工伤保险药品目录及商业健康保险创新药品目录调整常用问答（2026年版）》（268）；《2026年国家医保谈判药品续约规则》（93）；《2026年国家医保药品目录调整工作方案》（91）；《2023年国家医保谈判药品续约规则》（89）；《2024年国家医保谈判药品续约规则》（88）；《2026年国家医保药品目录调整申报指南》（85）；《2019年国家医保药品目录调整工作方案》（83）；《基本医疗保险用药管理暂行办法》，医保局令第1号（78）；《2023年国家医保药品目录调整申报指南》（77）；《2024年国家医保药品目录调整申报指南》（77）；《2024年国家医保药品目录调整工作方案》（75）；《2023年国家医保药品目录调整工作方案》（72）；《2021年国家医保药品目录调整工作方案》（70）；《2022年国家医保药品目录调整工作方案》（69）；《支持创新药高质量发展的若干措施》，医保发〔2025〕16号（64）；《2020年国家医保药品目录调整工作方案》（53）；《2026年非独家药品竞价规则》（46）；《2020年国家医保药品目录调整申报指南》（45）；《2024年非独家药品竞价规则》（45）；《2023年非独家药品竞价规则》（43）；《2022年国家医保药品目录调整申报指南》（39）；《2021年国家医保药品目录调整申报指南》（35）；《关于建立完善国家医保谈判药品“双通道”管理机制的指导意见》，医保发〔2021〕28号（32）；《2025年国家医保药品目录调整工作方案》（5）。</w:t>
      </w:r>
    </w:p>
    <w:p>
      <w:pPr>
        <w:pStyle w:val="3"/>
      </w:pPr>
      <w:r>
        <w:rPr>
          <w:rFonts w:hint="eastAsia"/>
        </w:rPr>
        <w:t xml:space="preserve">B3  卫健委系统，共10份，262句。《全面提升医疗质量行动（2023-2025年）》，国卫医政发〔2023〕12号（115）；《关于进一步加强用药安全管理提升合理用药水平的通知》，国卫医函〔2022〕122号（38）；《第一批国家重点监控合理用药药品目录》，国卫办医函〔2019〕558号（24）；《关于加强医疗机构药事管理促进合理用药的意见》，国卫医发〔2020〕2号（20）；《药品临床综合评价管理指南（2021年版）及配套通知》，国卫办药政发〔2021〕16号（17）；《国家重点监控合理用药药品目录调整工作规程》，国卫办医函〔2021〕474号（14）；《关于开展药品使用监测和临床综合评价工作的通知》，国卫药政函〔2019〕80号（11）；《医疗机构处方审核规范》，国卫办医发〔2018〕14号（9）；《第二批国家重点监控合理用药药品目录》，国卫办医政函〔2023〕9号（8）；《关于改革完善基层药品联动管理机制扩大基层药品种类的意见》，国卫药政发〔2024〕38号（6）。</w:t>
      </w:r>
    </w:p>
    <w:p>
      <w:pPr>
        <w:pStyle w:val="3"/>
      </w:pPr>
      <w:r>
        <w:rPr>
          <w:rFonts w:hint="eastAsia"/>
        </w:rPr>
        <w:t xml:space="preserve">B4  国务院／跨部门，共2份，234句。《深化医药卫生体制改革2024年重点工作任务》，国办发〔2024〕29号（128）；《关于深化医疗保障制度改革的意见》，中发〔2020〕5号（106）。</w:t>
      </w:r>
    </w:p>
    <w:p>
      <w:pPr>
        <w:pStyle w:val="3"/>
      </w:pPr>
      <w:r>
        <w:rPr>
          <w:rFonts w:hint="eastAsia"/>
        </w:rPr>
        <w:t xml:space="preserve">B5  筛选规则。自课题收集的全部政策文件中，按以下规则排除后其余纳入编码：①纯药品清单（历年国家基本医保药品目录、商业健康保险创新药品目录）；②逐年更新的临床用药手册（新型抗肿瘤药物临床应用指导原则）；③支付分组技术规范（DRG／DIP分组方案）；④统计年鉴性质文件（年度药品审评报告）；⑤仅公布结果而无评价标准的公告（医保药品目录调整公告）；⑥已有正式版的征求意见稿；⑦文献检索过程文件。经上述筛选，最终纳入55份，合计3387个切分片段，清洗后纳入分析2965个句子。</w:t>
      </w:r>
    </w:p>
    <w:p>
      <w:pPr>
        <w:pStyle w:val="60"/>
      </w:pPr>
      <w:r>
        <w:rPr>
          <w:rFonts w:hint="eastAsia"/>
        </w:rPr>
        <w:t xml:space="preserve">Differences in Attention Allocation in Innovative Drug Evaluation and Coordination Pathways</w:t>
      </w:r>
    </w:p>
    <w:p>
      <w:pPr>
        <w:pStyle w:val="58"/>
      </w:pPr>
      <w:r>
        <w:rPr>
          <w:rFonts w:hint="eastAsia"/>
        </w:rPr>
        <w:t xml:space="preserve">WANG Xiao-jiong, CHEN Hai-ting, LIU Zhong-quan</w:t>
      </w:r>
    </w:p>
    <w:p>
      <w:pPr>
        <w:pStyle w:val="3"/>
      </w:pPr>
      <w:r>
        <w:rPr>
          <w:rFonts w:hint="eastAsia"/>
          <w:b/>
        </w:rPr>
        <w:t xml:space="preserve">Abstract: </w:t>
      </w:r>
      <w:r>
        <w:rPr>
          <w:rFonts w:hint="eastAsia"/>
        </w:rPr>
        <w:t xml:space="preserve">Based on 55 policy documents (2017-2026) issued by China’s drug regulation, healthcare security and health authorities and the State Council, this study codes policy texts at the sentence level along the five dimensions used in the national drug catalogue review and compares the three authorities’ evaluation criteria with interview evidence. The healthcare security authority gives most attention to economy (56.1%-69.6%), while the drug regulation authority concentrates on safety, efficacy and innovation, with economy below 1.5%; both results hold under four measurement specifications. The healthcare security authority attends no less to innovation than to safety and efficacy, yet its criterion is the incremental clinical value over existing drugs, whereas the drug regulation authority recognizes innovative drugs on the premise of molecular novelty. The three authorities define innovation, evidence requirements and value measurement inconsistently, which makes approval and reimbursement judgments difficult to link. The study recommends adopting shared first-level evaluation dimensions, linking evidence evaluation, and sharing evaluation information.</w:t>
      </w:r>
    </w:p>
    <w:p>
      <w:pPr>
        <w:pStyle w:val="3"/>
      </w:pPr>
      <w:r>
        <w:rPr>
          <w:rFonts w:hint="eastAsia"/>
          <w:b/>
        </w:rPr>
        <w:t xml:space="preserve">Key words: </w:t>
      </w:r>
      <w:r>
        <w:rPr>
          <w:rFonts w:hint="eastAsia"/>
        </w:rPr>
        <w:t xml:space="preserve">innovative drug evaluation; institutional logics; attention allocation; policy text; three-medical coordination</w:t>
      </w:r>
    </w:p>
    <w:sectPr>
      <w:footnotePr>
        <w:numRestart w:val="eachSect"/>
      </w:footnotePr>
      <w:pgSz w:w="12240" w:h="15840"/>
      <w:pgMar w:top="1440" w:right="1800" w:bottom="1440" w:left="1800" w:header="720" w:footer="72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Aptos">
    <w:altName w:val="Helvetica Neue"/>
    <w:panose1 w:val="00000000000000000000"/>
    <w:charset w:val="00"/>
    <w:family w:val="swiss"/>
    <w:pitch w:val="default"/>
    <w:sig w:usb0="00000000" w:usb1="00000000" w:usb2="00000000" w:usb3="00000000" w:csb0="0000019F" w:csb1="00000000"/>
  </w:font>
  <w:font w:name="等线">
    <w:altName w:val="汉仪中等线KW"/>
    <w:panose1 w:val="02010600030101010101"/>
    <w:charset w:val="86"/>
    <w:family w:val="auto"/>
    <w:pitch w:val="default"/>
    <w:sig w:usb0="00000000" w:usb1="00000000" w:usb2="00000016" w:usb3="00000000" w:csb0="0004000F" w:csb1="00000000"/>
  </w:font>
  <w:font w:name="等线">
    <w:altName w:val="汉仪中等线KW"/>
    <w:panose1 w:val="00000000000000000000"/>
    <w:charset w:val="86"/>
    <w:family w:val="auto"/>
    <w:pitch w:val="default"/>
    <w:sig w:usb0="00000000" w:usb1="00000000" w:usb2="00000000" w:usb3="00000000" w:csb0="00000000" w:csb1="00000000"/>
  </w:font>
  <w:font w:name="等线 Light">
    <w:altName w:val="汉仪中等线KW"/>
    <w:panose1 w:val="02010600030101010101"/>
    <w:charset w:val="86"/>
    <w:family w:val="auto"/>
    <w:pitch w:val="default"/>
    <w:sig w:usb0="00000000" w:usb1="00000000" w:usb2="00000016" w:usb3="00000000" w:csb0="0004000F" w:csb1="00000000"/>
  </w:font>
  <w:font w:name="Aptos Display">
    <w:altName w:val="Helvetica Neue"/>
    <w:panose1 w:val="00000000000000000000"/>
    <w:charset w:val="00"/>
    <w:family w:val="swiss"/>
    <w:pitch w:val="default"/>
    <w:sig w:usb0="00000000" w:usb1="00000000" w:usb2="00000000" w:usb3="00000000" w:csb0="0000019F" w:csb1="00000000"/>
  </w:font>
  <w:font w:name="Consolas">
    <w:altName w:val="苹方-简"/>
    <w:panose1 w:val="020B0609020204030204"/>
    <w:charset w:val="00"/>
    <w:family w:val="modern"/>
    <w:pitch w:val="default"/>
    <w:sig w:usb0="00000000" w:usb1="00000000" w:usb2="00000001" w:usb3="00000000" w:csb0="0000019F" w:csb1="00000000"/>
  </w:font>
  <w:font w:name="等线">
    <w:altName w:val="汉仪中等线KW"/>
    <w:panose1 w:val="00000000000000000000"/>
    <w:charset w:val="00"/>
    <w:family w:val="auto"/>
    <w:pitch w:val="default"/>
    <w:sig w:usb0="00000000" w:usb1="00000000" w:usb2="00000000" w:usb3="00000000" w:csb0="00000000" w:csb1="00000000"/>
  </w:font>
  <w:font w:name="汉仪中等线KW">
    <w:panose1 w:val="01010104010101010101"/>
    <w:charset w:val="86"/>
    <w:family w:val="auto"/>
    <w:pitch w:val="default"/>
    <w:sig w:usb0="800002BF" w:usb1="004F7CFA" w:usb2="00000000" w:usb3="00000000" w:csb0="00040001" w:csb1="00000000"/>
  </w:font>
  <w:font w:name="汉仪中黑KW">
    <w:panose1 w:val="00020600040101010101"/>
    <w:charset w:val="86"/>
    <w:family w:val="auto"/>
    <w:pitch w:val="default"/>
    <w:sig w:usb0="A00002BF" w:usb1="18EF7CFA" w:usb2="00000016" w:usb3="00000000" w:csb0="00040000"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宋体-简">
    <w:panose1 w:val="02010800040101010101"/>
    <w:charset w:val="86"/>
    <w:family w:val="auto"/>
    <w:pitch w:val="default"/>
    <w:sig w:usb0="00000001" w:usb1="080F0000" w:usb2="00000000" w:usb3="00000000" w:csb0="00040000" w:csb1="00000000"/>
  </w:font>
  <w:font w:name="PingFang SC">
    <w:panose1 w:val="020B0400000000000000"/>
    <w:charset w:val="86"/>
    <w:family w:val="auto"/>
    <w:pitch w:val="default"/>
    <w:sig w:usb0="A00002FF" w:usb1="7ACFFDFB" w:usb2="00000017" w:usb3="00000000" w:csb0="00040001" w:csb1="00000000"/>
  </w:font>
  <w:font w:name="Tahoma">
    <w:panose1 w:val="020B0604030504040204"/>
    <w:charset w:val="00"/>
    <w:family w:val="auto"/>
    <w:pitch w:val="default"/>
    <w:sig w:usb0="E1002AFF" w:usb1="C000605B" w:usb2="00000029" w:usb3="00000000" w:csb0="200101FF" w:csb1="20280000"/>
  </w:font>
  <w:font w:name="Kingsoft Sign">
    <w:panose1 w:val="05050102010706020507"/>
    <w:charset w:val="00"/>
    <w:family w:val="auto"/>
    <w:pitch w:val="default"/>
    <w:sig w:usb0="00000000" w:usb1="10000000" w:usb2="00000000" w:usb3="00000000" w:csb0="00000001" w:csb1="00000000"/>
  </w:font>
  <w:font w:name="苹方-简">
    <w:panose1 w:val="020B0400000000000000"/>
    <w:charset w:val="86"/>
    <w:family w:val="auto"/>
    <w:pitch w:val="default"/>
    <w:sig w:usb0="A00002FF" w:usb1="7ACFFDFB" w:usb2="00000017" w:usb3="00000000" w:csb0="0004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2">
    <w:p>
      <w:pPr>
        <w:spacing w:line="240" w:lineRule="auto"/>
      </w:pPr>
      <w:r>
        <w:separator/>
      </w:r>
    </w:p>
  </w:footnote>
  <w:footnote w:type="continuationSeparator" w:id="3">
    <w:p>
      <w:pPr>
        <w:spacing w:line="240" w:lineRule="auto"/>
      </w:pPr>
      <w:r>
        <w:continuationSeparator/>
      </w:r>
    </w:p>
  </w:footnote>
  <w:footnote w:id="0">
    <w:p w14:paraId="343524F3">
      <w:pPr>
        <w:pStyle w:val="20"/>
      </w:pPr>
      <w:r>
        <w:rPr>
          <w:rStyle w:val="27"/>
        </w:rPr>
        <w:footnoteRef/>
      </w:r>
      <w:r>
        <w:t xml:space="preserve"> </w:t>
      </w:r>
      <w:r>
        <w:rPr>
          <w:rFonts w:hint="eastAsia"/>
        </w:rPr>
        <w:t>基金项目：国家自然科学基金项目“中国新兴产业创新政策组合的绩效影响机制研究”（项目编号：72074204）。</w:t>
      </w:r>
    </w:p>
  </w:footnote>
</w:footnotes>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xiaojiong wang">
    <w15:presenceInfo w15:providerId="Windows Live" w15:userId="00a1678b18e7277c"/>
  </w15:person>
  <w15:person w15:author="陈海婷">
    <w15:presenceInfo w15:providerId="None" w15:userId="陈海婷"/>
  </w15:person>
  <w15:person w15:author="Claude">
    <w15:presenceInfo w15:providerId="None" w15:userId="Claude"/>
  </w15:person>
  <w15:person w15:author="W">
    <w15:presenceInfo w15:providerId="WPS Office" w15:userId="188642087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4"/>
  <w:embedSystemFonts/>
  <w:bordersDoNotSurroundHeader w:val="1"/>
  <w:bordersDoNotSurroundFooter w:val="1"/>
  <w:doNotTrackMoves/>
  <w:trackRevisions w:val="1"/>
  <w:documentProtection w:enforcement="0"/>
  <w:defaultTabStop w:val="720"/>
  <w:drawingGridHorizontalSpacing w:val="360"/>
  <w:drawingGridVerticalSpacing w:val="360"/>
  <w:displayHorizontalDrawingGridEvery w:val="0"/>
  <w:displayVerticalDrawingGridEvery w:val="0"/>
  <w:characterSpacingControl w:val="doNotCompress"/>
  <w:footnotePr>
    <w:numRestart w:val="eachSect"/>
    <w:footnote w:id="2"/>
    <w:footnote w:id="3"/>
  </w:footnotePr>
  <w:endnotePr>
    <w:endnote w:id="0"/>
    <w:endnote w:id="1"/>
  </w:endnotePr>
  <w:compat>
    <w:useFELayout/>
    <w:splitPgBreakAndParaMark/>
    <w:compatSetting w:name="compatibilityMode" w:uri="http://schemas.microsoft.com/office/word" w:val="12"/>
  </w:compat>
  <w:rsids>
    <w:rsidRoot w:val="00B170B8"/>
    <w:rsid w:val="000014CE"/>
    <w:rsid w:val="00032F0D"/>
    <w:rsid w:val="00033C4E"/>
    <w:rsid w:val="001852FA"/>
    <w:rsid w:val="00187FB6"/>
    <w:rsid w:val="002D01BC"/>
    <w:rsid w:val="002E62A5"/>
    <w:rsid w:val="003154B0"/>
    <w:rsid w:val="00344601"/>
    <w:rsid w:val="003B1D2F"/>
    <w:rsid w:val="003F1224"/>
    <w:rsid w:val="00400B12"/>
    <w:rsid w:val="004E1356"/>
    <w:rsid w:val="005706FC"/>
    <w:rsid w:val="005B0E15"/>
    <w:rsid w:val="005D1E93"/>
    <w:rsid w:val="00680BDD"/>
    <w:rsid w:val="006C1089"/>
    <w:rsid w:val="006C1702"/>
    <w:rsid w:val="00730A47"/>
    <w:rsid w:val="007C7C75"/>
    <w:rsid w:val="0085259E"/>
    <w:rsid w:val="00870682"/>
    <w:rsid w:val="0088603A"/>
    <w:rsid w:val="008A5446"/>
    <w:rsid w:val="009001C2"/>
    <w:rsid w:val="009842DD"/>
    <w:rsid w:val="009D1235"/>
    <w:rsid w:val="009D28AC"/>
    <w:rsid w:val="009D5AE3"/>
    <w:rsid w:val="00A35D77"/>
    <w:rsid w:val="00A56D64"/>
    <w:rsid w:val="00A606CC"/>
    <w:rsid w:val="00A73DDF"/>
    <w:rsid w:val="00A93A26"/>
    <w:rsid w:val="00AA0677"/>
    <w:rsid w:val="00B1688F"/>
    <w:rsid w:val="00B170B8"/>
    <w:rsid w:val="00BC5F23"/>
    <w:rsid w:val="00BF3622"/>
    <w:rsid w:val="00C35243"/>
    <w:rsid w:val="00CA09F1"/>
    <w:rsid w:val="00D474CB"/>
    <w:rsid w:val="00E1650D"/>
    <w:rsid w:val="00E3031A"/>
    <w:rsid w:val="00E67F41"/>
    <w:rsid w:val="00E816FD"/>
    <w:rsid w:val="00F271DE"/>
    <w:rsid w:val="00FA0DA9"/>
    <w:rsid w:val="1FFB7FE3"/>
    <w:rsid w:val="2FEF6DCE"/>
    <w:rsid w:val="FF7BD12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0" w:semiHidden="0" w:name="Title"/>
    <w:lsdException w:unhideWhenUsed="0" w:uiPriority="0" w:semiHidden="0" w:name="Closing"/>
    <w:lsdException w:unhideWhenUsed="0" w:uiPriority="0" w:semiHidden="0" w:name="Signature"/>
    <w:lsdException w:uiPriority="1" w:semiHidden="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11"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360" w:lineRule="atLeast"/>
      <w:jc w:val="both"/>
    </w:pPr>
    <w:rPr>
      <w:rFonts w:ascii="Times New Roman" w:hAnsi="Times New Roman" w:eastAsia="宋体" w:cstheme="minorBidi"/>
      <w:sz w:val="21"/>
      <w:szCs w:val="21"/>
      <w:lang w:val="en-US" w:eastAsia="zh-CN" w:bidi="ar-SA"/>
    </w:rPr>
  </w:style>
  <w:style w:type="paragraph" w:styleId="2">
    <w:name w:val="heading 1"/>
    <w:basedOn w:val="1"/>
    <w:next w:val="3"/>
    <w:link w:val="36"/>
    <w:qFormat/>
    <w:uiPriority w:val="0"/>
    <w:pPr>
      <w:keepNext/>
      <w:spacing w:before="160" w:after="120"/>
      <w:jc w:val="left"/>
      <w:outlineLvl w:val="0"/>
    </w:pPr>
    <w:rPr>
      <w:rFonts w:eastAsia="黑体"/>
      <w:b/>
      <w:sz w:val="24"/>
      <w:szCs w:val="24"/>
    </w:rPr>
  </w:style>
  <w:style w:type="paragraph" w:styleId="4">
    <w:name w:val="heading 2"/>
    <w:basedOn w:val="1"/>
    <w:next w:val="3"/>
    <w:link w:val="37"/>
    <w:qFormat/>
    <w:uiPriority w:val="0"/>
    <w:pPr>
      <w:keepNext/>
      <w:spacing w:before="120" w:after="80"/>
      <w:jc w:val="left"/>
      <w:outlineLvl w:val="1"/>
    </w:pPr>
    <w:rPr>
      <w:rFonts w:eastAsia="黑体"/>
      <w:b/>
    </w:rPr>
  </w:style>
  <w:style w:type="paragraph" w:styleId="5">
    <w:name w:val="heading 3"/>
    <w:basedOn w:val="1"/>
    <w:next w:val="3"/>
    <w:link w:val="38"/>
    <w:qFormat/>
    <w:uiPriority w:val="0"/>
    <w:pPr>
      <w:keepNext/>
      <w:spacing w:before="80" w:after="60"/>
      <w:jc w:val="left"/>
      <w:outlineLvl w:val="2"/>
    </w:pPr>
    <w:rPr>
      <w:rFonts w:eastAsia="黑体"/>
      <w:b/>
    </w:rPr>
  </w:style>
  <w:style w:type="paragraph" w:styleId="6">
    <w:name w:val="heading 4"/>
    <w:basedOn w:val="1"/>
    <w:next w:val="3"/>
    <w:link w:val="39"/>
    <w:semiHidden/>
    <w:unhideWhenUsed/>
    <w:qFormat/>
    <w:uiPriority w:val="9"/>
    <w:pPr>
      <w:keepNext/>
      <w:keepLines/>
      <w:spacing w:before="80" w:after="40"/>
      <w:outlineLvl w:val="3"/>
    </w:pPr>
    <w:rPr>
      <w:rFonts w:eastAsiaTheme="majorEastAsia" w:cstheme="majorBidi"/>
      <w:i/>
      <w:iCs/>
      <w:color w:val="0F4761" w:themeColor="accent1" w:themeShade="BF"/>
    </w:rPr>
  </w:style>
  <w:style w:type="paragraph" w:styleId="7">
    <w:name w:val="heading 5"/>
    <w:basedOn w:val="1"/>
    <w:next w:val="3"/>
    <w:link w:val="40"/>
    <w:semiHidden/>
    <w:unhideWhenUsed/>
    <w:qFormat/>
    <w:uiPriority w:val="9"/>
    <w:pPr>
      <w:keepNext/>
      <w:keepLines/>
      <w:spacing w:before="80" w:after="40"/>
      <w:outlineLvl w:val="4"/>
    </w:pPr>
    <w:rPr>
      <w:rFonts w:eastAsiaTheme="majorEastAsia" w:cstheme="majorBidi"/>
      <w:color w:val="0F4761" w:themeColor="accent1" w:themeShade="BF"/>
    </w:rPr>
  </w:style>
  <w:style w:type="paragraph" w:styleId="8">
    <w:name w:val="heading 6"/>
    <w:basedOn w:val="1"/>
    <w:next w:val="3"/>
    <w:link w:val="41"/>
    <w:semiHidden/>
    <w:unhideWhenUsed/>
    <w:qFormat/>
    <w:uiPriority w:val="9"/>
    <w:pPr>
      <w:keepNext/>
      <w:keepLines/>
      <w:spacing w:before="40"/>
      <w:outlineLvl w:val="5"/>
    </w:pPr>
    <w:rPr>
      <w:rFonts w:eastAsiaTheme="majorEastAsia" w:cstheme="majorBidi"/>
      <w:i/>
      <w:iCs/>
      <w:color w:val="585858" w:themeColor="text1" w:themeTint="A6"/>
    </w:rPr>
  </w:style>
  <w:style w:type="paragraph" w:styleId="9">
    <w:name w:val="heading 7"/>
    <w:basedOn w:val="1"/>
    <w:next w:val="3"/>
    <w:link w:val="42"/>
    <w:semiHidden/>
    <w:unhideWhenUsed/>
    <w:qFormat/>
    <w:uiPriority w:val="9"/>
    <w:pPr>
      <w:keepNext/>
      <w:keepLines/>
      <w:spacing w:before="40"/>
      <w:outlineLvl w:val="6"/>
    </w:pPr>
    <w:rPr>
      <w:rFonts w:eastAsiaTheme="majorEastAsia" w:cstheme="majorBidi"/>
      <w:color w:val="585858" w:themeColor="text1" w:themeTint="A6"/>
    </w:rPr>
  </w:style>
  <w:style w:type="paragraph" w:styleId="10">
    <w:name w:val="heading 8"/>
    <w:basedOn w:val="1"/>
    <w:next w:val="3"/>
    <w:link w:val="43"/>
    <w:semiHidden/>
    <w:unhideWhenUsed/>
    <w:qFormat/>
    <w:uiPriority w:val="9"/>
    <w:pPr>
      <w:keepNext/>
      <w:keepLines/>
      <w:outlineLvl w:val="7"/>
    </w:pPr>
    <w:rPr>
      <w:rFonts w:eastAsiaTheme="majorEastAsia" w:cstheme="majorBidi"/>
      <w:i/>
      <w:iCs/>
      <w:color w:val="262626" w:themeColor="text1" w:themeTint="D8"/>
    </w:rPr>
  </w:style>
  <w:style w:type="paragraph" w:styleId="11">
    <w:name w:val="heading 9"/>
    <w:basedOn w:val="1"/>
    <w:next w:val="3"/>
    <w:link w:val="44"/>
    <w:semiHidden/>
    <w:unhideWhenUsed/>
    <w:qFormat/>
    <w:uiPriority w:val="9"/>
    <w:pPr>
      <w:keepNext/>
      <w:keepLines/>
      <w:outlineLvl w:val="8"/>
    </w:pPr>
    <w:rPr>
      <w:rFonts w:eastAsiaTheme="majorEastAsia" w:cstheme="majorBidi"/>
      <w:color w:val="262626" w:themeColor="text1" w:themeTint="D8"/>
    </w:rPr>
  </w:style>
  <w:style w:type="character" w:default="1" w:styleId="23">
    <w:name w:val="Default Paragraph Font"/>
    <w:unhideWhenUsed/>
    <w:uiPriority w:val="1"/>
  </w:style>
  <w:style w:type="table" w:default="1" w:styleId="22">
    <w:name w:val="Normal Table"/>
    <w:semiHidden/>
    <w:unhideWhenUsed/>
    <w:uiPriority w:val="99"/>
    <w:tblPr>
      <w:tblCellMar>
        <w:top w:w="0" w:type="dxa"/>
        <w:left w:w="108" w:type="dxa"/>
        <w:bottom w:w="0" w:type="dxa"/>
        <w:right w:w="108" w:type="dxa"/>
      </w:tblCellMar>
    </w:tblPr>
  </w:style>
  <w:style w:type="paragraph" w:styleId="3">
    <w:name w:val="Body Text"/>
    <w:basedOn w:val="1"/>
    <w:link w:val="25"/>
    <w:qFormat/>
    <w:uiPriority w:val="0"/>
    <w:pPr>
      <w:ind w:firstLine="420" w:firstLineChars="200"/>
    </w:pPr>
  </w:style>
  <w:style w:type="paragraph" w:styleId="12">
    <w:name w:val="caption"/>
    <w:basedOn w:val="1"/>
    <w:uiPriority w:val="0"/>
    <w:pPr>
      <w:spacing w:after="120"/>
    </w:pPr>
    <w:rPr>
      <w:i/>
    </w:rPr>
  </w:style>
  <w:style w:type="paragraph" w:styleId="13">
    <w:name w:val="annotation text"/>
    <w:basedOn w:val="1"/>
    <w:link w:val="98"/>
    <w:uiPriority w:val="0"/>
    <w:pPr>
      <w:jc w:val="left"/>
    </w:pPr>
  </w:style>
  <w:style w:type="paragraph" w:styleId="14">
    <w:name w:val="Block Text"/>
    <w:basedOn w:val="3"/>
    <w:next w:val="3"/>
    <w:unhideWhenUsed/>
    <w:qFormat/>
    <w:uiPriority w:val="9"/>
    <w:pPr>
      <w:spacing w:before="100" w:after="100"/>
      <w:ind w:left="480" w:right="480" w:firstLine="0"/>
    </w:pPr>
  </w:style>
  <w:style w:type="paragraph" w:styleId="15">
    <w:name w:val="Date"/>
    <w:basedOn w:val="16"/>
    <w:next w:val="3"/>
    <w:qFormat/>
    <w:uiPriority w:val="0"/>
    <w:pPr>
      <w:keepNext/>
      <w:keepLines/>
    </w:pPr>
    <w:rPr>
      <w:sz w:val="24"/>
      <w:szCs w:val="24"/>
    </w:rPr>
  </w:style>
  <w:style w:type="paragraph" w:styleId="16">
    <w:name w:val="Title"/>
    <w:basedOn w:val="1"/>
    <w:next w:val="3"/>
    <w:link w:val="30"/>
    <w:qFormat/>
    <w:uiPriority w:val="10"/>
    <w:pPr>
      <w:spacing w:after="80" w:line="240" w:lineRule="auto"/>
      <w:contextualSpacing/>
      <w:jc w:val="center"/>
    </w:pPr>
    <w:rPr>
      <w:rFonts w:asciiTheme="majorHAnsi" w:hAnsiTheme="majorHAnsi" w:eastAsiaTheme="majorEastAsia" w:cstheme="majorBidi"/>
      <w:sz w:val="56"/>
      <w:szCs w:val="56"/>
    </w:rPr>
  </w:style>
  <w:style w:type="paragraph" w:styleId="17">
    <w:name w:val="footer"/>
    <w:basedOn w:val="1"/>
    <w:link w:val="96"/>
    <w:uiPriority w:val="0"/>
    <w:pPr>
      <w:tabs>
        <w:tab w:val="center" w:pos="4153"/>
        <w:tab w:val="right" w:pos="8306"/>
      </w:tabs>
      <w:snapToGrid w:val="0"/>
      <w:spacing w:line="240" w:lineRule="atLeast"/>
      <w:jc w:val="left"/>
    </w:pPr>
    <w:rPr>
      <w:sz w:val="18"/>
      <w:szCs w:val="18"/>
    </w:rPr>
  </w:style>
  <w:style w:type="paragraph" w:styleId="18">
    <w:name w:val="header"/>
    <w:basedOn w:val="1"/>
    <w:link w:val="95"/>
    <w:uiPriority w:val="0"/>
    <w:pPr>
      <w:tabs>
        <w:tab w:val="center" w:pos="4153"/>
        <w:tab w:val="right" w:pos="8306"/>
      </w:tabs>
      <w:snapToGrid w:val="0"/>
      <w:spacing w:line="240" w:lineRule="atLeast"/>
      <w:jc w:val="center"/>
    </w:pPr>
    <w:rPr>
      <w:sz w:val="18"/>
      <w:szCs w:val="18"/>
    </w:rPr>
  </w:style>
  <w:style w:type="paragraph" w:styleId="19">
    <w:name w:val="Subtitle"/>
    <w:basedOn w:val="16"/>
    <w:next w:val="3"/>
    <w:link w:val="31"/>
    <w:qFormat/>
    <w:uiPriority w:val="11"/>
    <w:rPr>
      <w:spacing w:val="15"/>
      <w:sz w:val="28"/>
      <w:szCs w:val="28"/>
    </w:rPr>
  </w:style>
  <w:style w:type="paragraph" w:styleId="20">
    <w:name w:val="footnote text"/>
    <w:basedOn w:val="1"/>
    <w:uiPriority w:val="0"/>
    <w:pPr>
      <w:spacing w:line="240" w:lineRule="auto"/>
    </w:pPr>
    <w:rPr>
      <w:sz w:val="18"/>
      <w:szCs w:val="18"/>
    </w:rPr>
  </w:style>
  <w:style w:type="paragraph" w:styleId="21">
    <w:name w:val="annotation subject"/>
    <w:basedOn w:val="13"/>
    <w:next w:val="13"/>
    <w:link w:val="99"/>
    <w:uiPriority w:val="0"/>
    <w:rPr>
      <w:b/>
      <w:bCs/>
    </w:rPr>
  </w:style>
  <w:style w:type="character" w:styleId="24">
    <w:name w:val="Hyperlink"/>
    <w:basedOn w:val="25"/>
    <w:uiPriority w:val="0"/>
    <w:rPr>
      <w:color w:val="156082" w:themeColor="accent1"/>
    </w:rPr>
  </w:style>
  <w:style w:type="character" w:customStyle="1" w:styleId="25">
    <w:name w:val="正文文本 字符"/>
    <w:basedOn w:val="23"/>
    <w:link w:val="3"/>
    <w:uiPriority w:val="0"/>
  </w:style>
  <w:style w:type="character" w:styleId="26">
    <w:name w:val="annotation reference"/>
    <w:basedOn w:val="23"/>
    <w:uiPriority w:val="0"/>
    <w:rPr>
      <w:sz w:val="21"/>
      <w:szCs w:val="21"/>
    </w:rPr>
  </w:style>
  <w:style w:type="character" w:styleId="27">
    <w:name w:val="footnote reference"/>
    <w:basedOn w:val="25"/>
    <w:uiPriority w:val="0"/>
    <w:rPr>
      <w:vertAlign w:val="superscript"/>
    </w:rPr>
  </w:style>
  <w:style w:type="paragraph" w:customStyle="1" w:styleId="28">
    <w:name w:val="First Paragraph"/>
    <w:basedOn w:val="1"/>
    <w:qFormat/>
    <w:uiPriority w:val="0"/>
    <w:pPr>
      <w:ind w:firstLine="420" w:firstLineChars="200"/>
    </w:pPr>
  </w:style>
  <w:style w:type="paragraph" w:customStyle="1" w:styleId="29">
    <w:name w:val="Compact"/>
    <w:basedOn w:val="1"/>
    <w:qFormat/>
    <w:uiPriority w:val="0"/>
    <w:pPr>
      <w:spacing w:before="20" w:after="20" w:line="240" w:lineRule="auto"/>
      <w:jc w:val="center"/>
    </w:pPr>
    <w:rPr>
      <w:sz w:val="18"/>
      <w:szCs w:val="18"/>
    </w:rPr>
  </w:style>
  <w:style w:type="character" w:customStyle="1" w:styleId="30">
    <w:name w:val="标题 字符"/>
    <w:basedOn w:val="23"/>
    <w:link w:val="16"/>
    <w:uiPriority w:val="10"/>
    <w:rPr>
      <w:rFonts w:asciiTheme="majorHAnsi" w:hAnsiTheme="majorHAnsi" w:eastAsiaTheme="majorEastAsia" w:cstheme="majorBidi"/>
      <w:sz w:val="56"/>
      <w:szCs w:val="56"/>
    </w:rPr>
  </w:style>
  <w:style w:type="character" w:customStyle="1" w:styleId="31">
    <w:name w:val="副标题 字符"/>
    <w:basedOn w:val="23"/>
    <w:link w:val="19"/>
    <w:uiPriority w:val="11"/>
    <w:rPr>
      <w:rFonts w:eastAsiaTheme="majorEastAsia" w:cstheme="majorBidi"/>
      <w:color w:val="585858" w:themeColor="text1" w:themeTint="A6"/>
      <w:spacing w:val="15"/>
      <w:sz w:val="28"/>
      <w:szCs w:val="28"/>
    </w:rPr>
  </w:style>
  <w:style w:type="paragraph" w:customStyle="1" w:styleId="32">
    <w:name w:val="Author"/>
    <w:basedOn w:val="16"/>
    <w:next w:val="3"/>
    <w:qFormat/>
    <w:uiPriority w:val="0"/>
    <w:pPr>
      <w:keepNext/>
      <w:keepLines/>
    </w:pPr>
    <w:rPr>
      <w:sz w:val="24"/>
      <w:szCs w:val="24"/>
    </w:rPr>
  </w:style>
  <w:style w:type="paragraph" w:customStyle="1" w:styleId="33">
    <w:name w:val="Abstract Title"/>
    <w:basedOn w:val="1"/>
    <w:next w:val="34"/>
    <w:qFormat/>
    <w:uiPriority w:val="0"/>
    <w:pPr>
      <w:keepNext/>
      <w:keepLines/>
      <w:spacing w:before="300"/>
      <w:jc w:val="center"/>
    </w:pPr>
    <w:rPr>
      <w:b/>
      <w:sz w:val="20"/>
      <w:szCs w:val="20"/>
    </w:rPr>
  </w:style>
  <w:style w:type="paragraph" w:customStyle="1" w:styleId="34">
    <w:name w:val="Abstract"/>
    <w:basedOn w:val="1"/>
    <w:next w:val="3"/>
    <w:qFormat/>
    <w:uiPriority w:val="0"/>
    <w:pPr>
      <w:keepNext/>
      <w:keepLines/>
      <w:spacing w:before="100" w:after="300"/>
    </w:pPr>
    <w:rPr>
      <w:sz w:val="20"/>
      <w:szCs w:val="20"/>
    </w:rPr>
  </w:style>
  <w:style w:type="paragraph" w:customStyle="1" w:styleId="35">
    <w:name w:val="书目1"/>
    <w:basedOn w:val="1"/>
    <w:qFormat/>
    <w:uiPriority w:val="0"/>
  </w:style>
  <w:style w:type="character" w:customStyle="1" w:styleId="36">
    <w:name w:val="标题 1 字符"/>
    <w:basedOn w:val="23"/>
    <w:link w:val="2"/>
    <w:uiPriority w:val="9"/>
    <w:rPr>
      <w:rFonts w:asciiTheme="majorHAnsi" w:hAnsiTheme="majorHAnsi" w:eastAsiaTheme="majorEastAsia" w:cstheme="majorBidi"/>
      <w:color w:val="0F4761" w:themeColor="accent1" w:themeShade="BF"/>
      <w:sz w:val="40"/>
      <w:szCs w:val="40"/>
    </w:rPr>
  </w:style>
  <w:style w:type="character" w:customStyle="1" w:styleId="37">
    <w:name w:val="标题 2 字符"/>
    <w:basedOn w:val="23"/>
    <w:link w:val="4"/>
    <w:semiHidden/>
    <w:uiPriority w:val="9"/>
    <w:rPr>
      <w:rFonts w:asciiTheme="majorHAnsi" w:hAnsiTheme="majorHAnsi" w:eastAsiaTheme="majorEastAsia" w:cstheme="majorBidi"/>
      <w:color w:val="0F4761" w:themeColor="accent1" w:themeShade="BF"/>
      <w:sz w:val="32"/>
      <w:szCs w:val="32"/>
    </w:rPr>
  </w:style>
  <w:style w:type="character" w:customStyle="1" w:styleId="38">
    <w:name w:val="标题 3 字符"/>
    <w:basedOn w:val="23"/>
    <w:link w:val="5"/>
    <w:semiHidden/>
    <w:uiPriority w:val="9"/>
    <w:rPr>
      <w:rFonts w:eastAsiaTheme="majorEastAsia" w:cstheme="majorBidi"/>
      <w:color w:val="0F4761" w:themeColor="accent1" w:themeShade="BF"/>
      <w:sz w:val="28"/>
      <w:szCs w:val="28"/>
    </w:rPr>
  </w:style>
  <w:style w:type="character" w:customStyle="1" w:styleId="39">
    <w:name w:val="标题 4 字符"/>
    <w:basedOn w:val="23"/>
    <w:link w:val="6"/>
    <w:semiHidden/>
    <w:uiPriority w:val="9"/>
    <w:rPr>
      <w:rFonts w:eastAsiaTheme="majorEastAsia" w:cstheme="majorBidi"/>
      <w:i/>
      <w:iCs/>
      <w:color w:val="0F4761" w:themeColor="accent1" w:themeShade="BF"/>
    </w:rPr>
  </w:style>
  <w:style w:type="character" w:customStyle="1" w:styleId="40">
    <w:name w:val="标题 5 字符"/>
    <w:basedOn w:val="23"/>
    <w:link w:val="7"/>
    <w:semiHidden/>
    <w:uiPriority w:val="9"/>
    <w:rPr>
      <w:rFonts w:eastAsiaTheme="majorEastAsia" w:cstheme="majorBidi"/>
      <w:color w:val="0F4761" w:themeColor="accent1" w:themeShade="BF"/>
    </w:rPr>
  </w:style>
  <w:style w:type="character" w:customStyle="1" w:styleId="41">
    <w:name w:val="标题 6 字符"/>
    <w:basedOn w:val="23"/>
    <w:link w:val="8"/>
    <w:semiHidden/>
    <w:uiPriority w:val="9"/>
    <w:rPr>
      <w:rFonts w:eastAsiaTheme="majorEastAsia" w:cstheme="majorBidi"/>
      <w:i/>
      <w:iCs/>
      <w:color w:val="585858" w:themeColor="text1" w:themeTint="A6"/>
    </w:rPr>
  </w:style>
  <w:style w:type="character" w:customStyle="1" w:styleId="42">
    <w:name w:val="标题 7 字符"/>
    <w:basedOn w:val="23"/>
    <w:link w:val="9"/>
    <w:semiHidden/>
    <w:uiPriority w:val="9"/>
    <w:rPr>
      <w:rFonts w:eastAsiaTheme="majorEastAsia" w:cstheme="majorBidi"/>
      <w:color w:val="585858" w:themeColor="text1" w:themeTint="A6"/>
    </w:rPr>
  </w:style>
  <w:style w:type="character" w:customStyle="1" w:styleId="43">
    <w:name w:val="标题 8 字符"/>
    <w:basedOn w:val="23"/>
    <w:link w:val="10"/>
    <w:semiHidden/>
    <w:uiPriority w:val="9"/>
    <w:rPr>
      <w:rFonts w:eastAsiaTheme="majorEastAsia" w:cstheme="majorBidi"/>
      <w:i/>
      <w:iCs/>
      <w:color w:val="262626" w:themeColor="text1" w:themeTint="D8"/>
    </w:rPr>
  </w:style>
  <w:style w:type="character" w:customStyle="1" w:styleId="44">
    <w:name w:val="标题 9 字符"/>
    <w:basedOn w:val="23"/>
    <w:link w:val="11"/>
    <w:semiHidden/>
    <w:uiPriority w:val="9"/>
    <w:rPr>
      <w:rFonts w:eastAsiaTheme="majorEastAsia" w:cstheme="majorBidi"/>
      <w:color w:val="262626" w:themeColor="text1" w:themeTint="D8"/>
    </w:rPr>
  </w:style>
  <w:style w:type="paragraph" w:customStyle="1" w:styleId="45">
    <w:name w:val="Footnote Block Text"/>
    <w:basedOn w:val="20"/>
    <w:next w:val="20"/>
    <w:unhideWhenUsed/>
    <w:qFormat/>
    <w:uiPriority w:val="9"/>
    <w:pPr>
      <w:spacing w:before="100" w:after="100"/>
      <w:ind w:left="480" w:right="480"/>
    </w:pPr>
  </w:style>
  <w:style w:type="table" w:customStyle="1" w:styleId="46">
    <w:name w:val="Table"/>
    <w:uiPriority w:val="0"/>
    <w:tblPr>
      <w:tblBorders>
        <w:top w:val="single" w:color="000000" w:sz="8" w:space="0"/>
        <w:left w:val="single" w:color="000000" w:sz="4" w:space="0"/>
        <w:bottom w:val="single" w:color="000000" w:sz="8" w:space="0"/>
        <w:right w:val="single" w:color="000000" w:sz="4" w:space="0"/>
        <w:insideH w:val="single" w:color="000000" w:sz="4" w:space="0"/>
        <w:insideV w:val="single" w:color="000000" w:sz="4" w:space="0"/>
      </w:tblBorders>
      <w:tblCellMar>
        <w:top w:w="30" w:type="dxa"/>
        <w:left w:w="60" w:type="dxa"/>
        <w:bottom w:w="30" w:type="dxa"/>
        <w:right w:w="60" w:type="dxa"/>
      </w:tblCellMar>
    </w:tblPr>
  </w:style>
  <w:style w:type="paragraph" w:customStyle="1" w:styleId="47">
    <w:name w:val="Definition Term"/>
    <w:basedOn w:val="1"/>
    <w:next w:val="48"/>
    <w:uiPriority w:val="0"/>
    <w:pPr>
      <w:keepNext/>
      <w:keepLines/>
    </w:pPr>
    <w:rPr>
      <w:b/>
    </w:rPr>
  </w:style>
  <w:style w:type="paragraph" w:customStyle="1" w:styleId="48">
    <w:name w:val="Definition"/>
    <w:basedOn w:val="1"/>
    <w:uiPriority w:val="0"/>
  </w:style>
  <w:style w:type="paragraph" w:customStyle="1" w:styleId="49">
    <w:name w:val="Table Caption"/>
    <w:basedOn w:val="12"/>
    <w:uiPriority w:val="0"/>
    <w:pPr>
      <w:keepNext/>
    </w:pPr>
  </w:style>
  <w:style w:type="paragraph" w:customStyle="1" w:styleId="50">
    <w:name w:val="Image Caption"/>
    <w:basedOn w:val="12"/>
    <w:uiPriority w:val="0"/>
  </w:style>
  <w:style w:type="paragraph" w:customStyle="1" w:styleId="51">
    <w:name w:val="Figure"/>
    <w:basedOn w:val="1"/>
    <w:uiPriority w:val="0"/>
  </w:style>
  <w:style w:type="paragraph" w:customStyle="1" w:styleId="52">
    <w:name w:val="Captioned Figure"/>
    <w:basedOn w:val="51"/>
    <w:uiPriority w:val="0"/>
    <w:pPr>
      <w:keepNext/>
    </w:pPr>
  </w:style>
  <w:style w:type="character" w:customStyle="1" w:styleId="53">
    <w:name w:val="Verbatim Char"/>
    <w:basedOn w:val="25"/>
    <w:link w:val="54"/>
    <w:uiPriority w:val="0"/>
    <w:rPr>
      <w:rFonts w:ascii="Consolas" w:hAnsi="Consolas"/>
      <w:sz w:val="22"/>
    </w:rPr>
  </w:style>
  <w:style w:type="paragraph" w:customStyle="1" w:styleId="54">
    <w:name w:val="Source Code"/>
    <w:basedOn w:val="1"/>
    <w:link w:val="53"/>
    <w:uiPriority w:val="0"/>
    <w:pPr>
      <w:wordWrap w:val="0"/>
    </w:pPr>
  </w:style>
  <w:style w:type="character" w:customStyle="1" w:styleId="55">
    <w:name w:val="Section Number"/>
    <w:basedOn w:val="25"/>
    <w:uiPriority w:val="0"/>
  </w:style>
  <w:style w:type="paragraph" w:customStyle="1" w:styleId="56">
    <w:name w:val="TOC 标题1"/>
    <w:basedOn w:val="2"/>
    <w:next w:val="3"/>
    <w:unhideWhenUsed/>
    <w:qFormat/>
    <w:uiPriority w:val="39"/>
    <w:pPr>
      <w:spacing w:before="240" w:line="259" w:lineRule="auto"/>
      <w:outlineLvl w:val="9"/>
    </w:pPr>
    <w:rPr>
      <w:rFonts w:asciiTheme="majorHAnsi" w:hAnsiTheme="majorHAnsi" w:eastAsiaTheme="majorEastAsia" w:cstheme="majorBidi"/>
      <w:b w:val="0"/>
      <w:color w:val="0F4761" w:themeColor="accent1" w:themeShade="BF"/>
    </w:rPr>
  </w:style>
  <w:style w:type="paragraph" w:customStyle="1" w:styleId="57">
    <w:name w:val="PaperTitle"/>
    <w:basedOn w:val="1"/>
    <w:qFormat/>
    <w:uiPriority w:val="0"/>
    <w:pPr>
      <w:spacing w:before="120" w:after="160" w:line="400" w:lineRule="atLeast"/>
      <w:jc w:val="center"/>
    </w:pPr>
    <w:rPr>
      <w:rFonts w:eastAsia="黑体"/>
      <w:b/>
      <w:sz w:val="28"/>
      <w:szCs w:val="28"/>
    </w:rPr>
  </w:style>
  <w:style w:type="paragraph" w:customStyle="1" w:styleId="58">
    <w:name w:val="Authors"/>
    <w:basedOn w:val="1"/>
    <w:qFormat/>
    <w:uiPriority w:val="0"/>
    <w:pPr>
      <w:spacing w:after="120"/>
      <w:jc w:val="center"/>
    </w:pPr>
    <w:rPr>
      <w:sz w:val="24"/>
      <w:szCs w:val="24"/>
    </w:rPr>
  </w:style>
  <w:style w:type="paragraph" w:customStyle="1" w:styleId="59">
    <w:name w:val="FrontMatter"/>
    <w:basedOn w:val="1"/>
    <w:qFormat/>
    <w:uiPriority w:val="0"/>
    <w:pPr>
      <w:spacing w:before="40" w:after="40"/>
    </w:pPr>
  </w:style>
  <w:style w:type="paragraph" w:customStyle="1" w:styleId="60">
    <w:name w:val="Caption2"/>
    <w:basedOn w:val="1"/>
    <w:qFormat/>
    <w:uiPriority w:val="0"/>
    <w:pPr>
      <w:keepNext/>
      <w:spacing w:before="80" w:after="60"/>
      <w:jc w:val="center"/>
    </w:pPr>
    <w:rPr>
      <w:rFonts w:eastAsia="黑体"/>
    </w:rPr>
  </w:style>
  <w:style w:type="paragraph" w:customStyle="1" w:styleId="61">
    <w:name w:val="CenteredPara"/>
    <w:basedOn w:val="1"/>
    <w:qFormat/>
    <w:uiPriority w:val="0"/>
    <w:pPr>
      <w:spacing w:before="60" w:after="40"/>
      <w:jc w:val="center"/>
    </w:pPr>
  </w:style>
  <w:style w:type="paragraph" w:customStyle="1" w:styleId="62">
    <w:name w:val="SourceNote"/>
    <w:basedOn w:val="1"/>
    <w:qFormat/>
    <w:uiPriority w:val="0"/>
    <w:pPr>
      <w:spacing w:before="20" w:after="80"/>
      <w:jc w:val="left"/>
    </w:pPr>
    <w:rPr>
      <w:sz w:val="18"/>
      <w:szCs w:val="18"/>
    </w:rPr>
  </w:style>
  <w:style w:type="paragraph" w:customStyle="1" w:styleId="63">
    <w:name w:val="RefText"/>
    <w:basedOn w:val="1"/>
    <w:qFormat/>
    <w:uiPriority w:val="0"/>
    <w:pPr>
      <w:spacing w:before="20" w:after="20" w:line="300" w:lineRule="atLeast"/>
      <w:ind w:left="420" w:hanging="420"/>
    </w:pPr>
    <w:rPr>
      <w:sz w:val="18"/>
      <w:szCs w:val="18"/>
    </w:rPr>
  </w:style>
  <w:style w:type="character" w:customStyle="1" w:styleId="64">
    <w:name w:val="KeywordTok"/>
    <w:basedOn w:val="53"/>
    <w:uiPriority w:val="0"/>
    <w:rPr>
      <w:rFonts w:ascii="Consolas" w:hAnsi="Consolas"/>
      <w:b/>
      <w:color w:val="007020"/>
      <w:sz w:val="22"/>
    </w:rPr>
  </w:style>
  <w:style w:type="character" w:customStyle="1" w:styleId="65">
    <w:name w:val="DataTypeTok"/>
    <w:basedOn w:val="53"/>
    <w:uiPriority w:val="0"/>
    <w:rPr>
      <w:rFonts w:ascii="Consolas" w:hAnsi="Consolas"/>
      <w:color w:val="902000"/>
      <w:sz w:val="22"/>
    </w:rPr>
  </w:style>
  <w:style w:type="character" w:customStyle="1" w:styleId="66">
    <w:name w:val="DecValTok"/>
    <w:basedOn w:val="53"/>
    <w:uiPriority w:val="0"/>
    <w:rPr>
      <w:rFonts w:ascii="Consolas" w:hAnsi="Consolas"/>
      <w:color w:val="40A070"/>
      <w:sz w:val="22"/>
    </w:rPr>
  </w:style>
  <w:style w:type="character" w:customStyle="1" w:styleId="67">
    <w:name w:val="BaseNTok"/>
    <w:basedOn w:val="53"/>
    <w:uiPriority w:val="0"/>
    <w:rPr>
      <w:rFonts w:ascii="Consolas" w:hAnsi="Consolas"/>
      <w:color w:val="40A070"/>
      <w:sz w:val="22"/>
    </w:rPr>
  </w:style>
  <w:style w:type="character" w:customStyle="1" w:styleId="68">
    <w:name w:val="FloatTok"/>
    <w:basedOn w:val="53"/>
    <w:uiPriority w:val="0"/>
    <w:rPr>
      <w:rFonts w:ascii="Consolas" w:hAnsi="Consolas"/>
      <w:color w:val="40A070"/>
      <w:sz w:val="22"/>
    </w:rPr>
  </w:style>
  <w:style w:type="character" w:customStyle="1" w:styleId="69">
    <w:name w:val="ConstantTok"/>
    <w:basedOn w:val="53"/>
    <w:uiPriority w:val="0"/>
    <w:rPr>
      <w:rFonts w:ascii="Consolas" w:hAnsi="Consolas"/>
      <w:color w:val="880000"/>
      <w:sz w:val="22"/>
    </w:rPr>
  </w:style>
  <w:style w:type="character" w:customStyle="1" w:styleId="70">
    <w:name w:val="CharTok"/>
    <w:basedOn w:val="53"/>
    <w:uiPriority w:val="0"/>
    <w:rPr>
      <w:rFonts w:ascii="Consolas" w:hAnsi="Consolas"/>
      <w:color w:val="4070A0"/>
      <w:sz w:val="22"/>
    </w:rPr>
  </w:style>
  <w:style w:type="character" w:customStyle="1" w:styleId="71">
    <w:name w:val="SpecialCharTok"/>
    <w:basedOn w:val="53"/>
    <w:uiPriority w:val="0"/>
    <w:rPr>
      <w:rFonts w:ascii="Consolas" w:hAnsi="Consolas"/>
      <w:color w:val="4070A0"/>
      <w:sz w:val="22"/>
    </w:rPr>
  </w:style>
  <w:style w:type="character" w:customStyle="1" w:styleId="72">
    <w:name w:val="StringTok"/>
    <w:basedOn w:val="53"/>
    <w:uiPriority w:val="0"/>
    <w:rPr>
      <w:rFonts w:ascii="Consolas" w:hAnsi="Consolas"/>
      <w:color w:val="4070A0"/>
      <w:sz w:val="22"/>
    </w:rPr>
  </w:style>
  <w:style w:type="character" w:customStyle="1" w:styleId="73">
    <w:name w:val="VerbatimStringTok"/>
    <w:basedOn w:val="53"/>
    <w:uiPriority w:val="0"/>
    <w:rPr>
      <w:rFonts w:ascii="Consolas" w:hAnsi="Consolas"/>
      <w:color w:val="4070A0"/>
      <w:sz w:val="22"/>
    </w:rPr>
  </w:style>
  <w:style w:type="character" w:customStyle="1" w:styleId="74">
    <w:name w:val="SpecialStringTok"/>
    <w:basedOn w:val="53"/>
    <w:uiPriority w:val="0"/>
    <w:rPr>
      <w:rFonts w:ascii="Consolas" w:hAnsi="Consolas"/>
      <w:color w:val="BB6688"/>
      <w:sz w:val="22"/>
    </w:rPr>
  </w:style>
  <w:style w:type="character" w:customStyle="1" w:styleId="75">
    <w:name w:val="ImportTok"/>
    <w:basedOn w:val="53"/>
    <w:uiPriority w:val="0"/>
    <w:rPr>
      <w:rFonts w:ascii="Consolas" w:hAnsi="Consolas"/>
      <w:b/>
      <w:color w:val="008000"/>
      <w:sz w:val="22"/>
    </w:rPr>
  </w:style>
  <w:style w:type="character" w:customStyle="1" w:styleId="76">
    <w:name w:val="CommentTok"/>
    <w:basedOn w:val="53"/>
    <w:uiPriority w:val="0"/>
    <w:rPr>
      <w:rFonts w:ascii="Consolas" w:hAnsi="Consolas"/>
      <w:i/>
      <w:color w:val="60A0B0"/>
      <w:sz w:val="22"/>
    </w:rPr>
  </w:style>
  <w:style w:type="character" w:customStyle="1" w:styleId="77">
    <w:name w:val="DocumentationTok"/>
    <w:basedOn w:val="53"/>
    <w:uiPriority w:val="0"/>
    <w:rPr>
      <w:rFonts w:ascii="Consolas" w:hAnsi="Consolas"/>
      <w:i/>
      <w:color w:val="BA2121"/>
      <w:sz w:val="22"/>
    </w:rPr>
  </w:style>
  <w:style w:type="character" w:customStyle="1" w:styleId="78">
    <w:name w:val="AnnotationTok"/>
    <w:basedOn w:val="53"/>
    <w:uiPriority w:val="0"/>
    <w:rPr>
      <w:rFonts w:ascii="Consolas" w:hAnsi="Consolas"/>
      <w:b/>
      <w:i/>
      <w:color w:val="60A0B0"/>
      <w:sz w:val="22"/>
    </w:rPr>
  </w:style>
  <w:style w:type="character" w:customStyle="1" w:styleId="79">
    <w:name w:val="CommentVarTok"/>
    <w:basedOn w:val="53"/>
    <w:uiPriority w:val="0"/>
    <w:rPr>
      <w:rFonts w:ascii="Consolas" w:hAnsi="Consolas"/>
      <w:b/>
      <w:i/>
      <w:color w:val="60A0B0"/>
      <w:sz w:val="22"/>
    </w:rPr>
  </w:style>
  <w:style w:type="character" w:customStyle="1" w:styleId="80">
    <w:name w:val="OtherTok"/>
    <w:basedOn w:val="53"/>
    <w:uiPriority w:val="0"/>
    <w:rPr>
      <w:rFonts w:ascii="Consolas" w:hAnsi="Consolas"/>
      <w:color w:val="007020"/>
      <w:sz w:val="22"/>
    </w:rPr>
  </w:style>
  <w:style w:type="character" w:customStyle="1" w:styleId="81">
    <w:name w:val="FunctionTok"/>
    <w:basedOn w:val="53"/>
    <w:uiPriority w:val="0"/>
    <w:rPr>
      <w:rFonts w:ascii="Consolas" w:hAnsi="Consolas"/>
      <w:color w:val="06287E"/>
      <w:sz w:val="22"/>
    </w:rPr>
  </w:style>
  <w:style w:type="character" w:customStyle="1" w:styleId="82">
    <w:name w:val="VariableTok"/>
    <w:basedOn w:val="53"/>
    <w:uiPriority w:val="0"/>
    <w:rPr>
      <w:rFonts w:ascii="Consolas" w:hAnsi="Consolas"/>
      <w:color w:val="19177C"/>
      <w:sz w:val="22"/>
    </w:rPr>
  </w:style>
  <w:style w:type="character" w:customStyle="1" w:styleId="83">
    <w:name w:val="ControlFlowTok"/>
    <w:basedOn w:val="53"/>
    <w:uiPriority w:val="0"/>
    <w:rPr>
      <w:rFonts w:ascii="Consolas" w:hAnsi="Consolas"/>
      <w:b/>
      <w:color w:val="007020"/>
      <w:sz w:val="22"/>
    </w:rPr>
  </w:style>
  <w:style w:type="character" w:customStyle="1" w:styleId="84">
    <w:name w:val="OperatorTok"/>
    <w:basedOn w:val="53"/>
    <w:uiPriority w:val="0"/>
    <w:rPr>
      <w:rFonts w:ascii="Consolas" w:hAnsi="Consolas"/>
      <w:color w:val="666666"/>
      <w:sz w:val="22"/>
    </w:rPr>
  </w:style>
  <w:style w:type="character" w:customStyle="1" w:styleId="85">
    <w:name w:val="BuiltInTok"/>
    <w:basedOn w:val="53"/>
    <w:uiPriority w:val="0"/>
    <w:rPr>
      <w:rFonts w:ascii="Consolas" w:hAnsi="Consolas"/>
      <w:color w:val="008000"/>
      <w:sz w:val="22"/>
    </w:rPr>
  </w:style>
  <w:style w:type="character" w:customStyle="1" w:styleId="86">
    <w:name w:val="ExtensionTok"/>
    <w:basedOn w:val="53"/>
    <w:uiPriority w:val="0"/>
    <w:rPr>
      <w:rFonts w:ascii="Consolas" w:hAnsi="Consolas"/>
      <w:sz w:val="22"/>
    </w:rPr>
  </w:style>
  <w:style w:type="character" w:customStyle="1" w:styleId="87">
    <w:name w:val="PreprocessorTok"/>
    <w:basedOn w:val="53"/>
    <w:uiPriority w:val="0"/>
    <w:rPr>
      <w:rFonts w:ascii="Consolas" w:hAnsi="Consolas"/>
      <w:color w:val="BC7A00"/>
      <w:sz w:val="22"/>
    </w:rPr>
  </w:style>
  <w:style w:type="character" w:customStyle="1" w:styleId="88">
    <w:name w:val="AttributeTok"/>
    <w:basedOn w:val="53"/>
    <w:uiPriority w:val="0"/>
    <w:rPr>
      <w:rFonts w:ascii="Consolas" w:hAnsi="Consolas"/>
      <w:color w:val="7D9029"/>
      <w:sz w:val="22"/>
    </w:rPr>
  </w:style>
  <w:style w:type="character" w:customStyle="1" w:styleId="89">
    <w:name w:val="RegionMarkerTok"/>
    <w:basedOn w:val="53"/>
    <w:uiPriority w:val="0"/>
    <w:rPr>
      <w:rFonts w:ascii="Consolas" w:hAnsi="Consolas"/>
      <w:sz w:val="22"/>
    </w:rPr>
  </w:style>
  <w:style w:type="character" w:customStyle="1" w:styleId="90">
    <w:name w:val="InformationTok"/>
    <w:basedOn w:val="53"/>
    <w:uiPriority w:val="0"/>
    <w:rPr>
      <w:rFonts w:ascii="Consolas" w:hAnsi="Consolas"/>
      <w:b/>
      <w:i/>
      <w:color w:val="60A0B0"/>
      <w:sz w:val="22"/>
    </w:rPr>
  </w:style>
  <w:style w:type="character" w:customStyle="1" w:styleId="91">
    <w:name w:val="WarningTok"/>
    <w:basedOn w:val="53"/>
    <w:uiPriority w:val="0"/>
    <w:rPr>
      <w:rFonts w:ascii="Consolas" w:hAnsi="Consolas"/>
      <w:b/>
      <w:i/>
      <w:color w:val="60A0B0"/>
      <w:sz w:val="22"/>
    </w:rPr>
  </w:style>
  <w:style w:type="character" w:customStyle="1" w:styleId="92">
    <w:name w:val="AlertTok"/>
    <w:basedOn w:val="53"/>
    <w:uiPriority w:val="0"/>
    <w:rPr>
      <w:rFonts w:ascii="Consolas" w:hAnsi="Consolas"/>
      <w:b/>
      <w:color w:val="FF0000"/>
      <w:sz w:val="22"/>
    </w:rPr>
  </w:style>
  <w:style w:type="character" w:customStyle="1" w:styleId="93">
    <w:name w:val="ErrorTok"/>
    <w:basedOn w:val="53"/>
    <w:uiPriority w:val="0"/>
    <w:rPr>
      <w:rFonts w:ascii="Consolas" w:hAnsi="Consolas"/>
      <w:b/>
      <w:color w:val="FF0000"/>
      <w:sz w:val="22"/>
    </w:rPr>
  </w:style>
  <w:style w:type="character" w:customStyle="1" w:styleId="94">
    <w:name w:val="NormalTok"/>
    <w:basedOn w:val="53"/>
    <w:uiPriority w:val="0"/>
    <w:rPr>
      <w:rFonts w:ascii="Consolas" w:hAnsi="Consolas"/>
      <w:sz w:val="22"/>
    </w:rPr>
  </w:style>
  <w:style w:type="character" w:customStyle="1" w:styleId="95">
    <w:name w:val="页眉 字符"/>
    <w:basedOn w:val="23"/>
    <w:link w:val="18"/>
    <w:uiPriority w:val="0"/>
    <w:rPr>
      <w:rFonts w:ascii="Times New Roman" w:hAnsi="Times New Roman" w:eastAsia="宋体"/>
      <w:sz w:val="18"/>
      <w:szCs w:val="18"/>
    </w:rPr>
  </w:style>
  <w:style w:type="character" w:customStyle="1" w:styleId="96">
    <w:name w:val="页脚 字符"/>
    <w:basedOn w:val="23"/>
    <w:link w:val="17"/>
    <w:uiPriority w:val="0"/>
    <w:rPr>
      <w:rFonts w:ascii="Times New Roman" w:hAnsi="Times New Roman" w:eastAsia="宋体"/>
      <w:sz w:val="18"/>
      <w:szCs w:val="18"/>
    </w:rPr>
  </w:style>
  <w:style w:type="paragraph" w:customStyle="1" w:styleId="97">
    <w:name w:val="Revision"/>
    <w:hidden/>
    <w:unhideWhenUsed/>
    <w:uiPriority w:val="99"/>
    <w:rPr>
      <w:rFonts w:ascii="Times New Roman" w:hAnsi="Times New Roman" w:eastAsia="宋体" w:cstheme="minorBidi"/>
      <w:sz w:val="21"/>
      <w:szCs w:val="21"/>
      <w:lang w:val="en-US" w:eastAsia="zh-CN" w:bidi="ar-SA"/>
    </w:rPr>
  </w:style>
  <w:style w:type="character" w:customStyle="1" w:styleId="98">
    <w:name w:val="批注文字 字符"/>
    <w:basedOn w:val="23"/>
    <w:link w:val="13"/>
    <w:uiPriority w:val="0"/>
    <w:rPr>
      <w:rFonts w:ascii="Times New Roman" w:hAnsi="Times New Roman" w:eastAsia="宋体"/>
      <w:sz w:val="21"/>
      <w:szCs w:val="21"/>
    </w:rPr>
  </w:style>
  <w:style w:type="character" w:customStyle="1" w:styleId="99">
    <w:name w:val="批注主题 字符"/>
    <w:basedOn w:val="98"/>
    <w:link w:val="21"/>
    <w:uiPriority w:val="0"/>
    <w:rPr>
      <w:rFonts w:ascii="Times New Roman" w:hAnsi="Times New Roman" w:eastAsia="宋体"/>
      <w:b/>
      <w:bCs/>
      <w:sz w:val="21"/>
      <w:szCs w:val="21"/>
    </w:r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endnotes" Target="endnotes.xml"/><Relationship Id="rId5" Type="http://schemas.openxmlformats.org/officeDocument/2006/relationships/footnotes" Target="footnotes.xml"/><Relationship Id="rId2" Type="http://schemas.openxmlformats.org/officeDocument/2006/relationships/settings" Target="settings.xml"/><Relationship Id="rId12" Type="http://schemas.microsoft.com/office/2011/relationships/people" Target="people.xml"/><Relationship Id="rId11" Type="http://schemas.openxmlformats.org/officeDocument/2006/relationships/fontTable" Target="fontTable.xml"/><Relationship Id="rId10" Type="http://schemas.openxmlformats.org/officeDocument/2006/relationships/customXml" Target="../customXml/item1.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http://schemas.openxmlformats.org/officeDocument/2006/bibliography" xmlns:b="http://schemas.openxmlformats.org/officeDocument/2006/bibliography" Version="6" SelectedStyle="\APASixthEditionOfficeOnline.xsl" StyleName="APA"/>
</file>

<file path=customXml/itemProps1.xml><?xml version="1.0" encoding="utf-8"?>
<ds:datastoreItem xmlns:ds="http://schemas.openxmlformats.org/officeDocument/2006/customXml" ds:itemID="{A68E1307-E045-4ACB-947D-B434554CE148}">
  <ds:schemaRefs/>
</ds:datastoreItem>
</file>

<file path=docProps/app.xml><?xml version="1.0" encoding="utf-8"?>
<Properties xmlns="http://schemas.openxmlformats.org/officeDocument/2006/extended-properties" xmlns:vt="http://schemas.openxmlformats.org/officeDocument/2006/docPropsVTypes">
  <Template>Normal</Template>
  <Pages>24</Pages>
  <Words>13949</Words>
  <Characters>15764</Characters>
  <Lines>630</Lines>
  <Paragraphs>341</Paragraphs>
  <TotalTime>1288</TotalTime>
  <ScaleCrop>false</ScaleCrop>
  <LinksUpToDate>false</LinksUpToDate>
  <CharactersWithSpaces>29372</CharactersWithSpaces>
  <Application>WPS Office_7.5.1.8994_F1E327BC-269C-435d-A152-05C5408002CA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2026-08-13T16:39:00Z</dcterms:created>
  <dc:creator>W</dc:creator>
  <cp:lastModifiedBy>W</cp:lastModifiedBy>
  <dcterms:modified xsi:type="dcterms:W3CDTF">2026-09-15T09:45:02Z</dcterms:modified>
  <cp:revision>33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2052-7.5.1.8994</vt:lpwstr>
  </property>
  <property fmtid="{D5CDD505-2E9C-101B-9397-08002B2CF9AE}" pid="3" name="ICV">
    <vt:lpwstr>E2C82CFA9906409A34D77F6AB10F25C7_42</vt:lpwstr>
  </property>
</Properties>
</file>