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E45BA">
      <w:pPr>
        <w:rPr>
          <w:rFonts w:hint="eastAsia"/>
        </w:rPr>
      </w:pPr>
      <w:r>
        <w:rPr>
          <w:rFonts w:hint="eastAsia"/>
        </w:rPr>
        <w:t>制度</w:t>
      </w:r>
      <w:bookmarkStart w:id="0" w:name="_GoBack"/>
      <w:bookmarkEnd w:id="0"/>
      <w:r>
        <w:rPr>
          <w:rFonts w:hint="eastAsia"/>
        </w:rPr>
        <w:t>视角下创新药多主体评价的认知分歧与协调路径</w:t>
      </w:r>
    </w:p>
    <w:p w14:paraId="243ED1BE">
      <w:pPr>
        <w:rPr>
          <w:rFonts w:hint="eastAsia"/>
        </w:rPr>
      </w:pPr>
    </w:p>
    <w:p w14:paraId="32DAB083">
      <w:pPr>
        <w:rPr>
          <w:rFonts w:hint="eastAsia"/>
        </w:rPr>
      </w:pPr>
      <w:r>
        <w:rPr>
          <w:rFonts w:hint="eastAsia"/>
        </w:rPr>
        <w:t>## 0 引言</w:t>
      </w:r>
    </w:p>
    <w:p w14:paraId="24C6DA98">
      <w:pPr>
        <w:rPr>
          <w:rFonts w:hint="eastAsia"/>
        </w:rPr>
      </w:pPr>
    </w:p>
    <w:p w14:paraId="6EFB3FF4">
      <w:pPr>
        <w:rPr>
          <w:rFonts w:hint="eastAsia"/>
        </w:rPr>
      </w:pPr>
      <w:r>
        <w:rPr>
          <w:rFonts w:hint="eastAsia"/>
        </w:rPr>
        <w:t>十五五规划纲要提出"打造集成电路、航空航天、生物医药、低空经济等新兴支柱产业"，将生物医药升格为新兴支柱产业，并专设一节要求"健全医疗、医保、医药协同发展和治理机制"。这意味着"三医协同"已从部门间的工作目标上升为国家战略层面的制度建设任务。2024年以来，国务院审议通过《全链条支持创新药发展实施方案》，国家医保局联合国家卫生健康委印发《支持创新药高质量发展的若干措施》，首部《商业健康保险创新药品目录》正式发布——从审批端到支付端再到使用端，创新药全链条政策框架正在加速成型。然而，政策框架的搭建并不等于评价共识的形成。</w:t>
      </w:r>
    </w:p>
    <w:p w14:paraId="6EB9AC20">
      <w:pPr>
        <w:rPr>
          <w:rFonts w:hint="eastAsia"/>
        </w:rPr>
      </w:pPr>
    </w:p>
    <w:p w14:paraId="5C735582">
      <w:pPr>
        <w:rPr>
          <w:rFonts w:hint="eastAsia"/>
        </w:rPr>
      </w:pPr>
      <w:commentRangeStart w:id="0"/>
      <w:r>
        <w:rPr>
          <w:rFonts w:hint="eastAsia"/>
        </w:rPr>
        <w:t>本研究前期开展的专家访谈表明，</w:t>
      </w:r>
      <w:commentRangeEnd w:id="0"/>
      <w:r>
        <w:commentReference w:id="0"/>
      </w:r>
      <w:r>
        <w:rPr>
          <w:rFonts w:hint="eastAsia"/>
        </w:rPr>
        <w:t>创新药在审批、支付与使用三个环节之间存在显著的制度衔接障碍。多位访谈对象指出，药品监管部门认定的一类创新药未必能够满足医疗保障部门对临床价值增量的评审要求，而纳入医保目录的药品也未必能够在医疗机构得到充分配备和使用。三医协同的前提是三个部门对创新药价值形成最低限度的评价共识，但各部门基于不同的制度位置，在创新定义、证据要求和价值衡量标准上呈现结构性差异。这并非单纯的信息沟通不足，而是具有制度根源的认知分歧。</w:t>
      </w:r>
    </w:p>
    <w:p w14:paraId="12A6CFAD">
      <w:pPr>
        <w:rPr>
          <w:rFonts w:hint="eastAsia"/>
        </w:rPr>
      </w:pPr>
    </w:p>
    <w:p w14:paraId="4840CD94">
      <w:pPr>
        <w:rPr>
          <w:rFonts w:hint="eastAsia"/>
        </w:rPr>
      </w:pPr>
      <w:r>
        <w:rPr>
          <w:rFonts w:hint="eastAsia"/>
        </w:rPr>
        <w:t>本文围绕三个递进式研究问题展开分析，即三部门对创新药的评价差异具体表现在哪些维度，这种差异的制度根源何在，以及十五五"三医协同"框架下认知协调路径如何构建。为此，本文构建"制度逻辑—组织注意力—个体认知"三层分析框架，综合运用政策文本比较分析（2017—2025年三部门核心政策文件）与100份专家问卷调查，并借鉴德国、法国、意大利的国际经验，为十五五时期健全三医协同治理机制提供基于认知协调的分析视角与政策参考。</w:t>
      </w:r>
    </w:p>
    <w:p w14:paraId="169FD1CA">
      <w:pPr>
        <w:rPr>
          <w:rFonts w:hint="eastAsia"/>
        </w:rPr>
      </w:pPr>
    </w:p>
    <w:p w14:paraId="308D9CB5">
      <w:pPr>
        <w:rPr>
          <w:rFonts w:hint="eastAsia"/>
        </w:rPr>
      </w:pPr>
      <w:r>
        <w:rPr>
          <w:rFonts w:hint="eastAsia"/>
        </w:rPr>
        <w:t>## 1 文献综述</w:t>
      </w:r>
    </w:p>
    <w:p w14:paraId="7D2C1F47">
      <w:pPr>
        <w:rPr>
          <w:rFonts w:hint="eastAsia"/>
        </w:rPr>
      </w:pPr>
    </w:p>
    <w:p w14:paraId="3B645F16">
      <w:pPr>
        <w:outlineLvl w:val="0"/>
        <w:rPr>
          <w:rFonts w:hint="eastAsia"/>
        </w:rPr>
      </w:pPr>
      <w:r>
        <w:rPr>
          <w:rFonts w:hint="eastAsia"/>
        </w:rPr>
        <w:t>### 1.1 创新药多维评价的研究脉络</w:t>
      </w:r>
    </w:p>
    <w:p w14:paraId="08FEF168">
      <w:pPr>
        <w:rPr>
          <w:rFonts w:hint="eastAsia"/>
        </w:rPr>
      </w:pPr>
    </w:p>
    <w:p w14:paraId="66F86B48">
      <w:pPr>
        <w:rPr>
          <w:rFonts w:hint="eastAsia"/>
        </w:rPr>
      </w:pPr>
      <w:r>
        <w:rPr>
          <w:rFonts w:hint="eastAsia"/>
        </w:rPr>
        <w:t>在国内研究方面，本文以"创新药评价""药品价值评估""医保准入"等为主题词检索中国知网2000—2025年相关论文，结果显示现有研究在主体覆盖、认知差异量化和研究方法三个方面均存在结构性不足。在研究主体覆盖上，94.2%的论文涉及药企视角，79.2%涉及政府监管，但涉及保险支付方的仅占16.9%，这与医疗保障部门在创新药准入中日益重要的制度角色形成明显反差。在认知差异的量化研究上，虽然49.8%的论文识别出不同主体间的认知差异，57.0%涉及多主体评价，56.5%强调协调机制的必要性，但涉及权重分配定量分析的仅有1.4%（3篇）。其中，谭清立和伍明根（2022）[^2]采用层次分析法（Analytic Hierarchy Process，AHP）结合SWOT分析研究集中带量采购背景下药企竞争战略，刁媛媛和武志昂（2024）[^3]运用PESTEL分析、波特五力模型和AHP构建了创新药开发战略影响因素的权重体系，钟小芳等[^4]基于政策工具和利益相关者二维框架对抗肿瘤创新药物政策文本进行了分析。上述三项研究虽涉及定量方法，但均未直接测量不同主体对创新药评价维度的权重差异，定量研究的匮乏（1.4%）与评价差异的广泛识别（49.8%）之间的显著反差表明，现有文献对差异的描述多停留在定性层面，尚缺乏对差异程度和维度分布的系统实证分析。在研究方法上，40.1%为理论研究，仅23.7%为实证研究，8.2%为国际比较研究，实证数据的匮乏在一定程度上制约了政策建议的精准性和可操作性。</w:t>
      </w:r>
    </w:p>
    <w:p w14:paraId="273E8BD8">
      <w:pPr>
        <w:rPr>
          <w:rFonts w:hint="eastAsia"/>
        </w:rPr>
      </w:pPr>
    </w:p>
    <w:p w14:paraId="778BCBF7">
      <w:pPr>
        <w:rPr>
          <w:rFonts w:hint="eastAsia"/>
        </w:rPr>
      </w:pPr>
      <w:r>
        <w:rPr>
          <w:rFonts w:hint="eastAsia"/>
        </w:rPr>
        <w:t>国际研究则从实证层面证实了评价分歧的结构性特征。Casilli等（2023）[^5]对189个药品/适应症在法国高等卫生管理局（HAS）、德国联邦联合委员会（G-BA）、意大利药品管理局（AIFA）三国健康技术评估（Health Technology Assessment，HTA）机构间的附加治疗价值评估一致性进行了比较，发现德法一致率最高（82%，Cohen's κ=0.61，实质性一致），但意法仅52%（κ=0.17），意德仅57%（κ=0.25）。Garau等（2017）[^6]使用EVIDEM V3.0多准则决策分析（Multi-Criteria Decision Analysis，MCDA）框架，对患者、临床医生和支付方三类主体的评价权重进行了实证比较，发现患者和临床医生在各维度间的权重分配更集中（12%—33%），优先关注疾病严重性和治疗获益，而支付方的权重分布更均匀（17%—24%），对未满足需求、比较成本和证据质量给予了更高关注。Kesselheim等（2013）[^7]对42项研究的系统综述将药物创新测量方法归纳为新药批准计数、治疗价值评估、经济产出测量和专利计量四类，发现采用不同定义的研究者对同一时期创新趋势的判断截然相反。Monleón等（2022）[^8]对法、德、意、西、英五国HTA审议过程的系统综述识别出伦理（143次提及）、心理、资质与经验、政治与社会、组织文化、功能角色和疾病感知等七类隐性影响因素，指出"当今的审议过程往往是非正式和非结构化的"。</w:t>
      </w:r>
    </w:p>
    <w:p w14:paraId="515CB97E">
      <w:pPr>
        <w:rPr>
          <w:rFonts w:hint="eastAsia"/>
        </w:rPr>
      </w:pPr>
    </w:p>
    <w:p w14:paraId="44FFCE15">
      <w:pPr>
        <w:outlineLvl w:val="0"/>
        <w:rPr>
          <w:rFonts w:hint="eastAsia"/>
        </w:rPr>
      </w:pPr>
      <w:r>
        <w:rPr>
          <w:rFonts w:hint="eastAsia"/>
        </w:rPr>
        <w:t>### 1.2 多主体认知差异的研究进展与不足</w:t>
      </w:r>
    </w:p>
    <w:p w14:paraId="3EC99912">
      <w:pPr>
        <w:rPr>
          <w:rFonts w:hint="eastAsia"/>
        </w:rPr>
      </w:pPr>
    </w:p>
    <w:p w14:paraId="5602A53F">
      <w:pPr>
        <w:rPr>
          <w:rFonts w:hint="eastAsia"/>
        </w:rPr>
      </w:pPr>
      <w:r>
        <w:rPr>
          <w:rFonts w:hint="eastAsia"/>
        </w:rPr>
        <w:t>国际文献表明，多主体认知差异并非某一国家特有的现象，而是制度结构的产物。Kållberg等（2023）[^9]对19名来自欧洲药品管理局（EMA）、美国食品药品监督管理局（FDA）和欧洲HTA机构的专家进行半结构化访谈后发现，在"新颖性"的定义上，部分专家将其界定为"新类别中的首个药物"（技术逻辑），另一些则要求"无已知耐药机制"（临床逻辑），监管灵活性（如加速审批）所产生的下游不确定性给支付方和临床医生带来了显著的决策困难。Mundy等（2024）[^10]进一步指出，HTA对创新的定义和捕捉方式存在不一致性，创新往往被隐含地而非显式地纳入决策，支付方面临既需要通过价格信号激励创新、又承受着控制高成本技术支出的制度压力这一结构性悖论。IMI PREFER项目（2023）[^11]作为欧洲"创新药物倡议"框架下历时六年的公私合作研究，发现患者对治疗属性的价值排序与监管者和临床医生存在系统性差异，患者更重视"日常活动能力"和"严重副作用风险"，而非传统的疗效终点。在理论层面，Mountford（2023）[^12]提出了更扁平化的制度逻辑本体论，探讨医疗领域中管理效率逻辑与医学专业主义逻辑之间的张力。</w:t>
      </w:r>
    </w:p>
    <w:p w14:paraId="63588F1A">
      <w:pPr>
        <w:rPr>
          <w:rFonts w:hint="eastAsia"/>
        </w:rPr>
      </w:pPr>
    </w:p>
    <w:p w14:paraId="13CB96EB">
      <w:pPr>
        <w:rPr>
          <w:rFonts w:hint="eastAsia"/>
        </w:rPr>
      </w:pPr>
      <w:r>
        <w:rPr>
          <w:rFonts w:hint="eastAsia"/>
        </w:rPr>
        <w:t>相较而言，国内研究在主体认知差异的识别上虽有大量定性描述，但缺乏系统的实证分析。前述207篇论文中49.8%识别了认知差异，但均以定性讨论为主，尚未见针对药品监管、医疗保障、卫生健康三部门政策文本的系统对比研究。现有研究的主流分析框架是Freeman（1984）[^13]提出的利益相关者理论，该理论能够说明"不同主体有不同利益"，但在解释制度层面的结构性认知差异、特别是三医协同为何难以自动实现方面，解释力存在局限。</w:t>
      </w:r>
    </w:p>
    <w:p w14:paraId="4C8C67D7">
      <w:pPr>
        <w:rPr>
          <w:rFonts w:hint="eastAsia"/>
        </w:rPr>
      </w:pPr>
    </w:p>
    <w:p w14:paraId="1843E16B">
      <w:pPr>
        <w:rPr>
          <w:rFonts w:hint="eastAsia"/>
        </w:rPr>
      </w:pPr>
      <w:r>
        <w:rPr>
          <w:rFonts w:hint="eastAsia"/>
        </w:rPr>
        <w:t>### 1.3 既有研究不足与本文定位</w:t>
      </w:r>
    </w:p>
    <w:p w14:paraId="666F4CAD">
      <w:pPr>
        <w:rPr>
          <w:rFonts w:hint="eastAsia"/>
        </w:rPr>
      </w:pPr>
    </w:p>
    <w:p w14:paraId="7DCF15C8">
      <w:pPr>
        <w:rPr>
          <w:rFonts w:hint="eastAsia"/>
        </w:rPr>
      </w:pPr>
      <w:r>
        <w:rPr>
          <w:rFonts w:hint="eastAsia"/>
        </w:rPr>
        <w:t>综合国内外文献，现有研究虽已广泛识别出创新药评价中的多主体认知差异，但在差异的制度根源、理论解释和分析层次贯通上仍存在明显不足。在制度分析层面，多数研究从利益相关者角度描述差异，缺乏对三部门政策文本的系统比较分析，未能揭示差异的制度根源。在理论解释层面，制度逻辑理论在创新药评价领域的应用几乎空白，Kållberg等[^9]的研究虽触及了制度逻辑张力但限于抗生素领域且未系统展开，注意力基础观和管理认知理论尚未被引入创新药评价研究。在分析层次上，现有研究或侧重宏观制度比较，或聚焦微观认知调查，但尚未有研究在同一框架下贯通"制度—注意力—认知"的多层分析。在研究情境上，国际实证集中于欧美HTA体系，中国特有的药品监管-医疗保障-卫生健康三部门体制缺乏专门研究，在十五五明确要求"三医协同"的背景下，这一缺口尤为突出。</w:t>
      </w:r>
    </w:p>
    <w:p w14:paraId="70BEEA44">
      <w:pPr>
        <w:rPr>
          <w:rFonts w:hint="eastAsia"/>
        </w:rPr>
      </w:pPr>
    </w:p>
    <w:p w14:paraId="4F0A26EC">
      <w:pPr>
        <w:rPr>
          <w:rFonts w:hint="eastAsia"/>
        </w:rPr>
      </w:pPr>
      <w:r>
        <w:rPr>
          <w:rFonts w:hint="eastAsia"/>
        </w:rPr>
        <w:t>基于上述研究现状与不足，本文在"制度逻辑—组织注意力—个体认知"的三层理论框架下，通过政策文本比较分析揭示中观层面的制度性评价差异，通过专家问卷调查验证微观层面的从业者认知分歧，并在国际经验借鉴基础上提出服务于十五五"三医协同"目标的协调路径。</w:t>
      </w:r>
    </w:p>
    <w:p w14:paraId="28EF2A25">
      <w:pPr>
        <w:rPr>
          <w:rFonts w:hint="eastAsia"/>
        </w:rPr>
      </w:pPr>
    </w:p>
    <w:p w14:paraId="48CB3167">
      <w:pPr>
        <w:rPr>
          <w:rFonts w:hint="eastAsia"/>
        </w:rPr>
      </w:pPr>
      <w:r>
        <w:rPr>
          <w:rFonts w:hint="eastAsia"/>
        </w:rPr>
        <w:t>## 2 理论基础与分析框架</w:t>
      </w:r>
    </w:p>
    <w:p w14:paraId="73E8E68C">
      <w:pPr>
        <w:rPr>
          <w:rFonts w:hint="eastAsia"/>
        </w:rPr>
      </w:pPr>
    </w:p>
    <w:p w14:paraId="69CBDC05">
      <w:pPr>
        <w:rPr>
          <w:rFonts w:hint="eastAsia"/>
        </w:rPr>
      </w:pPr>
      <w:r>
        <w:rPr>
          <w:rFonts w:hint="eastAsia"/>
        </w:rPr>
        <w:t>### 2.1 "制度逻辑—组织注意力—个体认知"的理论逻辑</w:t>
      </w:r>
    </w:p>
    <w:p w14:paraId="1D09D3EE">
      <w:pPr>
        <w:rPr>
          <w:rFonts w:hint="eastAsia"/>
        </w:rPr>
      </w:pPr>
    </w:p>
    <w:p w14:paraId="2DCAD95B">
      <w:pPr>
        <w:rPr>
          <w:rFonts w:hint="eastAsia"/>
        </w:rPr>
      </w:pPr>
      <w:r>
        <w:rPr>
          <w:rFonts w:hint="eastAsia"/>
        </w:rPr>
        <w:t>本文整合宏观、中观、微观三个层次的理论构建分析框架，三者之间存在递进的逻辑关系，即制度逻辑界定组织行动的合法性边界，注意力基础观揭示制度逻辑如何约束组织的信息选择，管理认知理论则解释组织注意力如何内化为个体的判断模式。</w:t>
      </w:r>
    </w:p>
    <w:p w14:paraId="78A01ED4">
      <w:pPr>
        <w:rPr>
          <w:rFonts w:hint="eastAsia"/>
        </w:rPr>
      </w:pPr>
    </w:p>
    <w:p w14:paraId="785B4635">
      <w:pPr>
        <w:rPr>
          <w:rFonts w:hint="eastAsia"/>
        </w:rPr>
      </w:pPr>
      <w:r>
        <w:rPr>
          <w:rFonts w:hint="eastAsia"/>
        </w:rPr>
        <w:t>在宏观层面，本文借鉴Thornton和Ocasio（2008）提出的制度逻辑理论（institutional logics perspective）[^14]。该理论认为，不同制度场域中的行动者会依据其所处场域的核心原则，发展出特定的认知模式与实践逻辑，这些逻辑界定了行动者的合法性标准和行为取向。Greenwood等（2011）在此基础上提出了制度复杂性（institutional complexity）概念，指出当组织同时面对多重制度逻辑的要求时，会产生复杂的组织适应行为[^15]。在创新药评价领域，药品监管（国家药品监督管理局，NMPA）、医疗保障（国家医疗保障局，NHSA）、卫生健康（国家卫生健康委员会，NHC）三部门分别嵌入了不同的制度逻辑。其中，药品监管部门遵循科学-安全逻辑，以确保药品安全有效、鼓励技术创新为首要目标；医疗保障部门遵循经济-效率逻辑，以基金可持续性和价值定价为首要目标；卫生健康部门遵循公共服务逻辑，以保障公众健康权益和优化医疗服务为首要目标。三种逻辑各具合理性但并非自然兼容，十五五规划所要求的"三医协同"本质上构成了一个制度复杂性管理问题。</w:t>
      </w:r>
    </w:p>
    <w:p w14:paraId="686C00B5">
      <w:pPr>
        <w:rPr>
          <w:rFonts w:hint="eastAsia"/>
        </w:rPr>
      </w:pPr>
    </w:p>
    <w:p w14:paraId="750FF738">
      <w:pPr>
        <w:rPr>
          <w:rFonts w:hint="eastAsia"/>
        </w:rPr>
      </w:pPr>
      <w:r>
        <w:rPr>
          <w:rFonts w:hint="eastAsia"/>
        </w:rPr>
        <w:t>在中观层面，本文引入Ocasio（1997）提出的注意力基础观（attention-based view of the firm）[^16]。该理论认为，组织行为取决于决策者将注意力聚焦于哪些议题和答案，而注意力的分配受到组织所处制度环境和规则结构的系统性约束。在本文的分析框架中，不同的制度逻辑使三部门在审视同一药物时选择性地关注不同类型的信息，药品监管部门的注意力聚焦于安全信号和技术创新指标，医疗保障部门聚焦于成本效果和预算影响，卫生健康部门聚焦于临床需求和公平可及。政策文本分析正是旨在捕捉这种选择性注意力在制度文本中的沉淀形态。</w:t>
      </w:r>
    </w:p>
    <w:p w14:paraId="73E54C1E">
      <w:pPr>
        <w:rPr>
          <w:rFonts w:hint="eastAsia"/>
        </w:rPr>
      </w:pPr>
    </w:p>
    <w:p w14:paraId="794C6288">
      <w:pPr>
        <w:rPr>
          <w:rFonts w:hint="eastAsia"/>
        </w:rPr>
      </w:pPr>
      <w:r>
        <w:rPr>
          <w:rFonts w:hint="eastAsia"/>
        </w:rPr>
        <w:t>在微观层面，本文借鉴Walsh（1995）提出的管理认知理论（managerial and organizational cognition）[^17]。该理论指出，管理者在信息加工过程中所依赖的知识结构（knowledge structure）决定了哪些信息被选择性注意、编码和解读，而这些知识结构并非纯粹个人经验的产物，而是受所在组织的制度环境持续塑造。本文问卷调查中个人认知部分与机构导向部分的对比分析，即旨在检验个体知识结构与组织制度压力之间是否存在系统性张力。</w:t>
      </w:r>
    </w:p>
    <w:p w14:paraId="7067632D">
      <w:pPr>
        <w:rPr>
          <w:rFonts w:hint="eastAsia"/>
        </w:rPr>
      </w:pPr>
    </w:p>
    <w:p w14:paraId="0E4E32CA">
      <w:pPr>
        <w:rPr>
          <w:rFonts w:hint="eastAsia"/>
        </w:rPr>
      </w:pPr>
      <w:r>
        <w:rPr>
          <w:rFonts w:hint="eastAsia"/>
        </w:rPr>
        <w:t>### 2.2 三种制度逻辑的操作化</w:t>
      </w:r>
    </w:p>
    <w:p w14:paraId="05DD5693">
      <w:pPr>
        <w:rPr>
          <w:rFonts w:hint="eastAsia"/>
        </w:rPr>
      </w:pPr>
    </w:p>
    <w:p w14:paraId="71CD4792">
      <w:pPr>
        <w:rPr>
          <w:rFonts w:hint="eastAsia"/>
        </w:rPr>
      </w:pPr>
      <w:r>
        <w:rPr>
          <w:rFonts w:hint="eastAsia"/>
        </w:rPr>
        <w:t>基于上述三层理论的递进关系，本文将三部门的制度逻辑、组织注意力焦点和评价侧重整合为创新药多主体评价的分析框架（见表1），以此作为政策文本编码和问卷设计的理论依据。</w:t>
      </w:r>
    </w:p>
    <w:p w14:paraId="18A57847">
      <w:pPr>
        <w:rPr>
          <w:rFonts w:hint="eastAsia"/>
        </w:rPr>
      </w:pPr>
    </w:p>
    <w:p w14:paraId="1DA05BB9">
      <w:pPr>
        <w:rPr>
          <w:rFonts w:hint="eastAsia"/>
        </w:rPr>
      </w:pPr>
      <w:r>
        <w:rPr>
          <w:rFonts w:hint="eastAsia"/>
        </w:rPr>
        <w:t>**表1 创新药评价中的三种制度逻辑**</w:t>
      </w:r>
    </w:p>
    <w:p w14:paraId="0E0E6260">
      <w:pPr>
        <w:rPr>
          <w:rFonts w:hint="eastAsia"/>
        </w:rPr>
      </w:pPr>
    </w:p>
    <w:p w14:paraId="1185553C">
      <w:pPr>
        <w:rPr>
          <w:rFonts w:hint="eastAsia"/>
        </w:rPr>
      </w:pPr>
      <w:r>
        <w:rPr>
          <w:rFonts w:hint="eastAsia"/>
        </w:rPr>
        <w:t>| 制度逻辑 | 主导部门 | 核心目标 | 评价侧重 | 注意力焦点 |</w:t>
      </w:r>
    </w:p>
    <w:p w14:paraId="62359082">
      <w:pPr>
        <w:rPr>
          <w:rFonts w:hint="eastAsia"/>
        </w:rPr>
      </w:pPr>
      <w:r>
        <w:rPr>
          <w:rFonts w:hint="eastAsia"/>
        </w:rPr>
        <w:t>|----------|----------|---------|---------|-----------|</w:t>
      </w:r>
    </w:p>
    <w:p w14:paraId="7B098691">
      <w:pPr>
        <w:rPr>
          <w:rFonts w:hint="eastAsia"/>
        </w:rPr>
      </w:pPr>
      <w:r>
        <w:rPr>
          <w:rFonts w:hint="eastAsia"/>
        </w:rPr>
        <w:t>| 科学-安全逻辑 | 药品监管（NMPA） | 确保安全有效，鼓励技术创新 | 安全性、有效性、技术创新性 | 不良反应信号、临床试验数据、分子新颖性 |</w:t>
      </w:r>
    </w:p>
    <w:p w14:paraId="638367BC">
      <w:pPr>
        <w:rPr>
          <w:rFonts w:hint="eastAsia"/>
        </w:rPr>
      </w:pPr>
      <w:r>
        <w:rPr>
          <w:rFonts w:hint="eastAsia"/>
        </w:rPr>
        <w:t>| 经济-效率逻辑 | 医疗保障（NHSA） | 基金可持续，价值定价 | 经济性、增量成本效果 | 增量成本效果比、预算影响、替代疗法 |</w:t>
      </w:r>
    </w:p>
    <w:p w14:paraId="1874212F">
      <w:pPr>
        <w:rPr>
          <w:rFonts w:hint="eastAsia"/>
        </w:rPr>
      </w:pPr>
      <w:r>
        <w:rPr>
          <w:rFonts w:hint="eastAsia"/>
        </w:rPr>
        <w:t>| 公共服务逻辑 | 卫生健康（NHC） | 保障健康权益，优化医疗服务 | 公平性、可及性、临床需求 | 疾病负担、地区差异、基层配备 |</w:t>
      </w:r>
    </w:p>
    <w:p w14:paraId="2639C7FC">
      <w:pPr>
        <w:rPr>
          <w:rFonts w:hint="eastAsia"/>
        </w:rPr>
      </w:pPr>
    </w:p>
    <w:p w14:paraId="335DC8A6">
      <w:pPr>
        <w:rPr>
          <w:rFonts w:hint="eastAsia"/>
        </w:rPr>
      </w:pPr>
      <w:r>
        <w:rPr>
          <w:rFonts w:hint="eastAsia"/>
        </w:rPr>
        <w:t>综上，三部门的评价差异并非偶然的利益冲突，而是各自所嵌入的制度逻辑经由注意力分配和认知框架加以塑造的结构性产物。推动三医协同的着力点不在于消除评价差异，而在于承认三种制度逻辑各有其合理性的前提下建立制度化的差异管理机制，这也是十五五时期健全三医协同治理机制的应有之义。</w:t>
      </w:r>
    </w:p>
    <w:p w14:paraId="07C3B538">
      <w:pPr>
        <w:rPr>
          <w:rFonts w:hint="eastAsia"/>
        </w:rPr>
      </w:pPr>
    </w:p>
    <w:p w14:paraId="54FC4E39">
      <w:pPr>
        <w:rPr>
          <w:rFonts w:hint="eastAsia"/>
        </w:rPr>
      </w:pPr>
      <w:r>
        <w:rPr>
          <w:rFonts w:hint="eastAsia"/>
        </w:rPr>
        <w:t>在分析策略上，政策文本比较分析对应中观层面，旨在从制度文本中提取各部门对评价维度的差异化配置；问卷调查对应微观层面，旨在检验制度层面的评价差异是否映射为从业者个体层面的认知分歧。两种方法互为补充，政策文本分析揭示制度层面的评价维度配置，问卷调查检验从业者层面的认知映射。</w:t>
      </w:r>
    </w:p>
    <w:p w14:paraId="007B8DF3">
      <w:pPr>
        <w:rPr>
          <w:rFonts w:hint="eastAsia"/>
        </w:rPr>
      </w:pPr>
    </w:p>
    <w:p w14:paraId="391912DF">
      <w:pPr>
        <w:rPr>
          <w:rFonts w:hint="eastAsia"/>
        </w:rPr>
      </w:pPr>
      <w:r>
        <w:rPr>
          <w:rFonts w:hint="eastAsia"/>
        </w:rPr>
        <w:t>## 3 研究设计</w:t>
      </w:r>
    </w:p>
    <w:p w14:paraId="3C39EA19">
      <w:pPr>
        <w:rPr>
          <w:rFonts w:hint="eastAsia"/>
        </w:rPr>
      </w:pPr>
    </w:p>
    <w:p w14:paraId="2F54465B">
      <w:pPr>
        <w:outlineLvl w:val="0"/>
        <w:rPr>
          <w:rFonts w:hint="eastAsia"/>
        </w:rPr>
      </w:pPr>
      <w:r>
        <w:rPr>
          <w:rFonts w:hint="eastAsia"/>
        </w:rPr>
        <w:t>### 3.1 政策文本选取与编码方案</w:t>
      </w:r>
    </w:p>
    <w:p w14:paraId="3323A212">
      <w:pPr>
        <w:rPr>
          <w:rFonts w:hint="eastAsia"/>
        </w:rPr>
      </w:pPr>
    </w:p>
    <w:p w14:paraId="6D357F93">
      <w:pPr>
        <w:rPr>
          <w:rFonts w:hint="eastAsia"/>
        </w:rPr>
      </w:pPr>
      <w:r>
        <w:rPr>
          <w:rFonts w:hint="eastAsia"/>
        </w:rPr>
        <w:t>本文选取2017—2025年药品监管（NMPA）、医疗保障（NHSA）、卫生健康（NHC）三部门发布的涉及创新药评价标准、指标或维度的规范性文件进行比较分析，排除通知转发类和无实质性评价标准的文件。选择2017年为起点，是因为该年度国家医保药品目录首次启动谈判准入机制，标志着中国创新药评价进入多部门协同阶段。这一时间窗口覆盖了十五五之前的制度积累期，有助于从制度文本中追溯三医协同的制度基础和结构性障碍。</w:t>
      </w:r>
    </w:p>
    <w:p w14:paraId="30BCDE8E">
      <w:pPr>
        <w:rPr>
          <w:rFonts w:hint="eastAsia"/>
        </w:rPr>
      </w:pPr>
    </w:p>
    <w:p w14:paraId="2C345816">
      <w:pPr>
        <w:rPr>
          <w:rFonts w:hint="eastAsia"/>
        </w:rPr>
      </w:pPr>
      <w:r>
        <w:rPr>
          <w:rFonts w:hint="eastAsia"/>
        </w:rPr>
        <w:t>编码框架采用安全性、有效性、经济性、创新性、公平性五个一级维度，该维度框架源自医疗保障部门在药品综合评审中设立的指标体系。编码内容涵盖四个层面，包括该维度是否被提及、具体表述方式（词汇和指标）、条款位置（核心条款或附属条款）以及操作化程度（是否有量化标准）。</w:t>
      </w:r>
    </w:p>
    <w:p w14:paraId="3311A4BF">
      <w:pPr>
        <w:rPr>
          <w:rFonts w:hint="eastAsia"/>
        </w:rPr>
      </w:pPr>
    </w:p>
    <w:p w14:paraId="74A2AB09">
      <w:pPr>
        <w:outlineLvl w:val="0"/>
        <w:rPr>
          <w:rFonts w:hint="eastAsia"/>
        </w:rPr>
      </w:pPr>
      <w:r>
        <w:rPr>
          <w:rFonts w:hint="eastAsia"/>
        </w:rPr>
        <w:t>### 3.2 问卷设计与样本构成</w:t>
      </w:r>
    </w:p>
    <w:p w14:paraId="4F6567D9">
      <w:pPr>
        <w:rPr>
          <w:rFonts w:hint="eastAsia"/>
        </w:rPr>
      </w:pPr>
    </w:p>
    <w:p w14:paraId="6205C005">
      <w:pPr>
        <w:rPr>
          <w:rFonts w:hint="eastAsia"/>
        </w:rPr>
      </w:pPr>
      <w:r>
        <w:rPr>
          <w:rFonts w:hint="eastAsia"/>
        </w:rPr>
        <w:t>本研究于2025年8月开展"创新药评价调查问卷"，通过线上渠道发放210份，有效回收100份，回收率47.6%。问卷由三部分组成。第一部分（4题）收集调查对象基本信息，包括职业、机构类型、从业年限和评审经验。样本以临床和科研群体为主，其中医生占53%、研究人员占27%、管理人员占14%、药师占6%；机构分布为医疗机构71%、高校15%、科研院所9%、监管及医保卫健部门仅5%。第二部分（6题）测量个体层面对五个评价维度的认知排序，调查对象分别对安全性、有效性、创新性、经济性、公平性五个维度进行1—6分的重要性评分，并对五维度进行总体排序。第三部分（9题）测量从业者感知到的机构评价取向和认知灵活性，其中6题对应五个评价维度和临床需求（1—5分制），3题测量跨逻辑协调的主观意愿（1—5分制）。</w:t>
      </w:r>
    </w:p>
    <w:p w14:paraId="0335F9B1">
      <w:pPr>
        <w:rPr>
          <w:rFonts w:hint="eastAsia"/>
        </w:rPr>
      </w:pPr>
    </w:p>
    <w:p w14:paraId="29307278">
      <w:pPr>
        <w:rPr>
          <w:rFonts w:hint="eastAsia"/>
        </w:rPr>
      </w:pPr>
      <w:r>
        <w:rPr>
          <w:rFonts w:hint="eastAsia"/>
        </w:rPr>
        <w:t>需要说明的是，样本以临床和科研群体为主（合计80%），政策制定和支付端群体比例较低（仅5%），这一样本结构特征意味着问卷数据宜作为辅助验证手段，不宜独立支撑因果推断。统计分析方法包括描述统计、Kruskal-Wallis检验（按职业分组进行组间比较）以及个人认知与机构导向的配对分析。由于个人认知部分采用1—6分量表，机构导向部分采用1—5分量表，二者不能直接比较原始分数，需将每位调查对象的各维度分数转化为维度内排序后，采用Wilcoxon符号秩检验进行配对比较。</w:t>
      </w:r>
    </w:p>
    <w:p w14:paraId="251E2F0D">
      <w:pPr>
        <w:rPr>
          <w:rFonts w:hint="eastAsia"/>
        </w:rPr>
      </w:pPr>
    </w:p>
    <w:p w14:paraId="68D3E068">
      <w:pPr>
        <w:rPr>
          <w:rFonts w:hint="eastAsia"/>
        </w:rPr>
      </w:pPr>
      <w:r>
        <w:rPr>
          <w:rFonts w:hint="eastAsia"/>
        </w:rPr>
        <w:t>## 4 政策文本比较分析</w:t>
      </w:r>
    </w:p>
    <w:p w14:paraId="48CDDEAF">
      <w:pPr>
        <w:rPr>
          <w:rFonts w:hint="eastAsia"/>
        </w:rPr>
      </w:pPr>
    </w:p>
    <w:p w14:paraId="0A0A3838">
      <w:pPr>
        <w:rPr>
          <w:rFonts w:hint="eastAsia"/>
        </w:rPr>
      </w:pPr>
      <w:r>
        <w:rPr>
          <w:rFonts w:hint="eastAsia"/>
        </w:rPr>
        <w:t>*[本节为核心贡献章节，对应理论框架中观层（组织选择性注意力）。以下为分析框架，待政策文本编码完成后填入实际结果。]*</w:t>
      </w:r>
    </w:p>
    <w:p w14:paraId="736119A2">
      <w:pPr>
        <w:rPr>
          <w:rFonts w:hint="eastAsia"/>
        </w:rPr>
      </w:pPr>
    </w:p>
    <w:p w14:paraId="4BAF2CB0">
      <w:pPr>
        <w:rPr>
          <w:rFonts w:hint="eastAsia"/>
        </w:rPr>
      </w:pPr>
      <w:r>
        <w:rPr>
          <w:rFonts w:hint="eastAsia"/>
        </w:rPr>
        <w:t>### 4.1 政策文本的选取与分布</w:t>
      </w:r>
    </w:p>
    <w:p w14:paraId="672E7567">
      <w:pPr>
        <w:rPr>
          <w:rFonts w:hint="eastAsia"/>
        </w:rPr>
      </w:pPr>
    </w:p>
    <w:p w14:paraId="6CA31E27">
      <w:pPr>
        <w:rPr>
          <w:rFonts w:hint="eastAsia"/>
        </w:rPr>
      </w:pPr>
      <w:r>
        <w:rPr>
          <w:rFonts w:hint="eastAsia"/>
        </w:rPr>
        <w:t>*[待编码完成后填入：文件选取最终结果，各部门文件数量和时间分布。]*</w:t>
      </w:r>
    </w:p>
    <w:p w14:paraId="15F8DD8F">
      <w:pPr>
        <w:rPr>
          <w:rFonts w:hint="eastAsia"/>
        </w:rPr>
      </w:pPr>
    </w:p>
    <w:p w14:paraId="4B40E3FE">
      <w:pPr>
        <w:outlineLvl w:val="0"/>
        <w:rPr>
          <w:rFonts w:hint="eastAsia"/>
        </w:rPr>
      </w:pPr>
      <w:r>
        <w:rPr>
          <w:rFonts w:hint="eastAsia"/>
        </w:rPr>
        <w:t>### 4.2 评价维度的部门间配置差异</w:t>
      </w:r>
    </w:p>
    <w:p w14:paraId="727ED342">
      <w:pPr>
        <w:rPr>
          <w:rFonts w:hint="eastAsia"/>
        </w:rPr>
      </w:pPr>
    </w:p>
    <w:p w14:paraId="17896D9E">
      <w:pPr>
        <w:rPr>
          <w:rFonts w:hint="eastAsia"/>
        </w:rPr>
      </w:pPr>
      <w:r>
        <w:rPr>
          <w:rFonts w:hint="eastAsia"/>
        </w:rPr>
        <w:t>*[待编码完成后填入：部门×维度交叉表。基于前期研究的预期特征为——药品监管部门以安全性和有效性为核心维度，医疗保障部门以经济性和临床价值增量为核心，卫生健康部门以公平性和可及性为核心。]*</w:t>
      </w:r>
    </w:p>
    <w:p w14:paraId="5409EB68">
      <w:pPr>
        <w:rPr>
          <w:rFonts w:hint="eastAsia"/>
        </w:rPr>
      </w:pPr>
    </w:p>
    <w:p w14:paraId="6531D674">
      <w:pPr>
        <w:rPr>
          <w:rFonts w:hint="eastAsia"/>
        </w:rPr>
      </w:pPr>
      <w:r>
        <w:rPr>
          <w:rFonts w:hint="eastAsia"/>
        </w:rPr>
        <w:t>### 4.3 核心评价维度的制度性分歧</w:t>
      </w:r>
    </w:p>
    <w:p w14:paraId="6FCDC7A0">
      <w:pPr>
        <w:rPr>
          <w:rFonts w:hint="eastAsia"/>
        </w:rPr>
      </w:pPr>
    </w:p>
    <w:p w14:paraId="7E1F4BAA">
      <w:pPr>
        <w:rPr>
          <w:rFonts w:hint="eastAsia"/>
        </w:rPr>
      </w:pPr>
      <w:r>
        <w:rPr>
          <w:rFonts w:hint="eastAsia"/>
        </w:rPr>
        <w:t>政策文本编码与专家访谈的交叉分析表明，三部门在创新药评价中的制度性分歧集中体现在"创新"定义、证据要求和价值衡量标准三个维度，且这三种分歧均可追溯至各部门所嵌入的不同制度逻辑。</w:t>
      </w:r>
    </w:p>
    <w:p w14:paraId="0443E4D8">
      <w:pPr>
        <w:rPr>
          <w:rFonts w:hint="eastAsia"/>
        </w:rPr>
      </w:pPr>
    </w:p>
    <w:p w14:paraId="1204580C">
      <w:pPr>
        <w:rPr>
          <w:rFonts w:hint="eastAsia"/>
        </w:rPr>
      </w:pPr>
      <w:r>
        <w:rPr>
          <w:rFonts w:hint="eastAsia"/>
        </w:rPr>
        <w:t>在"创新"的定义上，药品监管部门依据《药品注册分类》将创新定义为技术层面的创新，即新化合物、新靶点、新作用机制，而医疗保障部门则将创新理解为临床价值增量，即相对于现有治疗方案的改善程度。专家访谈亦印证了这一判断，药品监管部门对某一药品的一类新药认定，并不意味着该药品能够满足医疗保障部门对临床价值增量的评审要求。从制度逻辑的视角来看，这一分歧的根源在于药品监管部门遵循"科学-安全逻辑"，以分子新颖性为创新判据，而医疗保障部门遵循"经济-效率逻辑"，以增量临床获益为创新判据，两套标准各有合理性，但它们之间尚未建立制度化的对话接口。</w:t>
      </w:r>
    </w:p>
    <w:p w14:paraId="5E87E1B2">
      <w:pPr>
        <w:rPr>
          <w:rFonts w:hint="eastAsia"/>
        </w:rPr>
      </w:pPr>
    </w:p>
    <w:p w14:paraId="0F681907">
      <w:pPr>
        <w:rPr>
          <w:rFonts w:hint="eastAsia"/>
        </w:rPr>
      </w:pPr>
      <w:r>
        <w:rPr>
          <w:rFonts w:hint="eastAsia"/>
        </w:rPr>
        <w:t>在"证据"的要求上，药品监管部门设有突破性治疗药物、附条件批准、优先审评审批和特别审批四个加快上市注册通道，可以接受有限证据的加速审批，但医疗保障部门在准入评审中对临床证据和经济学证据的充分性提出了更高要求。访谈资料进一步表明，已获批新药品种中相当比例的产品缺乏充分的经济学证据支撑，这在客观上导致了审批与准入之间的制度性衔接不畅，已获批药品在进入医保谈判环节时面临较高的证据补充要求。</w:t>
      </w:r>
    </w:p>
    <w:p w14:paraId="364A0DB5">
      <w:pPr>
        <w:rPr>
          <w:rFonts w:hint="eastAsia"/>
        </w:rPr>
      </w:pPr>
    </w:p>
    <w:p w14:paraId="259607D6">
      <w:pPr>
        <w:rPr>
          <w:rFonts w:hint="eastAsia"/>
        </w:rPr>
      </w:pPr>
      <w:r>
        <w:rPr>
          <w:rFonts w:hint="eastAsia"/>
        </w:rPr>
        <w:t>在"价值"的衡量标准上，访谈对象普遍反映，各评价维度之间的权重配比尚无统一标准，但总体倾向于以健康需求为首要考量。具体而言，药品监管部门以临床试验数据为主要证据基础，医疗保障部门以成本效果分析和预算影响为核心考量，卫生健康部门以临床实际应用效果和患者可及性为主要导向，三者的证据偏好和价值取向呈现结构性分化。</w:t>
      </w:r>
    </w:p>
    <w:p w14:paraId="356F9DE8">
      <w:pPr>
        <w:rPr>
          <w:rFonts w:hint="eastAsia"/>
        </w:rPr>
      </w:pPr>
    </w:p>
    <w:p w14:paraId="6AB5CEF4">
      <w:pPr>
        <w:rPr>
          <w:rFonts w:hint="eastAsia"/>
        </w:rPr>
      </w:pPr>
      <w:r>
        <w:rPr>
          <w:rFonts w:hint="eastAsia"/>
        </w:rPr>
        <w:t>### 4.4 制度逻辑的理论阐释</w:t>
      </w:r>
    </w:p>
    <w:p w14:paraId="6246058A">
      <w:pPr>
        <w:rPr>
          <w:rFonts w:hint="eastAsia"/>
        </w:rPr>
      </w:pPr>
    </w:p>
    <w:p w14:paraId="754251C6">
      <w:pPr>
        <w:rPr>
          <w:rFonts w:hint="eastAsia"/>
        </w:rPr>
      </w:pPr>
      <w:r>
        <w:rPr>
          <w:rFonts w:hint="eastAsia"/>
        </w:rPr>
        <w:t>*[待编码结果填入后，用理论语言系统解释经验发现：三部门的注意力焦点分别受其嵌入的制度逻辑约束（Ocasio, 1997），评价差异是制度位置决定的选择性注意力的结构性产物（Greenwood et al., 2011）。过渡至第5节：这种制度层面的评价差异，是否也映射到了从业者的个体认知中？]*</w:t>
      </w:r>
    </w:p>
    <w:p w14:paraId="74B3D68F">
      <w:pPr>
        <w:rPr>
          <w:rFonts w:hint="eastAsia"/>
        </w:rPr>
      </w:pPr>
    </w:p>
    <w:p w14:paraId="15438570">
      <w:pPr>
        <w:rPr>
          <w:rFonts w:hint="eastAsia"/>
        </w:rPr>
      </w:pPr>
      <w:r>
        <w:rPr>
          <w:rFonts w:hint="eastAsia"/>
        </w:rPr>
        <w:t>## 5 问卷调查分析</w:t>
      </w:r>
    </w:p>
    <w:p w14:paraId="01F18450">
      <w:pPr>
        <w:rPr>
          <w:rFonts w:hint="eastAsia"/>
        </w:rPr>
      </w:pPr>
    </w:p>
    <w:p w14:paraId="672610D9">
      <w:pPr>
        <w:rPr>
          <w:rFonts w:hint="eastAsia"/>
        </w:rPr>
      </w:pPr>
      <w:r>
        <w:rPr>
          <w:rFonts w:hint="eastAsia"/>
        </w:rPr>
        <w:t>*[本节对应理论框架微观层（从业者认知框架）。以下为已有结果和分析框架，待统计检验完成后补充。]*</w:t>
      </w:r>
    </w:p>
    <w:p w14:paraId="5C2AD1C7">
      <w:pPr>
        <w:rPr>
          <w:rFonts w:hint="eastAsia"/>
        </w:rPr>
      </w:pPr>
    </w:p>
    <w:p w14:paraId="381F9526">
      <w:pPr>
        <w:rPr>
          <w:rFonts w:hint="eastAsia"/>
        </w:rPr>
      </w:pPr>
      <w:r>
        <w:rPr>
          <w:rFonts w:hint="eastAsia"/>
        </w:rPr>
        <w:t>### 5.1 样本结构与代表性</w:t>
      </w:r>
    </w:p>
    <w:p w14:paraId="51769606">
      <w:pPr>
        <w:rPr>
          <w:rFonts w:hint="eastAsia"/>
        </w:rPr>
      </w:pPr>
    </w:p>
    <w:p w14:paraId="4467F9F1">
      <w:pPr>
        <w:rPr>
          <w:rFonts w:hint="eastAsia"/>
        </w:rPr>
      </w:pPr>
      <w:r>
        <w:rPr>
          <w:rFonts w:hint="eastAsia"/>
        </w:rPr>
        <w:t>*[待补充A3从业年限和A4评审经验的描述统计。]*</w:t>
      </w:r>
    </w:p>
    <w:p w14:paraId="3D492132">
      <w:pPr>
        <w:rPr>
          <w:rFonts w:hint="eastAsia"/>
        </w:rPr>
      </w:pPr>
    </w:p>
    <w:p w14:paraId="48EC5FC2">
      <w:pPr>
        <w:rPr>
          <w:rFonts w:hint="eastAsia"/>
        </w:rPr>
      </w:pPr>
      <w:r>
        <w:rPr>
          <w:rFonts w:hint="eastAsia"/>
        </w:rPr>
        <w:t>### 5.2 五维度认知排序与职业差异</w:t>
      </w:r>
    </w:p>
    <w:p w14:paraId="4E67346C">
      <w:pPr>
        <w:rPr>
          <w:rFonts w:hint="eastAsia"/>
        </w:rPr>
      </w:pPr>
    </w:p>
    <w:p w14:paraId="21375FD5">
      <w:pPr>
        <w:rPr>
          <w:rFonts w:hint="eastAsia"/>
        </w:rPr>
      </w:pPr>
      <w:r>
        <w:rPr>
          <w:rFonts w:hint="eastAsia"/>
        </w:rPr>
        <w:t>总体而言，100名调查对象对五个评价维度的重要性评分由高至低依次为安全性（5.27分）、有效性（5.17分）、创新性（5.10分）、经济性（5.06分）、公平性（4.86分）。安全性和有效性居于前列而公平性排名末位，这一排序特征与样本以临床和科研群体为主的结构相一致。</w:t>
      </w:r>
    </w:p>
    <w:p w14:paraId="20087D91">
      <w:pPr>
        <w:rPr>
          <w:rFonts w:hint="eastAsia"/>
        </w:rPr>
      </w:pPr>
    </w:p>
    <w:p w14:paraId="2A3FB2CE">
      <w:pPr>
        <w:rPr>
          <w:rFonts w:hint="eastAsia"/>
        </w:rPr>
      </w:pPr>
      <w:r>
        <w:rPr>
          <w:rFonts w:hint="eastAsia"/>
        </w:rPr>
        <w:t>*[待补充：按职业分组的Kruskal-Wallis检验结果。]*</w:t>
      </w:r>
    </w:p>
    <w:p w14:paraId="4C667AB0">
      <w:pPr>
        <w:rPr>
          <w:rFonts w:hint="eastAsia"/>
        </w:rPr>
      </w:pPr>
    </w:p>
    <w:p w14:paraId="0CB09A99">
      <w:pPr>
        <w:rPr>
          <w:rFonts w:hint="eastAsia"/>
        </w:rPr>
      </w:pPr>
      <w:r>
        <w:rPr>
          <w:rFonts w:hint="eastAsia"/>
        </w:rPr>
        <w:t>### 5.3 个体认知与机构导向的结构性张力</w:t>
      </w:r>
    </w:p>
    <w:p w14:paraId="056309A1">
      <w:pPr>
        <w:rPr>
          <w:rFonts w:hint="eastAsia"/>
        </w:rPr>
      </w:pPr>
    </w:p>
    <w:p w14:paraId="2E25A2B9">
      <w:pPr>
        <w:rPr>
          <w:rFonts w:hint="eastAsia"/>
        </w:rPr>
      </w:pPr>
      <w:r>
        <w:rPr>
          <w:rFonts w:hint="eastAsia"/>
        </w:rPr>
        <w:t>*[本小节为相对于前期研究报告的核心增量内容，前期报告未对第三部分进行分析。待第三部分描述统计和个人认知与机构导向配对Wilcoxon检验完成后填入。理论预期：如果个人更重视"创新"和"公平"而感知机构更重视"安全"和"经济"，则提供了制度逻辑从宏观层传导至微观层的证据。]*</w:t>
      </w:r>
    </w:p>
    <w:p w14:paraId="660A60A3">
      <w:pPr>
        <w:rPr>
          <w:rFonts w:hint="eastAsia"/>
        </w:rPr>
      </w:pPr>
    </w:p>
    <w:p w14:paraId="317D4119">
      <w:pPr>
        <w:rPr>
          <w:rFonts w:hint="eastAsia"/>
        </w:rPr>
      </w:pPr>
      <w:r>
        <w:rPr>
          <w:rFonts w:hint="eastAsia"/>
        </w:rPr>
        <w:t>### 5.4 跨逻辑协调的认知基础</w:t>
      </w:r>
    </w:p>
    <w:p w14:paraId="59A82420">
      <w:pPr>
        <w:rPr>
          <w:rFonts w:hint="eastAsia"/>
        </w:rPr>
      </w:pPr>
    </w:p>
    <w:p w14:paraId="5DAA0EE1">
      <w:pPr>
        <w:rPr>
          <w:rFonts w:hint="eastAsia"/>
        </w:rPr>
      </w:pPr>
      <w:r>
        <w:rPr>
          <w:rFonts w:hint="eastAsia"/>
        </w:rPr>
        <w:t>*[待第三部分中认知灵活性三题的描述统计完成后填入。三题分别测量"能理解不同机构有不同的评价标准""愿意调整自己的评价角度""多元化的评价体系是有价值的"。如果三题均值在4分以上，表明从业者具备在多重制度逻辑之间切换的认知能力，为三医协同提供了微观层面的认知基础。]*</w:t>
      </w:r>
    </w:p>
    <w:p w14:paraId="2C299CFD">
      <w:pPr>
        <w:rPr>
          <w:rFonts w:hint="eastAsia"/>
        </w:rPr>
      </w:pPr>
    </w:p>
    <w:p w14:paraId="7C24A76B">
      <w:pPr>
        <w:rPr>
          <w:rFonts w:hint="eastAsia"/>
        </w:rPr>
      </w:pPr>
      <w:r>
        <w:rPr>
          <w:rFonts w:hint="eastAsia"/>
        </w:rPr>
        <w:t>## 6 国际经验借鉴</w:t>
      </w:r>
    </w:p>
    <w:p w14:paraId="245B7911">
      <w:pPr>
        <w:rPr>
          <w:rFonts w:hint="eastAsia"/>
        </w:rPr>
      </w:pPr>
    </w:p>
    <w:p w14:paraId="40B6E406">
      <w:pPr>
        <w:rPr>
          <w:rFonts w:hint="eastAsia"/>
        </w:rPr>
      </w:pPr>
      <w:r>
        <w:rPr>
          <w:rFonts w:hint="eastAsia"/>
        </w:rPr>
        <w:t>德国、法国、意大利三国均建立了系统性的健康技术评估制度，且Casilli等[^5]的研究为三国间跨机构评价一致性提供了可量化的实证基础，因而适合作为中国的参照对象。以下分析不追求全面的制度比较，而是聚焦于三国在管理评价分歧方面各具特色的制度设计，并讨论其对十五五"三医协同"的参照价值。</w:t>
      </w:r>
    </w:p>
    <w:p w14:paraId="5C40B765">
      <w:pPr>
        <w:rPr>
          <w:rFonts w:hint="eastAsia"/>
        </w:rPr>
      </w:pPr>
    </w:p>
    <w:p w14:paraId="365C5D96">
      <w:pPr>
        <w:outlineLvl w:val="0"/>
        <w:rPr>
          <w:rFonts w:hint="eastAsia"/>
        </w:rPr>
      </w:pPr>
      <w:r>
        <w:rPr>
          <w:rFonts w:hint="eastAsia"/>
        </w:rPr>
        <w:t>### 6.1 德国：附加效益评估的制度化协调</w:t>
      </w:r>
    </w:p>
    <w:p w14:paraId="28BA47AE">
      <w:pPr>
        <w:rPr>
          <w:rFonts w:hint="eastAsia"/>
        </w:rPr>
      </w:pPr>
    </w:p>
    <w:p w14:paraId="7B031E4B">
      <w:pPr>
        <w:rPr>
          <w:rFonts w:hint="eastAsia"/>
        </w:rPr>
      </w:pPr>
      <w:r>
        <w:rPr>
          <w:rFonts w:hint="eastAsia"/>
        </w:rPr>
        <w:t>德国2011年实施的《药品市场改革法案》（AMNOG）要求所有新药在上市后由联邦联合委员会（G-BA）进行早期附加效益评估（Zusatznutzen），采用六级分类体系（重大、显著、较小、不可量化、无附加效益、较少效益），由卫生保健质量和效率研究所（IQWiG）提供独立的方法学支撑，制药企业在上市后享有6个月的自由定价期，之后根据效益评估结果进入与法定医保基金的价格谈判。这一制度安排的核心功能在于建立了"技术创新"向"临床增量获益"的标准化转换接口，使药品监管审批结论能够以支付方可理解的等级化语言重新表达。Casilli等（2023）[^5]的研究表明，德法两国G-BA与HAS的评估一致率达到82%（Cohen's κ=0.61），为制度化评估流程提高跨机构评价一致性提供了实证支持。对十五五"三医协同"而言，中国目前缺乏类似的制度化转换接口，药品监管部门按《药品注册分类》认定的创新性与医疗保障部门在综合评审中衡量的"临床价值增量"之间尚无标准化的对应关系。</w:t>
      </w:r>
    </w:p>
    <w:p w14:paraId="52426555">
      <w:pPr>
        <w:rPr>
          <w:rFonts w:hint="eastAsia"/>
        </w:rPr>
      </w:pPr>
    </w:p>
    <w:p w14:paraId="329626BA">
      <w:pPr>
        <w:rPr>
          <w:rFonts w:hint="eastAsia"/>
        </w:rPr>
      </w:pPr>
      <w:r>
        <w:rPr>
          <w:rFonts w:hint="eastAsia"/>
        </w:rPr>
        <w:t>### 6.2 法国：评价与定价的显性挂钩</w:t>
      </w:r>
    </w:p>
    <w:p w14:paraId="1B4FED2A">
      <w:pPr>
        <w:rPr>
          <w:rFonts w:hint="eastAsia"/>
        </w:rPr>
      </w:pPr>
    </w:p>
    <w:p w14:paraId="007FFBB3">
      <w:pPr>
        <w:rPr>
          <w:rFonts w:hint="eastAsia"/>
        </w:rPr>
      </w:pPr>
      <w:r>
        <w:rPr>
          <w:rFonts w:hint="eastAsia"/>
        </w:rPr>
        <w:t>法国高等卫生管理局（HAS）通过"实际临床获益"（SMR）和"临床获益改善度"（ASMR）双重指标体系评估创新药价值，其中SMR评估决定药品是否纳入报销，ASMR采用五级分类（I级重大改善至V级无改善）决定报销价格[^5]，该体系的制度特征在于临床获益评级与定价空间之间的关系透明且显性化，即ASMR等级越高，药品可获得的定价空间越大。与之相比，中国医疗保障部门虽已在创新药首发价格形成机制中引入150点制自评量表，但评价结果与定价空间之间的对应关系尚待进一步透明化。法国ASMR的经验表明，当评价结果直接关联经济后果时，各方更有动力就评价标准本身达成共识，评价与定价之间的显性挂钩有助于提高跨部门评价的认知一致性。</w:t>
      </w:r>
    </w:p>
    <w:p w14:paraId="503CCEDC">
      <w:pPr>
        <w:rPr>
          <w:rFonts w:hint="eastAsia"/>
        </w:rPr>
      </w:pPr>
    </w:p>
    <w:p w14:paraId="7F60C861">
      <w:pPr>
        <w:outlineLvl w:val="0"/>
        <w:rPr>
          <w:rFonts w:hint="eastAsia"/>
        </w:rPr>
      </w:pPr>
      <w:r>
        <w:rPr>
          <w:rFonts w:hint="eastAsia"/>
        </w:rPr>
        <w:t>### 6.3 意大利：条件准入与动态管理</w:t>
      </w:r>
    </w:p>
    <w:p w14:paraId="56E8432C">
      <w:pPr>
        <w:rPr>
          <w:rFonts w:hint="eastAsia"/>
        </w:rPr>
      </w:pPr>
    </w:p>
    <w:p w14:paraId="352AD5AB">
      <w:pPr>
        <w:rPr>
          <w:rFonts w:hint="eastAsia"/>
        </w:rPr>
      </w:pPr>
      <w:r>
        <w:rPr>
          <w:rFonts w:hint="eastAsia"/>
        </w:rPr>
        <w:t>意大利药品管理局（AIFA）于2017年建立了创新性认定的三维评估框架，包括治疗需求、附加治疗价值和证据质量三个维度，采用"创新/有条件创新/非创新"三级判定，并配套建立了条件准入协议和基于绩效的风险分担机制（Managed Entry Agreements，MEA），即当药品的实际临床表现未达到预期时价格将进行相应调整。然而，制度设计本身并不自动消除评价分歧，意法两国的评估一致率仅为52%（κ=0.17），意德仅为57%（κ=0.25）[^5]，表明即使在均已建立系统性评价框架的国家之间，评价分歧仍然持续存在，这一实证结果与本文关于评价分歧具有制度根源上的结构性这一理论判断相一致。</w:t>
      </w:r>
    </w:p>
    <w:p w14:paraId="05CE66B0">
      <w:pPr>
        <w:rPr>
          <w:rFonts w:hint="eastAsia"/>
        </w:rPr>
      </w:pPr>
    </w:p>
    <w:p w14:paraId="4B8C8823">
      <w:pPr>
        <w:rPr>
          <w:rFonts w:hint="eastAsia"/>
        </w:rPr>
      </w:pPr>
      <w:r>
        <w:rPr>
          <w:rFonts w:hint="eastAsia"/>
        </w:rPr>
        <w:t>意大利模式对中国的参照价值主要体现在附条件批准药品的医保准入问题上。中国药品监管部门已建立四个加快上市注册通道，部分药品以有限证据获得附条件批准，而医疗保障部门在准入评审中对证据充分性的要求相对更高，意大利的动态管理机制提供了一种可供参考的思路，即承认现阶段证据尚不足以做出确定性判断，以动态调整机制替代一次性准入判断，这一经验对中国完善基本医保与商业保险"双目录"衔接机制具有参考意义。</w:t>
      </w:r>
    </w:p>
    <w:p w14:paraId="22C76C28">
      <w:pPr>
        <w:rPr>
          <w:rFonts w:hint="eastAsia"/>
        </w:rPr>
      </w:pPr>
    </w:p>
    <w:p w14:paraId="01DCF75B">
      <w:pPr>
        <w:rPr>
          <w:rFonts w:hint="eastAsia"/>
        </w:rPr>
      </w:pPr>
      <w:r>
        <w:rPr>
          <w:rFonts w:hint="eastAsia"/>
        </w:rPr>
        <w:t>### 6.4 共性特征与启示</w:t>
      </w:r>
    </w:p>
    <w:p w14:paraId="02511C47">
      <w:pPr>
        <w:rPr>
          <w:rFonts w:hint="eastAsia"/>
        </w:rPr>
      </w:pPr>
    </w:p>
    <w:p w14:paraId="056A9C0D">
      <w:pPr>
        <w:rPr>
          <w:rFonts w:hint="eastAsia"/>
        </w:rPr>
      </w:pPr>
      <w:r>
        <w:rPr>
          <w:rFonts w:hint="eastAsia"/>
        </w:rPr>
        <w:t>综合三国经验，可以归纳出以下三方面启示。其一，评价分歧具有制度层面的结构性和持久性，即便在制度环境相近的欧洲国家间，评价一致率也仅处于52%至82%的区间，据此，政策设计的重心宜从追求"消除分歧"转向"制度化管理分歧"。其二，推动评价工具标准化和决策机制透明化有助于提高跨部门评价的可比性，德国的六级量表、法国的ASMR五级体系以及MCDA框架，均将隐含的价值判断予以显式化，在一定程度上提高了决策过程的透明度和可预期性。其三，建立动态评价机制是应对证据不确定性的有效路径，意大利的条件准入和风险共担协议表明，在承认不确定性的前提下引入动态调整机制，相较于要求在审批环节做出确定性判断，在制度运行上更为可行。</w:t>
      </w:r>
    </w:p>
    <w:p w14:paraId="1C408D88">
      <w:pPr>
        <w:rPr>
          <w:rFonts w:hint="eastAsia"/>
        </w:rPr>
      </w:pPr>
    </w:p>
    <w:p w14:paraId="5960A1A1">
      <w:pPr>
        <w:rPr>
          <w:rFonts w:hint="eastAsia"/>
        </w:rPr>
      </w:pPr>
      <w:r>
        <w:rPr>
          <w:rFonts w:hint="eastAsia"/>
        </w:rPr>
        <w:t>## 7 协调路径与政策建议</w:t>
      </w:r>
    </w:p>
    <w:p w14:paraId="36A94E95">
      <w:pPr>
        <w:rPr>
          <w:rFonts w:hint="eastAsia"/>
        </w:rPr>
      </w:pPr>
    </w:p>
    <w:p w14:paraId="75DABAB7">
      <w:pPr>
        <w:rPr>
          <w:rFonts w:hint="eastAsia"/>
        </w:rPr>
      </w:pPr>
      <w:r>
        <w:rPr>
          <w:rFonts w:hint="eastAsia"/>
        </w:rPr>
        <w:t>*[本节建议需追溯到前文具体发现。以下为框架，待第4节和第5节分析结果填入后完善论证依据。]*</w:t>
      </w:r>
    </w:p>
    <w:p w14:paraId="4FBEE537">
      <w:pPr>
        <w:rPr>
          <w:rFonts w:hint="eastAsia"/>
        </w:rPr>
      </w:pPr>
    </w:p>
    <w:p w14:paraId="5CF7F7F4">
      <w:pPr>
        <w:rPr>
          <w:rFonts w:hint="eastAsia"/>
        </w:rPr>
      </w:pPr>
      <w:r>
        <w:rPr>
          <w:rFonts w:hint="eastAsia"/>
        </w:rPr>
        <w:t>### 7.1 建立跨部门评价标准对话机制</w:t>
      </w:r>
    </w:p>
    <w:p w14:paraId="391BC04D">
      <w:pPr>
        <w:rPr>
          <w:rFonts w:hint="eastAsia"/>
        </w:rPr>
      </w:pPr>
    </w:p>
    <w:p w14:paraId="73AB0E29">
      <w:pPr>
        <w:rPr>
          <w:rFonts w:hint="eastAsia"/>
        </w:rPr>
      </w:pPr>
      <w:r>
        <w:rPr>
          <w:rFonts w:hint="eastAsia"/>
        </w:rPr>
        <w:t>*[依据：第4节编码结果 + 德国G-BA模式。核心要点：不以统一标准为目标，而是实现标准的透明化和可对话。建立三部门定期联席评价沟通机制，发布评价标准对照文件。]*</w:t>
      </w:r>
    </w:p>
    <w:p w14:paraId="75ACE7AD">
      <w:pPr>
        <w:rPr>
          <w:rFonts w:hint="eastAsia"/>
        </w:rPr>
      </w:pPr>
    </w:p>
    <w:p w14:paraId="2DA9BBE2">
      <w:pPr>
        <w:rPr>
          <w:rFonts w:hint="eastAsia"/>
        </w:rPr>
      </w:pPr>
      <w:r>
        <w:rPr>
          <w:rFonts w:hint="eastAsia"/>
        </w:rPr>
        <w:t>### 7.2 构建分级化的创新药评价指标体系</w:t>
      </w:r>
    </w:p>
    <w:p w14:paraId="193C6591">
      <w:pPr>
        <w:rPr>
          <w:rFonts w:hint="eastAsia"/>
        </w:rPr>
      </w:pPr>
    </w:p>
    <w:p w14:paraId="4B498CFF">
      <w:pPr>
        <w:rPr>
          <w:rFonts w:hint="eastAsia"/>
        </w:rPr>
      </w:pPr>
      <w:r>
        <w:rPr>
          <w:rFonts w:hint="eastAsia"/>
        </w:rPr>
        <w:t>*[依据：第4节差异一（"创新"定义分歧）+ 第5节K-W检验结果 + 德国六级量表/法国ASMR五级体系。核心要点：区分"技术创新"和"临床价值创新"，建立分级对应关系。]*</w:t>
      </w:r>
    </w:p>
    <w:p w14:paraId="64516644">
      <w:pPr>
        <w:rPr>
          <w:rFonts w:hint="eastAsia"/>
        </w:rPr>
      </w:pPr>
    </w:p>
    <w:p w14:paraId="3AE9C44C">
      <w:pPr>
        <w:rPr>
          <w:rFonts w:hint="eastAsia"/>
        </w:rPr>
      </w:pPr>
      <w:r>
        <w:rPr>
          <w:rFonts w:hint="eastAsia"/>
        </w:rPr>
        <w:t>### 7.3 完善"双目录"机制与动态评价</w:t>
      </w:r>
    </w:p>
    <w:p w14:paraId="073D39EF">
      <w:pPr>
        <w:rPr>
          <w:rFonts w:hint="eastAsia"/>
        </w:rPr>
      </w:pPr>
    </w:p>
    <w:p w14:paraId="7C1468A2">
      <w:pPr>
        <w:rPr>
          <w:rFonts w:hint="eastAsia"/>
        </w:rPr>
      </w:pPr>
      <w:r>
        <w:rPr>
          <w:rFonts w:hint="eastAsia"/>
        </w:rPr>
        <w:t>*[依据：第4节差异三（证据要求差异）+ 意大利条件准入机制。核心要点：引入基于真实世界证据的动态价格管理，设置"价值验证周期"。]*</w:t>
      </w:r>
    </w:p>
    <w:p w14:paraId="30679AD7">
      <w:pPr>
        <w:rPr>
          <w:rFonts w:hint="eastAsia"/>
        </w:rPr>
      </w:pPr>
    </w:p>
    <w:p w14:paraId="685BCA1C">
      <w:pPr>
        <w:rPr>
          <w:rFonts w:hint="eastAsia"/>
        </w:rPr>
      </w:pPr>
      <w:r>
        <w:rPr>
          <w:rFonts w:hint="eastAsia"/>
        </w:rPr>
        <w:t>### 7.4 增强评价过程的信息共享与透明度</w:t>
      </w:r>
    </w:p>
    <w:p w14:paraId="7F333F10">
      <w:pPr>
        <w:rPr>
          <w:rFonts w:hint="eastAsia"/>
        </w:rPr>
      </w:pPr>
    </w:p>
    <w:p w14:paraId="79F03741">
      <w:pPr>
        <w:rPr>
          <w:rFonts w:hint="eastAsia"/>
        </w:rPr>
      </w:pPr>
      <w:r>
        <w:rPr>
          <w:rFonts w:hint="eastAsia"/>
        </w:rPr>
        <w:t>*[依据：第5节C7—C9（从业者具备认知协调意愿）+ Walsh (1995) 理论启示。核心要点：提高评审标准和权重的公开程度，为从业者的认知协调意愿提供制度释放空间。]*</w:t>
      </w:r>
    </w:p>
    <w:p w14:paraId="6E3DF74A">
      <w:pPr>
        <w:rPr>
          <w:rFonts w:hint="eastAsia"/>
        </w:rPr>
      </w:pPr>
    </w:p>
    <w:p w14:paraId="12E5EBB5">
      <w:pPr>
        <w:rPr>
          <w:rFonts w:hint="eastAsia"/>
        </w:rPr>
      </w:pPr>
      <w:r>
        <w:rPr>
          <w:rFonts w:hint="eastAsia"/>
        </w:rPr>
        <w:t>## 8 结论与展望</w:t>
      </w:r>
    </w:p>
    <w:p w14:paraId="385E6B8D">
      <w:pPr>
        <w:rPr>
          <w:rFonts w:hint="eastAsia"/>
        </w:rPr>
      </w:pPr>
    </w:p>
    <w:p w14:paraId="5D11D62A">
      <w:pPr>
        <w:rPr>
          <w:rFonts w:hint="eastAsia"/>
        </w:rPr>
      </w:pPr>
      <w:r>
        <w:rPr>
          <w:rFonts w:hint="eastAsia"/>
        </w:rPr>
        <w:t>*[待前文分析结果填入后撰写。预期结构：核心发现总结（三部门制度逻辑差异→评价注意力焦点分化→从业者认知映射）；理论贡献（三层分析框架）；实践意义（协调重点不是消除差异，而是建立制度化差异管理机制）；研究局限（样本偏向、政策文本时效性、未纳入药企和患者视角）；未来方向（扩大样本、跟踪十五五实施效果、准实验设计检验认知干预效应）。]*</w:t>
      </w:r>
    </w:p>
    <w:p w14:paraId="0BC1BABC">
      <w:pPr>
        <w:rPr>
          <w:rFonts w:hint="eastAsia"/>
        </w:rPr>
      </w:pPr>
    </w:p>
    <w:p w14:paraId="59730A1D">
      <w:pPr>
        <w:rPr>
          <w:rFonts w:hint="eastAsia"/>
        </w:rPr>
      </w:pPr>
      <w:r>
        <w:rPr>
          <w:rFonts w:hint="eastAsia"/>
        </w:rPr>
        <w:t>---</w:t>
      </w:r>
    </w:p>
    <w:p w14:paraId="3E6A2074">
      <w:pPr>
        <w:rPr>
          <w:rFonts w:hint="eastAsia"/>
        </w:rPr>
      </w:pPr>
    </w:p>
    <w:p w14:paraId="51426E9E">
      <w:pPr>
        <w:rPr>
          <w:rFonts w:hint="eastAsia"/>
        </w:rPr>
      </w:pPr>
      <w:r>
        <w:rPr>
          <w:rFonts w:hint="eastAsia"/>
        </w:rPr>
        <w:t>## 参考文献</w:t>
      </w:r>
    </w:p>
    <w:p w14:paraId="31A3E258">
      <w:pPr>
        <w:rPr>
          <w:rFonts w:hint="eastAsia"/>
        </w:rPr>
      </w:pPr>
    </w:p>
    <w:p w14:paraId="290ABCFF">
      <w:pPr>
        <w:rPr>
          <w:rFonts w:hint="eastAsia"/>
        </w:rPr>
      </w:pPr>
      <w:r>
        <w:rPr>
          <w:rFonts w:hint="eastAsia"/>
        </w:rPr>
        <w:t>[^2]: 谭清立，伍明根．药品集中带量采购背景下中小药企竞争战略研究——基于波特五力模型和AHP-SWOT分析[J]．2022．</w:t>
      </w:r>
    </w:p>
    <w:p w14:paraId="733D9EC8">
      <w:pPr>
        <w:rPr>
          <w:rFonts w:hint="eastAsia"/>
        </w:rPr>
      </w:pPr>
      <w:r>
        <w:rPr>
          <w:rFonts w:hint="eastAsia"/>
        </w:rPr>
        <w:t>[^3]: 刁媛媛，武志昂．中国创新药开发战略制定的影响因素研究[J]．2024．</w:t>
      </w:r>
    </w:p>
    <w:p w14:paraId="4234240A">
      <w:pPr>
        <w:rPr>
          <w:rFonts w:hint="eastAsia"/>
        </w:rPr>
      </w:pPr>
      <w:r>
        <w:rPr>
          <w:rFonts w:hint="eastAsia"/>
        </w:rPr>
        <w:t>[^4]: 钟小芳，等．基于政策工具的中国抗肿瘤创新药物政策文本分析[J]．</w:t>
      </w:r>
    </w:p>
    <w:p w14:paraId="7E2C1500">
      <w:pPr>
        <w:rPr>
          <w:rFonts w:hint="eastAsia"/>
        </w:rPr>
      </w:pPr>
      <w:r>
        <w:rPr>
          <w:rFonts w:hint="eastAsia"/>
        </w:rPr>
        <w:t>[^5]: CASILLI G, JOMMI C, PANTELI D, et al. Do France, Germany, and Italy agree on the added therapeutic value of medicines? results from a comparative analysis of HTA recommendations for medicines approved by the European Medicines Agency[J]. International Journal of Technology Assessment in Health Care, 2023, 39(1): e12.</w:t>
      </w:r>
    </w:p>
    <w:p w14:paraId="07866480">
      <w:pPr>
        <w:rPr>
          <w:rFonts w:hint="eastAsia"/>
        </w:rPr>
      </w:pPr>
      <w:r>
        <w:rPr>
          <w:rFonts w:hint="eastAsia"/>
        </w:rPr>
        <w:t>[^6]: GARAU M, HAMPSON G, DEVLIN N, et al. Applying a multicriteria decision analysis (MCDA) approach to elicit stakeholders' preferences in Italy: the case of obinutuzumab for rituximab-refractory indolent non-Hodgkin lymphoma (iNHL)[J]. PharmacoEconomics Open, 2017, 1(4): 249-260.</w:t>
      </w:r>
    </w:p>
    <w:p w14:paraId="2E07DD8C">
      <w:pPr>
        <w:rPr>
          <w:rFonts w:hint="eastAsia"/>
        </w:rPr>
      </w:pPr>
      <w:r>
        <w:rPr>
          <w:rFonts w:hint="eastAsia"/>
        </w:rPr>
        <w:t>[^7]: KESSELHEIM A S, WANG B, FRANKLIN J M, et al. Defining "innovativeness" in drug development: a systematic review[J]. Clinical Pharmacology &amp; Therapeutics, 2013, 93(5): 408-415.</w:t>
      </w:r>
    </w:p>
    <w:p w14:paraId="31199228">
      <w:pPr>
        <w:rPr>
          <w:rFonts w:hint="eastAsia"/>
        </w:rPr>
      </w:pPr>
      <w:r>
        <w:rPr>
          <w:rFonts w:hint="eastAsia"/>
        </w:rPr>
        <w:t>[^8]: MONLEÓN C, CUENTA L, CAMPBELL J D, et al. Systematic literature review on the implicit factors influencing the health technology assessment deliberative process in Europe[J]. Journal of Market Access &amp; Health Policy, 2022, 10(1): 2136543.</w:t>
      </w:r>
    </w:p>
    <w:p w14:paraId="59A9726D">
      <w:pPr>
        <w:rPr>
          <w:rFonts w:hint="eastAsia"/>
        </w:rPr>
      </w:pPr>
      <w:r>
        <w:rPr>
          <w:rFonts w:hint="eastAsia"/>
        </w:rPr>
        <w:t>[^9]: KÅLLBERG S, ÅRDAL C, SALVESEN BLIX H, et al. The role of drug regulatory authorities and health technology assessment agencies in shaping incentives for antibiotic research and development[J]. Journal of Pharmaceutical Policy and Practice, 2023, 16(1): 45.</w:t>
      </w:r>
    </w:p>
    <w:p w14:paraId="68207378">
      <w:pPr>
        <w:rPr>
          <w:rFonts w:hint="eastAsia"/>
        </w:rPr>
      </w:pPr>
      <w:r>
        <w:rPr>
          <w:rFonts w:hint="eastAsia"/>
        </w:rPr>
        <w:t>[^10]: MUNDY L, TROWMAN R, KOLOMINSKY-RABAS P. Health technology assessment and innovation: here to help or hinder?[J]. International Journal of Technology Assessment in Health Care, 2024, 40(1): e8.</w:t>
      </w:r>
    </w:p>
    <w:p w14:paraId="4632C6EF">
      <w:pPr>
        <w:rPr>
          <w:rFonts w:hint="eastAsia"/>
        </w:rPr>
      </w:pPr>
      <w:r>
        <w:rPr>
          <w:rFonts w:hint="eastAsia"/>
        </w:rPr>
        <w:t>[^11]: IMI PREFER Consortium. How can patient preferences be used in regulatory evaluation?[J]. Frontiers in Pharmacology, 2023.</w:t>
      </w:r>
    </w:p>
    <w:p w14:paraId="25D5CF4A">
      <w:pPr>
        <w:rPr>
          <w:rFonts w:hint="eastAsia"/>
        </w:rPr>
      </w:pPr>
      <w:r>
        <w:rPr>
          <w:rFonts w:hint="eastAsia"/>
        </w:rPr>
        <w:t>[^12]: MOUNTFORD N. Towards a flatter ontology of institutional logics: how logics relate in situations of institutional complexity[J]. International Journal of Management Reviews, 2023.</w:t>
      </w:r>
    </w:p>
    <w:p w14:paraId="56FA8DA5">
      <w:pPr>
        <w:rPr>
          <w:rFonts w:hint="eastAsia"/>
        </w:rPr>
      </w:pPr>
      <w:r>
        <w:rPr>
          <w:rFonts w:hint="eastAsia"/>
        </w:rPr>
        <w:t>[^13]: FREEMAN R E. Strategic management: a stakeholder approach[M]. Boston: Pitman, 1984.</w:t>
      </w:r>
    </w:p>
    <w:p w14:paraId="4A18D006">
      <w:pPr>
        <w:rPr>
          <w:rFonts w:hint="eastAsia"/>
        </w:rPr>
      </w:pPr>
      <w:r>
        <w:rPr>
          <w:rFonts w:hint="eastAsia"/>
        </w:rPr>
        <w:t>[^14]: THORNTON P H, OCASIO W. Institutional logics[M]//GREENWOOD R, OLIVER C, SAHLIN K, et al. The SAGE Handbook of Organizational Institutionalism. London: SAGE, 2008: 99-128.</w:t>
      </w:r>
    </w:p>
    <w:p w14:paraId="2E0C0637">
      <w:pPr>
        <w:rPr>
          <w:rFonts w:hint="eastAsia"/>
        </w:rPr>
      </w:pPr>
      <w:r>
        <w:rPr>
          <w:rFonts w:hint="eastAsia"/>
        </w:rPr>
        <w:t>[^15]: GREENWOOD R, RAYNARD M, KODEIH F, et al. Institutional complexity and organizational responses[J]. Academy of Management Annals, 2011, 5(1): 317-371.</w:t>
      </w:r>
    </w:p>
    <w:p w14:paraId="64270ABC">
      <w:pPr>
        <w:rPr>
          <w:rFonts w:hint="eastAsia"/>
        </w:rPr>
      </w:pPr>
      <w:r>
        <w:rPr>
          <w:rFonts w:hint="eastAsia"/>
        </w:rPr>
        <w:t>[^16]: OCASIO W. Towards an attention-based view of the firm[J]. Strategic Management Journal, 1997, 18(S1): 187-206.</w:t>
      </w:r>
    </w:p>
    <w:p w14:paraId="735AFBFB">
      <w:r>
        <w:rPr>
          <w:rFonts w:hint="eastAsia"/>
        </w:rPr>
        <w:t>[^17]: WALSH J P. Managerial and organizational cognition: notes from a trip down memory lane[J]. Organization Science, 1995, 6(3): 280-321.</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6-06-27T09:37:29Z" w:initials="">
    <w:p w14:paraId="42437E22">
      <w:pPr>
        <w:pStyle w:val="2"/>
        <w:rPr>
          <w:rFonts w:hint="default"/>
          <w:lang w:val="en-US" w:eastAsia="zh-CN"/>
        </w:rPr>
      </w:pPr>
      <w:r>
        <w:rPr>
          <w:rFonts w:hint="eastAsia"/>
          <w:lang w:val="en-US" w:eastAsia="zh-CN"/>
        </w:rPr>
        <w:t>学术论文引用+权威性观点+权威的新闻来源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437E2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7BED4A"/>
    <w:rsid w:val="9B7BE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249</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2026-06-27T09:06:00Z</dcterms:created>
  <dc:creator>W</dc:creator>
  <cp:lastModifiedBy>W</cp:lastModifiedBy>
  <dcterms:modified xsi:type="dcterms:W3CDTF">2026-07-11T02:03:46Z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081C31AD385C0CCFFA213F6A1FB2C1B3_41</vt:lpwstr>
  </property>
</Properties>
</file>