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F12B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6"/>
          <w:szCs w:val="36"/>
        </w:rPr>
      </w:pPr>
      <w:r>
        <w:rPr>
          <w:rFonts w:hint="default" w:ascii="Times New Roman Regular" w:hAnsi="Times New Roman Regular" w:eastAsia="仿宋_GB2312" w:cs="Times New Roman Regular"/>
          <w:b/>
          <w:bCs/>
          <w:color w:val="auto"/>
          <w:sz w:val="36"/>
          <w:szCs w:val="36"/>
        </w:rPr>
        <w:t>百济神州会议纪要</w:t>
      </w:r>
    </w:p>
    <w:p w14:paraId="4F94C7A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仿宋_GB2312" w:cs="Times New Roman Regular"/>
          <w:b/>
          <w:bCs/>
          <w:color w:val="auto"/>
          <w:sz w:val="32"/>
          <w:szCs w:val="32"/>
        </w:rPr>
        <w:t>会议时间</w:t>
      </w:r>
      <w:r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  <w:t>：2025年2月12日 上午10:0</w:t>
      </w:r>
      <w:r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  <w:lang w:val="en-US" w:eastAsia="zh-CN"/>
        </w:rPr>
        <w:t>0</w:t>
      </w:r>
    </w:p>
    <w:p w14:paraId="170ACE9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仿宋_GB2312" w:cs="Times New Roman Regular"/>
          <w:b/>
          <w:bCs/>
          <w:color w:val="auto"/>
          <w:sz w:val="32"/>
          <w:szCs w:val="32"/>
        </w:rPr>
        <w:t>会议时长</w:t>
      </w:r>
      <w:r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  <w:t>：2小时30分钟</w:t>
      </w:r>
    </w:p>
    <w:p w14:paraId="38CA7CC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仿宋_GB2312" w:cs="Times New Roman Regular"/>
          <w:b/>
          <w:bCs/>
          <w:color w:val="auto"/>
          <w:sz w:val="32"/>
          <w:szCs w:val="32"/>
        </w:rPr>
        <w:t>会议主题</w:t>
      </w:r>
      <w:r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  <w:t>：创新药医保政策、市场环境及研究方向</w:t>
      </w:r>
    </w:p>
    <w:p w14:paraId="6B51137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640" w:firstLineChars="200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</w:p>
    <w:p w14:paraId="36F37C4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 w:ascii="Times New Roman Regular" w:hAnsi="Times New Roman Regular" w:eastAsia="仿宋_GB2312" w:cs="Times New Roman Regular"/>
          <w:b/>
          <w:bCs/>
          <w:color w:val="auto"/>
          <w:sz w:val="36"/>
          <w:szCs w:val="36"/>
          <w:lang w:val="en-US" w:eastAsia="zh-CN"/>
        </w:rPr>
      </w:pPr>
      <w:r>
        <w:rPr>
          <w:rFonts w:hint="default" w:ascii="Times New Roman Regular" w:hAnsi="Times New Roman Regular" w:eastAsia="仿宋_GB2312" w:cs="Times New Roman Regular"/>
          <w:b/>
          <w:bCs/>
          <w:color w:val="auto"/>
          <w:sz w:val="36"/>
          <w:szCs w:val="36"/>
          <w:lang w:val="en-US" w:eastAsia="zh-CN"/>
        </w:rPr>
        <w:t>一、企业需求</w:t>
      </w: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sz w:val="36"/>
          <w:szCs w:val="36"/>
          <w:lang w:val="en-US" w:eastAsia="zh-CN"/>
        </w:rPr>
        <w:t>和建议问题清单</w:t>
      </w:r>
    </w:p>
    <w:p w14:paraId="0E245FA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（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1</w:t>
      </w: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）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 xml:space="preserve"> 医保支付标准及市场定价</w:t>
      </w:r>
    </w:p>
    <w:p w14:paraId="2371863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目前，医药领域的价格形成机制由于涉及民生属性，政府对医保价格的管理趋于严格，甚至干预市场价格。医保局的管理模式需要考虑与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“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惠民保（大病保险）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”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的模式进行区分，避免影响市场化机制的发展。</w:t>
      </w:r>
    </w:p>
    <w:p w14:paraId="2EE17A8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医保局在进行价格谈判时，除了制定医保支付标准，还要求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地方挂网价不得高于医保支付标准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，导致创新药的市场价格被严格限制。这与国务院原本规定的定价原则不符，使得企业失去了市场化定价的能力。过去，由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发改委价格司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负责药品定价时，定价相对合理，而现在医保局不仅控制医保支付标准，还控制零售价格，使得市场定价权进一步丧失。</w:t>
      </w:r>
    </w:p>
    <w:p w14:paraId="6994FAB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日本在经历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10年价格管控期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后，生物医药研发能力下降，如今正在尝试提升药品价格，以避免行业进一步衰退。国家是否对中国药品价格有长期规划，例如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1年、5年、10年的价格目标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，目前尚不明确。如果过度压低价格，可能会影响企业对中国市场的投入，进而影响产业发展。</w:t>
      </w:r>
    </w:p>
    <w:p w14:paraId="5E71DE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right="0" w:firstLine="643" w:firstLineChars="200"/>
        <w:jc w:val="left"/>
        <w:textAlignment w:val="auto"/>
        <w:rPr>
          <w:rFonts w:hint="eastAsia" w:ascii="Times New Roman Regular" w:hAnsi="Times New Roman Regular" w:eastAsia="仿宋_GB2312" w:cs="Times New Roman Regular"/>
          <w:color w:val="auto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仿宋_GB2312" w:cs="Times New Roman Regular"/>
          <w:b/>
          <w:bCs/>
          <w:color w:val="auto"/>
          <w:sz w:val="32"/>
          <w:szCs w:val="32"/>
        </w:rPr>
        <w:t>建议</w:t>
      </w: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sz w:val="32"/>
          <w:szCs w:val="32"/>
          <w:lang w:val="en-US" w:eastAsia="zh-CN"/>
        </w:rPr>
        <w:t>如下：</w:t>
      </w:r>
    </w:p>
    <w:p w14:paraId="7503D8A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640" w:firstLineChars="200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Style w:val="8"/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  <w:t>1.</w:t>
      </w:r>
      <w:r>
        <w:rPr>
          <w:rStyle w:val="10"/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  <w:t xml:space="preserve"> 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sz w:val="32"/>
          <w:szCs w:val="32"/>
        </w:rPr>
        <w:t>医保支付标准仅适用于医保报销部分</w:t>
      </w:r>
      <w:r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  <w:t>，不应影响市场零售价，市场定价应由企业自主决定。</w:t>
      </w:r>
    </w:p>
    <w:p w14:paraId="4840B9A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640" w:firstLineChars="200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Style w:val="8"/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  <w:t>2.</w:t>
      </w:r>
      <w:r>
        <w:rPr>
          <w:rStyle w:val="10"/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  <w:t xml:space="preserve"> 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sz w:val="32"/>
          <w:szCs w:val="32"/>
        </w:rPr>
        <w:t>调整地方挂网价格机制</w:t>
      </w:r>
      <w:r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  <w:t>，确保创新药企业能够根据市场需求进行定价，而非受到医保支付标准的严格约束。</w:t>
      </w:r>
    </w:p>
    <w:p w14:paraId="604823B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640" w:firstLineChars="200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Style w:val="8"/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  <w:t>3.</w:t>
      </w:r>
      <w:r>
        <w:rPr>
          <w:rStyle w:val="10"/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  <w:t xml:space="preserve"> 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sz w:val="32"/>
          <w:szCs w:val="32"/>
        </w:rPr>
        <w:t>建立长期价格规划</w:t>
      </w:r>
      <w:r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  <w:t>，如制定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sz w:val="32"/>
          <w:szCs w:val="32"/>
        </w:rPr>
        <w:t>1年、5年、10年</w:t>
      </w:r>
      <w:r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  <w:t>的创新药价格调整机制，以保持市场稳定性，避免短期政策影响企业长期投资。</w:t>
      </w:r>
    </w:p>
    <w:p w14:paraId="2C98A0B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</w:p>
    <w:p w14:paraId="1F7BB7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（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2</w:t>
      </w: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）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 xml:space="preserve"> 创新药医保准入机制</w:t>
      </w:r>
    </w:p>
    <w:p w14:paraId="73FCE78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目前，创新药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难进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医院，而企业也希望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尽早纳入医保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，但医保局对价格管理的限制，使得企业在市场推广阶段就面临较大的盈利压力。医保谈判导致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创新药刚上市时利润被大幅压缩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，与国际市场定价模式不同。例如，美国谈判的模式是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专利期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尚未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结束仍为独家药品时才进行谈判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，每年仅选取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8-15个药品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，并排除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罕见病用药和小型企业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的创新药。而中国则是在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创新药刚上市时就进行医保谈判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，导致企业的商业回报周期大幅缩短。</w:t>
      </w:r>
    </w:p>
    <w:p w14:paraId="635E42D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医保局目前正在计划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建立丙目录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，作为多层次保障体系的一部分。丙目录的设立可能成为医保体系改革的重要方向，但目前尚不清楚如何与现有医保机制衔接。</w:t>
      </w:r>
    </w:p>
    <w:p w14:paraId="45BC61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right="0" w:firstLine="643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  <w:lang w:val="en-US"/>
        </w:rPr>
      </w:pP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建议</w:t>
      </w: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如下：</w:t>
      </w:r>
    </w:p>
    <w:p w14:paraId="1C0155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1.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优化创新药医保准入规则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，调整谈判时机，使企业能在上市初期实现合理盈利，而非刚上市即遭遇价格压缩。</w:t>
      </w:r>
    </w:p>
    <w:p w14:paraId="75DB563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2.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明确丙目录的定位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，确保其与现有医保体系有效衔接，并制定适用于丙目录药品的价格调整机制。</w:t>
      </w:r>
    </w:p>
    <w:p w14:paraId="19582D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3.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参考国际医保谈判模式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可以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针对专利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未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到期仍具市场独占优势的药品进行医保价格谈判，而非在创新药上市初期就进行大幅度价格压缩。</w:t>
      </w:r>
    </w:p>
    <w:p w14:paraId="13057E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4.</w:t>
      </w: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 xml:space="preserve"> 创新药价格需兼顾医保支付能力与公立医院盈利需求</w:t>
      </w:r>
      <w:r>
        <w:rPr>
          <w:rFonts w:hint="eastAsia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，确保医院采购动力，提高创新药可及性。</w:t>
      </w:r>
    </w:p>
    <w:p w14:paraId="3D3767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right="0" w:firstLine="643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</w:pPr>
    </w:p>
    <w:p w14:paraId="6CAE9EC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（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3</w:t>
      </w: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）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 xml:space="preserve"> 集采政策对创新药的影响</w:t>
      </w:r>
    </w:p>
    <w:p w14:paraId="5643A7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集采政策的初衷是使得药品价格回归合理，但在实际执行过程中，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创新药在医保谈判中被要求参考集采药品的价格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，使得创新药定价被过度压缩。集采价格降低后，创新药企业不得不参照集采价格进行医保谈判，影响创新药的市场定价能力。</w:t>
      </w:r>
    </w:p>
    <w:p w14:paraId="6B8E54E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国际药品市场普遍遵循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参考各国的国定价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（即各国市场的官方定价），如果中国市场价格过低，企业在其他国家的定价能力也会受到影响。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若美国加征关税，对于创新药出口的影响不大因为仍有利润空间，但是如果美国要求创新药在美国的定价要和中国医保价格一样，那么企业将会失去利润空间。</w:t>
      </w:r>
    </w:p>
    <w:p w14:paraId="14CE2D0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right="0" w:firstLine="643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  <w:lang w:val="en-US"/>
        </w:rPr>
      </w:pP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建议</w:t>
      </w: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如下：</w:t>
      </w:r>
    </w:p>
    <w:p w14:paraId="0B5F4D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 xml:space="preserve">1. 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创新药与集采药品的价格体系应分离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，避免医保谈判直接参考集采价格，确保创新药的市场价值。</w:t>
      </w:r>
    </w:p>
    <w:p w14:paraId="3B4113D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 xml:space="preserve">2. 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优化集采范围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，例如确保未专利到期的创新药不被纳入集采机制，防止创新药与仿制药同质化管理。</w:t>
      </w:r>
    </w:p>
    <w:p w14:paraId="24401A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 xml:space="preserve">3. 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建立创新药的长期价格调整机制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，确保创新药在市场推广一段时间后，根据市场反馈调整价格，而非一次性定价至专利期结束。</w:t>
      </w:r>
    </w:p>
    <w:p w14:paraId="307CE27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4.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 xml:space="preserve"> 中国创新药的定价需要有底价而不能一味降价，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日本创新药的价格通常为美国的20%，而中国市场的创新药价格仅为美国的10%，部分本土创新药甚至低至3%-4%，对于这部分过度低价的创新药政府应出台兜底措施，建立最低标准。</w:t>
      </w:r>
    </w:p>
    <w:p w14:paraId="36C295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/>
        <w:jc w:val="left"/>
        <w:textAlignment w:val="auto"/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</w:pPr>
    </w:p>
    <w:p w14:paraId="684FFF3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（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4</w:t>
      </w: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）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 xml:space="preserve"> 医保支付机制及多层次保障</w:t>
      </w:r>
    </w:p>
    <w:p w14:paraId="32977E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目前，医保局的工作重点是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降低个人卫生支出占卫生总费用的比值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，计划在2025年将该比值从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27.7%降低至27%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，但这也带来了更大的医保基金支出压力。</w:t>
      </w:r>
    </w:p>
    <w:p w14:paraId="4CB073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此外，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中国的商业保险增长率近年来低于预期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，主要原因是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基本医保和惠民保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等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的覆盖范围过大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，使得商业保险缺乏市场空间。而在海外市场，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药品支付制度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通常采取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患者自付封顶制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（即政府仅承担公民无法负担的部分），而中国的模式则是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政府与个人按3:7比例共担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。</w:t>
      </w:r>
    </w:p>
    <w:p w14:paraId="3885488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医保局的主要职能是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管理基本医疗保障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，但当前医保支付标准对市场价格的影响较大，限制了创新药的市场化定价空间。目前</w:t>
      </w:r>
      <w:r>
        <w:rPr>
          <w:rFonts w:hint="eastAsia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公众对医保支付的价格认知存在偏差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，</w:t>
      </w:r>
      <w:r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  <w:t>例如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某些药品在医保体系下的支付价格为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1000元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，患者自付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30%（即300元）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，而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国外实际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市场零售价可能是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1万元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，即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公众认知的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医保支付价格与市场价格的差距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仅为3: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7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而不是1:10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。这种情况容易导致公众对医保支付的误解，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不会认知到缴纳医保的必须性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。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甚至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部分患者因价格差异选择私立医院或商业保险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，但如果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公众认知的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市场价格与医保支付价格的差距过小，商业保险的发展空间将受到影响。</w:t>
      </w:r>
    </w:p>
    <w:p w14:paraId="6105CC8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right="0" w:firstLine="643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  <w:lang w:val="en-US"/>
        </w:rPr>
      </w:pP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建议</w:t>
      </w: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如下：</w:t>
      </w:r>
    </w:p>
    <w:p w14:paraId="7796DF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  <w:lang w:val="en-US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1.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优化医保基金管理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基本医疗保险应回归其保障范围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，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确保在降低个人支付比例的同时，保障医保基金的可持续性，避免对创新药的过度压价。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即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个人卫生支出占卫生总费用的比值</w:t>
      </w:r>
      <w:r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  <w:t>这一数据的范畴仅界定在医保局管理的基金范畴内，因为市场上一定有人愿意自费高价去买创新药，这样人均比值一定会上升，医院也不敢卖未纳入医保目录的高价创新药。</w:t>
      </w:r>
    </w:p>
    <w:p w14:paraId="15522F9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2.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推进医保与商业保险的联动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，通过政策调整扩大商业保险的市场空间，增强医院和企业的资金流动性。</w:t>
      </w:r>
    </w:p>
    <w:p w14:paraId="54D67D0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3.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建立合理的支付模式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，如参考国际经验，引入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自费封顶模式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，即当个人支出超过一定限额后，政府或企业承担剩余费用，减少医保对药品价格的过度干预。</w:t>
      </w:r>
    </w:p>
    <w:p w14:paraId="7A3070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/>
        <w:jc w:val="left"/>
        <w:textAlignment w:val="auto"/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</w:pPr>
    </w:p>
    <w:p w14:paraId="04B6F9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（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5</w:t>
      </w: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）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 xml:space="preserve"> 医保局监管职能及改革方向</w:t>
      </w:r>
    </w:p>
    <w:p w14:paraId="2F95F5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医保局目前的政策工具较为单一，主要通过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价格谈判和集采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控制医保基金支出，但这也带来了一些负面影响。医保局应该从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单纯的成本控制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转向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基金管理+产业支持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的双轮驱动模式。</w:t>
      </w:r>
    </w:p>
    <w:p w14:paraId="7866118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国家医保局在年初的正式会议上表示，国务院要求医保局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在保障民生的同时，增强医保基金的经济属性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，利用医保基金的体量和市场地位，促进医疗机构和创新药的高质量发展。</w:t>
      </w:r>
    </w:p>
    <w:p w14:paraId="120EAA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0" w:right="0" w:firstLine="643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  <w:lang w:val="en-US"/>
        </w:rPr>
      </w:pP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建议</w:t>
      </w: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如下：</w:t>
      </w:r>
    </w:p>
    <w:p w14:paraId="2D0725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1.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管理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医保局的职能范围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，除了成本控制外，还应承担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医疗产业支持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的职责。</w:t>
      </w:r>
    </w:p>
    <w:p w14:paraId="7D605A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2.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建立医保局与企业的定期对话机制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，确保企业能够及时反馈市场问题，促进政策优化。</w:t>
      </w:r>
    </w:p>
    <w:p w14:paraId="6EBA8AD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3.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优化医保政策的执行方式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，例如在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丙目录</w:t>
      </w:r>
      <w:r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试点多层次保障机制，确保医保改革能够兼顾患者需求和产业发展。</w:t>
      </w:r>
    </w:p>
    <w:p w14:paraId="29C736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right="0" w:firstLine="640" w:firstLineChars="200"/>
        <w:jc w:val="left"/>
        <w:textAlignment w:val="auto"/>
        <w:rPr>
          <w:rFonts w:hint="eastAsia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 xml:space="preserve">4. </w:t>
      </w: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对创新药应有长期规划和目标</w:t>
      </w:r>
      <w:r>
        <w:rPr>
          <w:rFonts w:hint="eastAsia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，目前本土创新药价格过低，需设定价格区间，尤其是最低价的保障。</w:t>
      </w:r>
    </w:p>
    <w:p w14:paraId="20B7298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right="0" w:firstLine="640" w:firstLineChars="200"/>
        <w:jc w:val="left"/>
        <w:textAlignment w:val="auto"/>
        <w:rPr>
          <w:rFonts w:hint="eastAsia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 xml:space="preserve">5. </w:t>
      </w: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医保基金可用于激励创新</w:t>
      </w:r>
      <w:r>
        <w:rPr>
          <w:rFonts w:hint="eastAsia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，例如基于长期临床价值调整价格，美国已有快速跟进临床研究、提供政策支持的经验，中国应完善全链条的支持体系。</w:t>
      </w:r>
    </w:p>
    <w:p w14:paraId="1878A3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 xml:space="preserve">6. </w:t>
      </w: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简易续约规则过于简单，首轮谈判可宽松</w:t>
      </w:r>
      <w:r>
        <w:rPr>
          <w:rFonts w:hint="eastAsia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  <w:t>，续约时应依据更严格的临床标准进行评价，全生命周期定价应动态调整。</w:t>
      </w:r>
    </w:p>
    <w:p w14:paraId="1EE7AC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</w:p>
    <w:p w14:paraId="7C902D5C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/>
        <w:jc w:val="left"/>
        <w:textAlignment w:val="auto"/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6"/>
          <w:szCs w:val="36"/>
          <w:lang w:val="en-US" w:eastAsia="zh-CN" w:bidi="ar"/>
        </w:rPr>
      </w:pP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6"/>
          <w:szCs w:val="36"/>
          <w:lang w:val="en-US" w:eastAsia="zh-CN" w:bidi="ar"/>
        </w:rPr>
        <w:t>企业可提供支持和资料</w:t>
      </w:r>
    </w:p>
    <w:p w14:paraId="3A5F74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/>
        <w:jc w:val="left"/>
        <w:textAlignment w:val="auto"/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（1）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国际经验对标报告</w:t>
      </w:r>
    </w:p>
    <w:p w14:paraId="137ADF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  <w:t>日本生物医药产业政策变迁及其影响（日本90年代医保控费导致生物医药产业衰退的案例研究）。</w:t>
      </w:r>
    </w:p>
    <w:p w14:paraId="772FE7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  <w:t>美国创新药医保支付机制（如IRA 8谈判模式，专利期药品的价格管理模式）。</w:t>
      </w:r>
    </w:p>
    <w:p w14:paraId="575127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  <w:t>欧洲医保政策与价格管理经验（基于成本、市场竞争和临床价值的定价模式）。</w:t>
      </w:r>
    </w:p>
    <w:p w14:paraId="52971D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/>
        <w:jc w:val="left"/>
        <w:textAlignment w:val="auto"/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（2）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企业内部数据支持</w:t>
      </w:r>
    </w:p>
    <w:p w14:paraId="605FF7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  <w:t>过往医保谈判数据及价格变动趋势分析。</w:t>
      </w:r>
    </w:p>
    <w:p w14:paraId="316CBA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  <w:t>企业内部对医保政策影响的评估数据。</w:t>
      </w:r>
    </w:p>
    <w:p w14:paraId="750D08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  <w:t>创新药在中国、美国、日本的市场准入和价格比较数据。</w:t>
      </w:r>
    </w:p>
    <w:p w14:paraId="3A81D3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/>
        <w:jc w:val="left"/>
        <w:textAlignment w:val="auto"/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（3）</w:t>
      </w:r>
      <w:r>
        <w:rPr>
          <w:rFonts w:hint="default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专家</w:t>
      </w:r>
      <w:r>
        <w:rPr>
          <w:rFonts w:hint="eastAsia" w:ascii="Times New Roman Regular" w:hAnsi="Times New Roman Regular" w:eastAsia="仿宋_GB2312" w:cs="Times New Roman Regular"/>
          <w:b/>
          <w:bCs/>
          <w:color w:val="auto"/>
          <w:kern w:val="0"/>
          <w:sz w:val="32"/>
          <w:szCs w:val="32"/>
          <w:lang w:val="en-US" w:eastAsia="zh-CN" w:bidi="ar"/>
        </w:rPr>
        <w:t>和人员支持</w:t>
      </w:r>
    </w:p>
    <w:p w14:paraId="23052C1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  <w:t>中国社保学会、清华大学、南京药科大学等研究机构的合作研究成果。</w:t>
      </w:r>
    </w:p>
    <w:p w14:paraId="2816F4C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 w:firstLine="640" w:firstLineChars="200"/>
        <w:jc w:val="left"/>
        <w:textAlignment w:val="auto"/>
        <w:rPr>
          <w:rFonts w:hint="default" w:ascii="Times New Roman Regular" w:hAnsi="Times New Roman Regular" w:eastAsia="仿宋_GB2312" w:cs="Times New Roman Regular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  <w:t>现有</w:t>
      </w:r>
      <w:r>
        <w:rPr>
          <w:rFonts w:hint="eastAsia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  <w:t>企业内部</w:t>
      </w:r>
      <w:r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  <w:t>研究团队可以提供政策分析及行业调研支持</w:t>
      </w:r>
      <w:r>
        <w:rPr>
          <w:rFonts w:hint="eastAsia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  <w:t>，包括提供实习生支持等</w:t>
      </w:r>
      <w:r>
        <w:rPr>
          <w:rFonts w:hint="default" w:ascii="Times New Roman Regular" w:hAnsi="Times New Roman Regular" w:eastAsia="仿宋_GB2312" w:cs="Times New Roman Regular"/>
          <w:b w:val="0"/>
          <w:bCs w:val="0"/>
          <w:color w:val="auto"/>
          <w:kern w:val="0"/>
          <w:sz w:val="32"/>
          <w:szCs w:val="32"/>
          <w:lang w:val="en-US" w:eastAsia="zh-CN" w:bidi="ar"/>
        </w:rPr>
        <w:t>。</w:t>
      </w:r>
    </w:p>
    <w:p w14:paraId="5BD8B8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 w:ascii="Times New Roman Regular" w:hAnsi="Times New Roman Regular" w:eastAsia="仿宋_GB2312" w:cs="Times New Roman Regular"/>
          <w:color w:val="auto"/>
          <w:sz w:val="32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.sf ns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B0830"/>
    <w:multiLevelType w:val="singleLevel"/>
    <w:tmpl w:val="FBFB083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66F13"/>
    <w:rsid w:val="5FF66F13"/>
    <w:rsid w:val="5FFF1543"/>
    <w:rsid w:val="D5A5A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.sf ns" w:hAnsi=".sf ns" w:eastAsia=".sf ns" w:cs=".sf ns"/>
      <w:color w:val="0E0E0E"/>
      <w:kern w:val="0"/>
      <w:sz w:val="28"/>
      <w:szCs w:val="28"/>
      <w:lang w:val="en-US" w:eastAsia="zh-CN" w:bidi="ar"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sf ns" w:hAnsi=".sf ns" w:eastAsia=".sf ns" w:cs=".sf ns"/>
      <w:color w:val="0E0E0E"/>
      <w:kern w:val="0"/>
      <w:sz w:val="44"/>
      <w:szCs w:val="44"/>
      <w:lang w:val="en-US" w:eastAsia="zh-CN" w:bidi="ar"/>
    </w:rPr>
  </w:style>
  <w:style w:type="paragraph" w:customStyle="1" w:styleId="7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sf ns" w:hAnsi=".sf ns" w:eastAsia=".sf ns" w:cs=".sf ns"/>
      <w:color w:val="0E0E0E"/>
      <w:kern w:val="0"/>
      <w:sz w:val="28"/>
      <w:szCs w:val="28"/>
      <w:lang w:val="en-US" w:eastAsia="zh-CN" w:bidi="ar"/>
    </w:rPr>
  </w:style>
  <w:style w:type="character" w:customStyle="1" w:styleId="8">
    <w:name w:val="s1"/>
    <w:basedOn w:val="4"/>
    <w:uiPriority w:val="0"/>
    <w:rPr>
      <w:rFonts w:ascii="Times New Roman" w:hAnsi="Times New Roman" w:cs="Times New Roman"/>
      <w:sz w:val="28"/>
      <w:szCs w:val="28"/>
    </w:rPr>
  </w:style>
  <w:style w:type="paragraph" w:customStyle="1" w:styleId="9">
    <w:name w:val="p5"/>
    <w:basedOn w:val="1"/>
    <w:uiPriority w:val="0"/>
    <w:pPr>
      <w:spacing w:before="240" w:beforeAutospacing="0" w:after="0" w:afterAutospacing="0"/>
      <w:ind w:left="420" w:right="0" w:hanging="420"/>
      <w:jc w:val="left"/>
    </w:pPr>
    <w:rPr>
      <w:rFonts w:ascii=".sf ns" w:hAnsi=".sf ns" w:eastAsia=".sf ns" w:cs=".sf ns"/>
      <w:color w:val="0E0E0E"/>
      <w:kern w:val="0"/>
      <w:sz w:val="28"/>
      <w:szCs w:val="28"/>
      <w:lang w:val="en-US" w:eastAsia="zh-CN" w:bidi="ar"/>
    </w:rPr>
  </w:style>
  <w:style w:type="character" w:customStyle="1" w:styleId="10">
    <w:name w:val="apple-tab-span"/>
    <w:basedOn w:val="4"/>
    <w:uiPriority w:val="0"/>
  </w:style>
  <w:style w:type="paragraph" w:customStyle="1" w:styleId="11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sf ns" w:hAnsi=".sf ns" w:eastAsia=".sf ns" w:cs=".sf ns"/>
      <w:color w:val="0E0E0E"/>
      <w:kern w:val="0"/>
      <w:sz w:val="30"/>
      <w:szCs w:val="3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1062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2025-02-12T17:44:00Z</dcterms:created>
  <dc:creator>W</dc:creator>
  <cp:lastModifiedBy>W</cp:lastModifiedBy>
  <dcterms:modified xsi:type="dcterms:W3CDTF">2025-02-13T13:51:19Z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52FE131460A2F6D0916DAC67B551A044_41</vt:lpwstr>
  </property>
</Properties>
</file>