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人工编码操作说明</w:t>
      </w:r>
    </w:p>
    <w:p>
      <w:pPr>
        <w:spacing w:after="80"/>
        <w:ind w:firstLine="0"/>
        <w:jc w:val="center"/>
      </w:pPr>
      <w:r>
        <w:rPr>
          <w:b w:val="0"/>
        </w:rPr>
        <w:t>创新药评价论文　编码效度检验　2026年9月25日修订版</w:t>
      </w:r>
    </w:p>
    <w:p>
      <w:pPr>
        <w:pStyle w:val="Heading1"/>
      </w:pPr>
      <w:r>
        <w:t>一、这次要做什么</w:t>
      </w:r>
    </w:p>
    <w:p>
      <w:pPr>
        <w:spacing w:after="80"/>
        <w:ind w:firstLine="420"/>
      </w:pPr>
      <w:r>
        <w:rPr>
          <w:b w:val="0"/>
        </w:rPr>
        <w:t>论文用两种自动方法给政策文本标注了评价维度：一种是关键词词典，一种是大语言模型。两种方法的一致性是0.654，只能说明两种方法判断相近，不能说明它们判对了。所以需要人工标注一部分句子作为“金标准”，用来直接检验两种自动方法的准确率。</w:t>
      </w:r>
    </w:p>
    <w:p>
      <w:pPr>
        <w:spacing w:after="80"/>
        <w:ind w:firstLine="420"/>
      </w:pPr>
      <w:r>
        <w:rPr>
          <w:b w:val="0"/>
        </w:rPr>
        <w:t>这一版和之前发的版本有两处不同，请以这一版为准：</w:t>
      </w:r>
    </w:p>
    <w:p>
      <w:pPr>
        <w:pStyle w:val="ListBullet"/>
        <w:spacing w:after="40"/>
      </w:pPr>
      <w:r>
        <w:t>评价维度的定义改为医保局《目录调整申报指南》的原文界定，之前用的是《药品临床综合评价管理指南》的六维合并口径。</w:t>
      </w:r>
    </w:p>
    <w:p>
      <w:pPr>
        <w:pStyle w:val="ListBullet"/>
        <w:spacing w:after="40"/>
      </w:pPr>
      <w:r>
        <w:t>语料做了清洗，剔除了标题、条目号、目录页等不完整片段，重新抽样296句。之前那份339句的编码表作废，已移入“旧口径-作废”文件夹。</w:t>
      </w:r>
    </w:p>
    <w:p>
      <w:pPr>
        <w:pStyle w:val="Heading1"/>
      </w:pPr>
      <w:r>
        <w:t>二、两个人分别做，不要交流</w:t>
      </w:r>
    </w:p>
    <w:p>
      <w:pPr>
        <w:pStyle w:val="ListBullet"/>
        <w:spacing w:after="40"/>
      </w:pPr>
      <w:r>
        <w:t>编码员A填“编码表-编码员A.xlsx”，编码员B填“编码表-编码员B.xlsx”，两份内容相同。</w:t>
      </w:r>
    </w:p>
    <w:p>
      <w:pPr>
        <w:pStyle w:val="ListBullet"/>
        <w:spacing w:after="40"/>
      </w:pPr>
      <w:r>
        <w:t>标注过程中不讨论、不对答案、不看对方的表，也不要去看词典和大语言模型的判定结果。</w:t>
      </w:r>
    </w:p>
    <w:p>
      <w:pPr>
        <w:pStyle w:val="ListBullet"/>
        <w:spacing w:after="40"/>
      </w:pPr>
      <w:r>
        <w:t>开始前两人一起把《编码手册》第三、四节读一遍，对标准有疑问先问清楚；建议先各标30句对一次标准，再标完其余。</w:t>
      </w:r>
    </w:p>
    <w:p>
      <w:pPr>
        <w:pStyle w:val="Heading1"/>
      </w:pPr>
      <w:r>
        <w:t>三、怎么填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列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列名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怎么用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A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序号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1到296，不用改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B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句子编号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句子在语料中的编号，不用改，评分脚本靠它对齐两人结果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C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句子内容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要判断的句子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D—H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安全性、有效性、经济性、创新性、公平性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这5列是要填的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sz w:val="19"/>
              </w:rPr>
              <w:t>I</w:t>
            </w:r>
          </w:p>
        </w:tc>
        <w:tc>
          <w:tcPr>
            <w:tcW w:type="dxa" w:w="2041"/>
          </w:tcPr>
          <w:p>
            <w:r/>
            <w:r>
              <w:rPr>
                <w:rFonts w:ascii="宋体" w:hAnsi="宋体" w:eastAsia="宋体"/>
                <w:sz w:val="19"/>
              </w:rPr>
              <w:t>备注</w:t>
            </w:r>
          </w:p>
        </w:tc>
        <w:tc>
          <w:tcPr>
            <w:tcW w:type="dxa" w:w="5329"/>
          </w:tcPr>
          <w:p>
            <w:r/>
            <w:r>
              <w:rPr>
                <w:rFonts w:ascii="宋体" w:hAnsi="宋体" w:eastAsia="宋体"/>
                <w:sz w:val="19"/>
              </w:rPr>
              <w:t>拿不准时写一句理由</w:t>
            </w:r>
          </w:p>
        </w:tc>
      </w:tr>
    </w:tbl>
    <w:p>
      <w:pPr>
        <w:pStyle w:val="ListBullet"/>
        <w:spacing w:after="40"/>
      </w:pPr>
      <w:r>
        <w:t>涉及某个维度填 1，不涉及填 0 或留空。</w:t>
      </w:r>
    </w:p>
    <w:p>
      <w:pPr>
        <w:pStyle w:val="ListBullet"/>
        <w:spacing w:after="40"/>
      </w:pPr>
      <w:r>
        <w:t>一个句子可以涉及0个维度，也可以同时涉及多个维度。</w:t>
      </w:r>
    </w:p>
    <w:p>
      <w:pPr>
        <w:pStyle w:val="ListBullet"/>
        <w:spacing w:after="40"/>
      </w:pPr>
      <w:r>
        <w:t>只填数字1，不要填“是”或“√”，评分脚本只认1。</w:t>
      </w:r>
    </w:p>
    <w:p>
      <w:pPr>
        <w:pStyle w:val="Heading1"/>
      </w:pPr>
      <w:r>
        <w:t>四、五个维度怎么判</w:t>
      </w:r>
    </w:p>
    <w:p>
      <w:pPr>
        <w:spacing w:after="80"/>
        <w:ind w:firstLine="420"/>
      </w:pPr>
      <w:r>
        <w:rPr>
          <w:b w:val="0"/>
        </w:rPr>
        <w:t>定义取自医保局《目录调整申报指南》附件“申报药品摘要幻灯片要求”，2023、2024、2026三版一致。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维度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算涉及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不算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安全性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说明书安全性信息、国内外不良反应、与同类药品的安全性比较；毒性、禁忌、用药安全、药物警戒、风险识别与控制、安全性报告（DSUR、SAE、死亡病例）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“安全感”“数据安全”“生产安全”等非药品安全语境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有效性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与对照药品的疗效比较、临床指南推荐、技术评审报告中的有效性结论；疗效终点、临床价值与获益、证据质量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仅提及临床试验的程序、时限、申报要求；“评审”“评价”指评审活动本身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经济性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价格、费用、成本、支付标准、报销、医保基金与预算、销售金额、药物经济学评价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行政收费（如“申报不收取任何费用”）；只出现“支付范围”而不涉及价格费用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创新性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创新药认定、主要创新点、自主知识产权、注册分类、突破性治疗/优先审评/附条件批准、未满足需求与填补空白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文件名称里的“创新药”；“创新型国家”“产业创新发展”等套话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/>
                <w:sz w:val="19"/>
              </w:rPr>
              <w:t>公平性</w:t>
            </w:r>
          </w:p>
        </w:tc>
        <w:tc>
          <w:tcPr>
            <w:tcW w:type="dxa" w:w="3628"/>
          </w:tcPr>
          <w:p>
            <w:r/>
            <w:r>
              <w:rPr>
                <w:rFonts w:ascii="宋体" w:hAnsi="宋体" w:eastAsia="宋体"/>
                <w:sz w:val="19"/>
              </w:rPr>
              <w:t>弥补目录短板与保障空白、儿童用药、罕见病用药、短缺与供应保障、可及与可负担、临床管理难度</w:t>
            </w:r>
          </w:p>
        </w:tc>
        <w:tc>
          <w:tcPr>
            <w:tcW w:type="dxa" w:w="3515"/>
          </w:tcPr>
          <w:p>
            <w:r/>
            <w:r>
              <w:rPr>
                <w:rFonts w:ascii="宋体" w:hAnsi="宋体" w:eastAsia="宋体"/>
                <w:sz w:val="19"/>
              </w:rPr>
              <w:t>老年患者适宜性、剂型与装置的适老化设计（医保五维里没有“适宜性”）；“公平竞争”</w:t>
            </w:r>
          </w:p>
        </w:tc>
      </w:tr>
    </w:tbl>
    <w:p>
      <w:pPr>
        <w:pStyle w:val="Heading1"/>
      </w:pPr>
      <w:r>
        <w:t>五、最容易判错的五种情况</w:t>
      </w:r>
    </w:p>
    <w:p>
      <w:pPr>
        <w:spacing w:after="80"/>
        <w:ind w:firstLine="420"/>
      </w:pPr>
      <w:r>
        <w:rPr>
          <w:b/>
        </w:rPr>
        <w:t>总原则一句话：提及不等于涉及。</w:t>
      </w:r>
    </w:p>
    <w:p>
      <w:pPr>
        <w:spacing w:after="80"/>
        <w:ind w:firstLine="420"/>
      </w:pPr>
      <w:r>
        <w:rPr>
          <w:b w:val="0"/>
        </w:rPr>
        <w:t>1. 流程性语句。“申请人应在临床试验完成后6个月内提交总结报告”出现了“临床试验”，但这是时限规定，不算有效性；“按程序组织开展谈判”只讲流程，不算经济性。</w:t>
      </w:r>
    </w:p>
    <w:p>
      <w:pPr>
        <w:spacing w:after="80"/>
        <w:ind w:firstLine="420"/>
      </w:pPr>
      <w:r>
        <w:rPr>
          <w:b w:val="0"/>
        </w:rPr>
        <w:t>2. 否定与相近字串。“非临床研究资料应包括……”说的是动物实验阶段，不算有效性；“有效期”“有效账号”里的“有效”与疗效无关。</w:t>
      </w:r>
    </w:p>
    <w:p>
      <w:pPr>
        <w:spacing w:after="80"/>
        <w:ind w:firstLine="420"/>
      </w:pPr>
      <w:r>
        <w:rPr>
          <w:b w:val="0"/>
        </w:rPr>
        <w:t>3. 隐含表达。“用于治疗严重危及生命且尚无有效治疗手段的疾病”没有出现“未满足需求”，但讲的正是未满足的临床需求，算创新性。</w:t>
      </w:r>
    </w:p>
    <w:p>
      <w:pPr>
        <w:spacing w:after="80"/>
        <w:ind w:firstLine="420"/>
      </w:pPr>
      <w:r>
        <w:rPr>
          <w:b w:val="0"/>
        </w:rPr>
        <w:t>4. 适宜性内容。“考虑老年患者的视力、握力对打开药品包装的影响”属于药品适宜性，医保五维里没有这一项，五列都不填；如果同时讲到误吸、误用风险，按安全性填。</w:t>
      </w:r>
    </w:p>
    <w:p>
      <w:pPr>
        <w:spacing w:after="80"/>
        <w:ind w:firstLine="420"/>
      </w:pPr>
      <w:r>
        <w:rPr>
          <w:b w:val="0"/>
        </w:rPr>
        <w:t>5. 文件名与套话。“《支持创新药高质量发展的若干措施》印发”里的“创新药”只是文件名，不算创新性。</w:t>
      </w:r>
    </w:p>
    <w:p>
      <w:pPr>
        <w:pStyle w:val="Heading1"/>
      </w:pPr>
      <w:r>
        <w:t>六、标完之后</w:t>
      </w:r>
    </w:p>
    <w:p>
      <w:pPr>
        <w:spacing w:after="80"/>
        <w:ind w:firstLine="420"/>
      </w:pPr>
      <w:r>
        <w:rPr>
          <w:b w:val="0"/>
        </w:rPr>
        <w:t>1. 两人各自把填好的表发回来，文件名不要改。</w:t>
      </w:r>
    </w:p>
    <w:p>
      <w:pPr>
        <w:spacing w:after="80"/>
        <w:ind w:firstLine="420"/>
      </w:pPr>
      <w:r>
        <w:rPr>
          <w:b w:val="0"/>
        </w:rPr>
        <w:t>2. 运行评分脚本，得到两人之间的κ值和不一致的格子清单。</w:t>
      </w:r>
    </w:p>
    <w:p>
      <w:pPr>
        <w:spacing w:after="80"/>
        <w:ind w:firstLine="420"/>
      </w:pPr>
      <w:r>
        <w:rPr>
          <w:b w:val="0"/>
        </w:rPr>
        <w:t>3. 两人就不一致处协商定案并回填，这一步不做就没有金标准。</w:t>
      </w:r>
    </w:p>
    <w:p>
      <w:pPr>
        <w:spacing w:after="80"/>
        <w:ind w:firstLine="420"/>
      </w:pPr>
      <w:r>
        <w:rPr>
          <w:b w:val="0"/>
        </w:rPr>
        <w:t>4. 再跑一次脚本，得到词典法和大语言模型各维度的准确率、精确率、召回率、F1值，填入论文4.2节现在标黄的位置。</w:t>
      </w:r>
    </w:p>
    <w:p>
      <w:pPr>
        <w:spacing w:after="80"/>
        <w:ind w:firstLine="0"/>
      </w:pPr>
      <w:r>
        <w:rPr>
          <w:rFonts w:ascii="Menlo" w:hAnsi="Menlo"/>
          <w:b w:val="0"/>
          <w:sz w:val="19"/>
        </w:rPr>
        <w:t>python3 02_评分.py 编码表-编码员A.xlsx 编码表-编码员B.xlsx</w:t>
      </w:r>
    </w:p>
    <w:p>
      <w:pPr>
        <w:pStyle w:val="Heading1"/>
      </w:pPr>
      <w:r>
        <w:t>七、工作量</w:t>
      </w:r>
    </w:p>
    <w:p>
      <w:pPr>
        <w:spacing w:after="80"/>
        <w:ind w:firstLine="420"/>
      </w:pPr>
      <w:r>
        <w:rPr>
          <w:b w:val="0"/>
        </w:rPr>
        <w:t>296句，多数是短句，一个人大约2到3小时，建议分两次做完。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