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7B98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641" w:firstLineChars="200"/>
        <w:jc w:val="center"/>
        <w:textAlignment w:val="auto"/>
        <w:rPr>
          <w:rFonts w:hint="default" w:ascii="Times New Roman Regular" w:hAnsi="Times New Roman Regular" w:cs="Times New Roman Regular" w:eastAsiaTheme="majorEastAsia"/>
          <w:sz w:val="32"/>
          <w:szCs w:val="32"/>
        </w:rPr>
      </w:pPr>
      <w:r>
        <w:rPr>
          <w:rFonts w:hint="default" w:ascii="Times New Roman Regular" w:hAnsi="Times New Roman Regular" w:cs="Times New Roman Regular" w:eastAsiaTheme="majorEastAsia"/>
          <w:b/>
          <w:bCs/>
          <w:sz w:val="32"/>
          <w:szCs w:val="32"/>
        </w:rPr>
        <w:t>创新药政策方向与商保支持机制研究研讨会</w:t>
      </w:r>
    </w:p>
    <w:p w14:paraId="7ABABD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6729B0D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1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b/>
          <w:bCs/>
          <w:sz w:val="28"/>
          <w:szCs w:val="28"/>
        </w:rPr>
        <w:t>一、会议共识与总体结论</w:t>
      </w:r>
    </w:p>
    <w:p w14:paraId="478492F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4D0A837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本次会议围绕“创新药政策环境与商业保险支持机制”进行了深入交流。与会双方在充分讨论基础上，形成以下核心共识：</w:t>
      </w:r>
    </w:p>
    <w:p w14:paraId="690F6EC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bookmarkStart w:id="0" w:name="_GoBack"/>
      <w:bookmarkEnd w:id="0"/>
    </w:p>
    <w:p w14:paraId="6408A1E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首先，明确了</w:t>
      </w:r>
      <w:r>
        <w:rPr>
          <w:rFonts w:hint="default" w:ascii="Times New Roman Regular" w:hAnsi="Times New Roman Regular" w:cs="Times New Roman Regular" w:eastAsiaTheme="majorEastAsia"/>
          <w:b/>
          <w:bCs/>
          <w:sz w:val="28"/>
          <w:szCs w:val="28"/>
        </w:rPr>
        <w:t>近期研究重点与工作重心</w:t>
      </w: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。各方一致认为，应当</w:t>
      </w:r>
      <w:r>
        <w:rPr>
          <w:rFonts w:hint="default" w:ascii="Times New Roman Regular" w:hAnsi="Times New Roman Regular" w:cs="Times New Roman Regular" w:eastAsiaTheme="majorEastAsia"/>
          <w:b/>
          <w:bCs/>
          <w:sz w:val="28"/>
          <w:szCs w:val="28"/>
        </w:rPr>
        <w:t>优先启动“商业保险支持创新药发展的专题研究”</w:t>
      </w: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，以此作为政策研究的核心突破口。该研究需系统回答商业保险在我国医疗保障体系中的定位问题，即：究竟应作为基本医保的补充机制，还是独立并行的“第二支柱”。同时，研究需明确商保支持创新药的制度抓手与数据支撑路径，为“十五五”规划与即将召开的全国两会提供决策参考。</w:t>
      </w:r>
    </w:p>
    <w:p w14:paraId="22EF56D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7FF9FE4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其次，会议确认了</w:t>
      </w:r>
      <w:r>
        <w:rPr>
          <w:rFonts w:hint="default" w:ascii="Times New Roman Regular" w:hAnsi="Times New Roman Regular" w:cs="Times New Roman Regular" w:eastAsiaTheme="majorEastAsia"/>
          <w:b/>
          <w:bCs/>
          <w:sz w:val="28"/>
          <w:szCs w:val="28"/>
        </w:rPr>
        <w:t>研究方法与组织路径</w:t>
      </w: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。研究应坚持以数据和案例为基础，结合医保、商保及企业真实世界证据，形成可验证、可上报的成果。由</w:t>
      </w:r>
      <w:r>
        <w:rPr>
          <w:rFonts w:hint="default" w:ascii="Times New Roman Regular" w:hAnsi="Times New Roman Regular" w:cs="Times New Roman Regular" w:eastAsiaTheme="majorEastAsia"/>
          <w:b/>
          <w:bCs/>
          <w:sz w:val="28"/>
          <w:szCs w:val="28"/>
        </w:rPr>
        <w:t>国家发改部门牵头组织</w:t>
      </w: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，协调医保局、金监局与卫健委共同参与，建立跨部门合作机制，形成研究框架与专家工作小组。</w:t>
      </w:r>
    </w:p>
    <w:p w14:paraId="61824BF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65F2ED9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第三，会议达成</w:t>
      </w:r>
      <w:r>
        <w:rPr>
          <w:rFonts w:hint="default" w:ascii="Times New Roman Regular" w:hAnsi="Times New Roman Regular" w:cs="Times New Roman Regular" w:eastAsiaTheme="majorEastAsia"/>
          <w:b/>
          <w:bCs/>
          <w:sz w:val="28"/>
          <w:szCs w:val="28"/>
        </w:rPr>
        <w:t>短期与中期行动节奏</w:t>
      </w: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。在未来两个月内，将完成专题研究方案设计与数据采集；在次年全国两会前，形成阶段性研究成果与政策建议文本。中期将继续拓展“创新药出海监管取向”与“美日创新药政策体系梳理”两项课题，作为商保研究的延伸方向。</w:t>
      </w:r>
    </w:p>
    <w:p w14:paraId="1BC40B5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1B56B68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最后，与会各方达成共识：要建立**“以支付体系改革为牵引、以创新药可及性为核心”**的整体研究思路。短期重点突破商保机制，中长期逐步完善出海政策与国际对标体系，形成全链条政策支撑。</w:t>
      </w:r>
    </w:p>
    <w:p w14:paraId="297705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6F53F98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1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b/>
          <w:bCs/>
          <w:sz w:val="28"/>
          <w:szCs w:val="28"/>
        </w:rPr>
        <w:t>二、刘处长方主要观点与政策关切</w:t>
      </w:r>
    </w:p>
    <w:p w14:paraId="6F39E26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39CA215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刘处长方从宏观政策设计与顶层规划角度，提出了三个待选研究方向，即：</w:t>
      </w:r>
    </w:p>
    <w:p w14:paraId="2F2A083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一是</w:t>
      </w:r>
      <w:r>
        <w:rPr>
          <w:rFonts w:hint="default" w:ascii="Times New Roman Regular" w:hAnsi="Times New Roman Regular" w:cs="Times New Roman Regular" w:eastAsiaTheme="majorEastAsia"/>
          <w:b/>
          <w:bCs/>
          <w:sz w:val="28"/>
          <w:szCs w:val="28"/>
        </w:rPr>
        <w:t>创新药出海路径与监管取向研究</w:t>
      </w: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；二是</w:t>
      </w:r>
      <w:r>
        <w:rPr>
          <w:rFonts w:hint="default" w:ascii="Times New Roman Regular" w:hAnsi="Times New Roman Regular" w:cs="Times New Roman Regular" w:eastAsiaTheme="majorEastAsia"/>
          <w:b/>
          <w:bCs/>
          <w:sz w:val="28"/>
          <w:szCs w:val="28"/>
        </w:rPr>
        <w:t>商业保险支持创新药研究</w:t>
      </w: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；三是</w:t>
      </w:r>
      <w:r>
        <w:rPr>
          <w:rFonts w:hint="default" w:ascii="Times New Roman Regular" w:hAnsi="Times New Roman Regular" w:cs="Times New Roman Regular" w:eastAsiaTheme="majorEastAsia"/>
          <w:b/>
          <w:bCs/>
          <w:sz w:val="28"/>
          <w:szCs w:val="28"/>
        </w:rPr>
        <w:t>美日医药创新体系的历史演进与制度逻辑研究</w:t>
      </w: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。</w:t>
      </w:r>
    </w:p>
    <w:p w14:paraId="0ED436E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经讨论后，确定第二项“商保研究”作为优先方向，因其具有政策紧迫性与现实基础。</w:t>
      </w:r>
    </w:p>
    <w:p w14:paraId="0390A32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52EF9CA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在商保专题部分，刘处长方指出，当前的核心问题是要明确商业保险在国家医疗体系中的战略定位。商保是否应定位为基本医保的补充机制，还是应上升为与医保并列的第二支柱，这一问题事关“十五五”期间医疗支付体系的方向性调整。该研究需形成系统性回答，并通过定量数据和政策案例加以支撑。</w:t>
      </w:r>
    </w:p>
    <w:p w14:paraId="4301C14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66180CA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刘处长强调，研究应围绕“必要性—可行性—路径设计—数据测算—政策抓手”五个核心维度展开，既要有理论论证，也要有实操依据。当前医保盘子有限、老龄化加剧、创新药价格高昂，这些都构成推动商保体系建设的现实基础。未来应通过数据测算明确创新药的临床价值、医保支付边界及商保分担比例，为政策定性提供科学依据。</w:t>
      </w:r>
    </w:p>
    <w:p w14:paraId="0B7DA48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306E477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关于医保与商保的职责划分，刘处长方指出，目前部分地方出现医保局主导商保目录谈判、甚至直接确定折扣比例的情况。此举虽有助于推动落地，但角色边界模糊，存在行政替代市场的问题。未来应由发改部门牵头建立协同机制，明确医保、金监、卫健三方分工：医保负责目录衔接与评审把关，金监负责条款与风险监管，发改承担统筹协调职能。</w:t>
      </w:r>
    </w:p>
    <w:p w14:paraId="5321401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1E0CDB7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在创新药出海方面，刘处长方指出，当前政策判断处于摇摆阶段。支持派认为“出海”有助于融资、国际化与竞争力提升；但谨慎派担忧核心技术与临床数据外流、产业链安全受损。政府层面倾向于在“适度管制”与“逐步放开”之间寻找平衡，需要系统评估和平情景与极端情景下的产业安全性，并设计配套扶持措施。若采取管制策略，应同时配套资金与政策“组合拳”，以避免对产业形成单边收紧。</w:t>
      </w:r>
    </w:p>
    <w:p w14:paraId="542DCDA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5FE1C1A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此外，刘处长方还提出，应系统梳理美日等发达国家在医药创新支持政策上的历史脉络，从研发、审批、注册、支付到使用，构建完整的制度地图。当前国内研究多为点状分析，缺乏系统性框架，亟需填补空白。未来将以此作为中期延伸研究方向。</w:t>
      </w:r>
    </w:p>
    <w:p w14:paraId="4EADBC3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56D2694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总体而言，刘处长方希望通过此次合作研究，形成可操作、可上报的系统成果，为政府后续政策定性与跨部门协调提供依据。成果形式可包括专题报告、专家会议纪要及分阶段专报。</w:t>
      </w:r>
    </w:p>
    <w:p w14:paraId="584D31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730DA7D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1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b/>
          <w:bCs/>
          <w:sz w:val="28"/>
          <w:szCs w:val="28"/>
        </w:rPr>
        <w:t>三、百济神州方主要汇报与建议</w:t>
      </w:r>
    </w:p>
    <w:p w14:paraId="5823C2A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6587264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百济神州方面从企业实操与政策落地角度出发，重点介绍了创新药纳入商保机制的最新进展、现实困难及政策建议。</w:t>
      </w:r>
    </w:p>
    <w:p w14:paraId="72D7F42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419CB78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企业方面表示，目前已有三款创新药参与医保局主导的“商保创新药健康险目录”评审，经过两轮谈判后，折扣比例由医保局直接确定，企业无议价空间。预计11月初将公布评审结果，随后进入院端落地阶段。虽然企业对医保局参与谈判感到“角色错位”，但仍希望通过此轮试点积累经验、提供样本。企业明确表示，即便折扣高，也愿以一款创新药“先行试跑”，以探索机制可行性。</w:t>
      </w:r>
    </w:p>
    <w:p w14:paraId="550395B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0F07D84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在政策建议方面，百济神州提出了三项核心诉求：</w:t>
      </w:r>
    </w:p>
    <w:p w14:paraId="2ABED4C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7ACC511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1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b/>
          <w:bCs/>
          <w:sz w:val="28"/>
          <w:szCs w:val="28"/>
        </w:rPr>
        <w:t>一是完善商保基础设施，打通结算与数据体系。</w:t>
      </w:r>
    </w:p>
    <w:p w14:paraId="0785C09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建议建设全国统一的“一站式结算与清分平台”，实现商保患者身份识别、费用分账、自动清分，确保患者只支付自付部分。该平台计划以五年为周期推进，首年覆盖300家医院，逐步扩大至1500家。同时应建立“合理赔付+合理控费”机制，明确专家判定标准，减少保司资金风险，提升制度可持续性。</w:t>
      </w:r>
    </w:p>
    <w:p w14:paraId="7209BC2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40C2628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1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b/>
          <w:bCs/>
          <w:sz w:val="28"/>
          <w:szCs w:val="28"/>
        </w:rPr>
        <w:t>二是修复医院端激励机制，降低创新药进院阻力。</w:t>
      </w:r>
    </w:p>
    <w:p w14:paraId="58EFD87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百济指出，药品加成取消后，公立医院在使用创新药时普遍亏损，进院积极性不足。建议参考中药饮片25%加成政策，对首发创新药或改良新药在特定医学中心阶段性恢复药品加成，或建立统一药学服务费标准。此外，可通过地方财政“按患者数或用药量补贴”方式，对创新药临床使用形成正向激励。企业同时指出，直接补贴医院在操作上需通过医保或卫健系统进行，不宜由企业基金承担。</w:t>
      </w:r>
    </w:p>
    <w:p w14:paraId="3D634E5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1419EB5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1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b/>
          <w:bCs/>
          <w:sz w:val="28"/>
          <w:szCs w:val="28"/>
        </w:rPr>
        <w:t>三是推进产业链安全与本土化建设。</w:t>
      </w:r>
    </w:p>
    <w:p w14:paraId="615A6A2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企业强调，应以“全链条本土化”为导向，从原辅料、检测设备到工艺制造逐步实现国产替代，以增强产业韧性。对于产地变更和原料替换，建议药监部门建立特事特办通道，简化审批流程，缩短时间周期。同时，应关注海南自贸港封关后的关税与准入机制，探索创新药国产化生产与免税政策结合的可行路径。</w:t>
      </w:r>
    </w:p>
    <w:p w14:paraId="0629279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254A04E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在“创新药出海”问题上，百济介绍了自身的国际化布局经验。企业已形成从临床、注册到药经与HEOR的全链条体系，可承担“链主企业”角色，为其他药企提供出海指导与配套服务。百济认为，欧美日市场规则成熟但周期长；“一带一路”国家需求大但不确定性高，建议国家层面建立人民币结算平台与出口担保机制，以降低汇率与合规风险。企业强调，政策制定应兼顾开放与安全，在保持生产与研发环节留在国内的前提下，有序推动国际合作。</w:t>
      </w:r>
    </w:p>
    <w:p w14:paraId="3391282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7FFBC90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百济方面还提出，商保定位不应陷于“补充”与“第二支柱”的二元对立，而应通过“强制性”和“筹资规模”两个维度进行解释。建议借鉴车险体系，将“交强险+商业险”的并行模式应用于医保与商保协同关系的公众表达，以增强社会认知度和政策沟通性。</w:t>
      </w:r>
    </w:p>
    <w:p w14:paraId="567A544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6EB64AE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在时间安排上，百济预计商保目录结果将于11月初明确，11月至12月期间重点推进医院端实操与数据验证，并在此期间配合政府方开展专题研究，提供实证数据与典型案例。</w:t>
      </w:r>
    </w:p>
    <w:p w14:paraId="0E73F2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21AA1E5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1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b/>
          <w:bCs/>
          <w:sz w:val="28"/>
          <w:szCs w:val="28"/>
        </w:rPr>
        <w:t>四、会议结论与后续安排</w:t>
      </w:r>
    </w:p>
    <w:p w14:paraId="762EF2A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573A7D8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会议最后，各方一致同意以商保专题研究为当前阶段的重点任务。由发改部门统筹牵头，联合医保、金监、卫健等部门共同推进，近期完成研究框架设计与专家组组建工作。百济神州将配合提供企业案例、数据与实际操作问题清单，形成实证支撑。</w:t>
      </w:r>
    </w:p>
    <w:p w14:paraId="350BD57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794F236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同时，会议确定将研究成果纳入“十五五”规划前期研究体系，并在次年全国两会前形成阶段性政策建议文本。研究内容除商保专题外，还将逐步延伸至创新药出海监管与国际政策对标领域，形成“国内支付机制+国际开放路径”双线并行的系统研究格局。</w:t>
      </w:r>
    </w:p>
    <w:p w14:paraId="5087158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</w:p>
    <w:p w14:paraId="53A46A9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textAlignment w:val="auto"/>
        <w:rPr>
          <w:rFonts w:hint="default" w:ascii="Times New Roman Regular" w:hAnsi="Times New Roman Regular" w:cs="Times New Roman Regular" w:eastAsiaTheme="maj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ajorEastAsia"/>
          <w:sz w:val="28"/>
          <w:szCs w:val="28"/>
        </w:rPr>
        <w:t>会议强调，未来的政策研究必须坚持系统化、可量化、可操作原则，以“数据+案例+结论”三位一体为导向，为创新药可及性与支付体系改革提供科学支撑。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EFEF92"/>
    <w:rsid w:val="74EFE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2025-10-31T17:28:00Z</dcterms:created>
  <dc:creator>WPS_1633742157</dc:creator>
  <cp:lastModifiedBy>WPS_1633742157</cp:lastModifiedBy>
  <dcterms:modified xsi:type="dcterms:W3CDTF">2025-10-31T17:29:53Z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AED5596478E6F830458104694FFFA850_41</vt:lpwstr>
  </property>
</Properties>
</file>