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B9242">
      <w:pPr>
        <w:rPr>
          <w:rFonts w:hint="eastAsia"/>
          <w:lang w:val="en-US" w:eastAsia="zh-CN"/>
        </w:rPr>
      </w:pPr>
      <w:r>
        <w:rPr>
          <w:rFonts w:hint="eastAsia"/>
          <w:lang w:val="en-US" w:eastAsia="zh-CN"/>
        </w:rPr>
        <w:t>了解各个部门的重点工作。围绕重点工作，定战略目标。</w:t>
      </w:r>
    </w:p>
    <w:p w14:paraId="00F43569">
      <w:pPr>
        <w:rPr>
          <w:rFonts w:hint="eastAsia"/>
          <w:lang w:val="en-US" w:eastAsia="zh-CN"/>
        </w:rPr>
      </w:pPr>
    </w:p>
    <w:p w14:paraId="7D50B0E9">
      <w:pPr>
        <w:rPr>
          <w:rFonts w:hint="eastAsia"/>
          <w:lang w:val="en-US" w:eastAsia="zh-CN"/>
        </w:rPr>
      </w:pPr>
      <w:r>
        <w:rPr>
          <w:rFonts w:hint="eastAsia"/>
          <w:lang w:val="en-US" w:eastAsia="zh-CN"/>
        </w:rPr>
        <w:t>王渊：医药领域价格形成的经济学理论，背离了最浅显的经济学理论，但是又是民生属性，政府觉得自己管的大医凌然。医保的管理模式，惠民保的模式，应该有什么区别。经济学理论和公共治理都应该考虑。领导，市场和政府要彼此助力。</w:t>
      </w:r>
    </w:p>
    <w:p w14:paraId="2003B66E">
      <w:pPr>
        <w:rPr>
          <w:rFonts w:hint="eastAsia"/>
          <w:lang w:val="en-US" w:eastAsia="zh-CN"/>
        </w:rPr>
      </w:pPr>
      <w:r>
        <w:rPr>
          <w:rFonts w:hint="eastAsia"/>
          <w:lang w:val="en-US" w:eastAsia="zh-CN"/>
        </w:rPr>
        <w:t>就在5年的发展规划，1-2年的经济发展形势。政策与市场双向靠拢、拉近关系、同向发力。产业发展和民生保障，产业发展现在很难，在不伤民生的前提</w:t>
      </w:r>
      <w:bookmarkStart w:id="0" w:name="_GoBack"/>
      <w:bookmarkEnd w:id="0"/>
      <w:r>
        <w:rPr>
          <w:rFonts w:hint="eastAsia"/>
          <w:lang w:val="en-US" w:eastAsia="zh-CN"/>
        </w:rPr>
        <w:t>下帮助产业发展。</w:t>
      </w:r>
    </w:p>
    <w:p w14:paraId="1A7D3F5B">
      <w:pPr>
        <w:rPr>
          <w:rFonts w:hint="eastAsia"/>
          <w:lang w:val="en-US" w:eastAsia="zh-CN"/>
        </w:rPr>
      </w:pPr>
      <w:r>
        <w:rPr>
          <w:rFonts w:hint="eastAsia"/>
          <w:lang w:val="en-US" w:eastAsia="zh-CN"/>
        </w:rPr>
        <w:t>理论深层次研究。</w:t>
      </w:r>
    </w:p>
    <w:p w14:paraId="5E2DA2C9">
      <w:pPr>
        <w:rPr>
          <w:rFonts w:hint="eastAsia"/>
          <w:lang w:val="en-US" w:eastAsia="zh-CN"/>
        </w:rPr>
      </w:pPr>
    </w:p>
    <w:p w14:paraId="0DDE8F7E">
      <w:pPr>
        <w:rPr>
          <w:rFonts w:hint="default"/>
          <w:lang w:val="en-US" w:eastAsia="zh-CN"/>
        </w:rPr>
      </w:pPr>
      <w:r>
        <w:rPr>
          <w:rFonts w:hint="eastAsia"/>
          <w:lang w:val="en-US" w:eastAsia="zh-CN"/>
        </w:rPr>
        <w:t>创新药、生物药评价，涉及各方利益。</w:t>
      </w:r>
    </w:p>
    <w:p w14:paraId="12DED8A1">
      <w:pPr>
        <w:rPr>
          <w:rFonts w:hint="eastAsia"/>
          <w:lang w:val="en-US" w:eastAsia="zh-CN"/>
        </w:rPr>
      </w:pPr>
      <w:r>
        <w:rPr>
          <w:rFonts w:hint="eastAsia"/>
          <w:lang w:val="en-US" w:eastAsia="zh-CN"/>
        </w:rPr>
        <w:t>规划中的约束性指标和预期性指标，中期评估时期可以建议。比如报折子谈政策打架问题。</w:t>
      </w:r>
    </w:p>
    <w:p w14:paraId="20C3F5B5">
      <w:pPr>
        <w:rPr>
          <w:rFonts w:hint="eastAsia"/>
          <w:lang w:val="en-US" w:eastAsia="zh-CN"/>
        </w:rPr>
      </w:pPr>
    </w:p>
    <w:p w14:paraId="2C933989">
      <w:pPr>
        <w:rPr>
          <w:rFonts w:hint="eastAsia"/>
          <w:lang w:val="en-US" w:eastAsia="zh-CN"/>
        </w:rPr>
      </w:pPr>
      <w:r>
        <w:rPr>
          <w:rFonts w:hint="eastAsia"/>
          <w:lang w:val="en-US" w:eastAsia="zh-CN"/>
        </w:rPr>
        <w:t>对我们出现的客观问题，国外针对性经验举措。</w:t>
      </w:r>
    </w:p>
    <w:p w14:paraId="0B42ACFD">
      <w:pPr>
        <w:rPr>
          <w:rFonts w:hint="eastAsia"/>
          <w:lang w:val="en-US" w:eastAsia="zh-CN"/>
        </w:rPr>
      </w:pPr>
    </w:p>
    <w:p w14:paraId="6B92E1AB">
      <w:pPr>
        <w:ind w:left="0" w:leftChars="0" w:firstLine="0" w:firstLineChars="0"/>
        <w:rPr>
          <w:rFonts w:hint="default"/>
          <w:b/>
          <w:bCs/>
          <w:lang w:val="en-US" w:eastAsia="zh-CN"/>
        </w:rPr>
      </w:pPr>
      <w:r>
        <w:rPr>
          <w:rFonts w:hint="eastAsia"/>
          <w:b/>
          <w:bCs/>
          <w:lang w:val="en-US" w:eastAsia="zh-CN"/>
        </w:rPr>
        <w:t>合作可以更紧密一些。资源配合、平台优势。</w:t>
      </w:r>
    </w:p>
    <w:p w14:paraId="4C087159">
      <w:pPr>
        <w:rPr>
          <w:rFonts w:hint="default"/>
          <w:lang w:val="en-US" w:eastAsia="zh-CN"/>
        </w:rPr>
      </w:pPr>
      <w:r>
        <w:rPr>
          <w:rFonts w:hint="eastAsia"/>
          <w:lang w:val="en-US" w:eastAsia="zh-CN"/>
        </w:rPr>
        <w:t>张：配合时间轴、人力（实习生）；已有国际经验梳理，可以分享。</w:t>
      </w:r>
    </w:p>
    <w:p w14:paraId="42D63401">
      <w:pPr>
        <w:rPr>
          <w:rFonts w:hint="default"/>
          <w:lang w:val="en-US" w:eastAsia="zh-CN"/>
        </w:rPr>
      </w:pPr>
      <w:r>
        <w:rPr>
          <w:rFonts w:hint="eastAsia"/>
          <w:lang w:val="en-US" w:eastAsia="zh-CN"/>
        </w:rPr>
        <w:t>王渊：医保局要出丙目录，把申报截止时间往前提前了3个月，对RA注册团队的要求大了。公司一个创新药如果在3月31号评审不出来，就要耽误一年，创新药的生命周期专利期在20年左右，前10年都在研发，真正上市的能在10-15年就很好了。创新药的成本回收和可持续是巨大的问题。一个注册的临床试验缓冲2-3年才能适应3个月的提前，这2-3年是创新药困难时期，一定要有缓冲。</w:t>
      </w:r>
    </w:p>
    <w:p w14:paraId="11046E20">
      <w:pPr>
        <w:rPr>
          <w:rFonts w:hint="eastAsia"/>
          <w:lang w:val="en-US" w:eastAsia="zh-CN"/>
        </w:rPr>
      </w:pPr>
    </w:p>
    <w:p w14:paraId="0412AC7A">
      <w:pPr>
        <w:rPr>
          <w:rFonts w:hint="eastAsia"/>
          <w:lang w:val="en-US" w:eastAsia="zh-CN"/>
        </w:rPr>
      </w:pPr>
      <w:r>
        <w:rPr>
          <w:rFonts w:hint="eastAsia"/>
          <w:lang w:val="en-US" w:eastAsia="zh-CN"/>
        </w:rPr>
        <w:t>月度例会。长期合作，支撑点。</w:t>
      </w:r>
    </w:p>
    <w:p w14:paraId="78BB8D29">
      <w:pPr>
        <w:rPr>
          <w:rFonts w:hint="eastAsia"/>
          <w:lang w:val="en-US" w:eastAsia="zh-CN"/>
        </w:rPr>
      </w:pPr>
    </w:p>
    <w:p w14:paraId="17EA6C92">
      <w:pPr>
        <w:rPr>
          <w:rFonts w:hint="eastAsia"/>
          <w:lang w:val="en-US" w:eastAsia="zh-CN"/>
        </w:rPr>
      </w:pPr>
      <w:r>
        <w:rPr>
          <w:rFonts w:hint="eastAsia"/>
          <w:lang w:val="en-US" w:eastAsia="zh-CN"/>
        </w:rPr>
        <w:t>梁：全面。后续需要支持配合，随时听安排。</w:t>
      </w:r>
    </w:p>
    <w:p w14:paraId="056407D1">
      <w:pPr>
        <w:rPr>
          <w:rFonts w:hint="eastAsia"/>
          <w:lang w:val="en-US" w:eastAsia="zh-CN"/>
        </w:rPr>
      </w:pPr>
      <w:r>
        <w:rPr>
          <w:rFonts w:hint="eastAsia"/>
          <w:lang w:val="en-US" w:eastAsia="zh-CN"/>
        </w:rPr>
        <w:t>张：邀请更多政府资源来开会。</w:t>
      </w:r>
    </w:p>
    <w:p w14:paraId="62433743">
      <w:pPr>
        <w:rPr>
          <w:rFonts w:hint="default"/>
          <w:lang w:val="en-US" w:eastAsia="zh-CN"/>
        </w:rPr>
      </w:pPr>
    </w:p>
    <w:p w14:paraId="412E64AB">
      <w:pPr>
        <w:rPr>
          <w:rFonts w:hint="default"/>
          <w:lang w:val="en-US" w:eastAsia="zh-CN"/>
        </w:rPr>
      </w:pPr>
      <w:r>
        <w:rPr>
          <w:rFonts w:hint="eastAsia"/>
          <w:lang w:val="en-US" w:eastAsia="zh-CN"/>
        </w:rPr>
        <w:t>王渊：</w:t>
      </w:r>
    </w:p>
    <w:p w14:paraId="5B2501D0">
      <w:pPr>
        <w:rPr>
          <w:rFonts w:hint="default"/>
          <w:lang w:val="en-US" w:eastAsia="zh-CN"/>
        </w:rPr>
      </w:pPr>
      <w:r>
        <w:rPr>
          <w:rFonts w:hint="eastAsia"/>
          <w:lang w:val="en-US" w:eastAsia="zh-CN"/>
        </w:rPr>
        <w:t>最近企业关心关注问题的发散讨论。</w:t>
      </w:r>
    </w:p>
    <w:p w14:paraId="7CEB6FF0">
      <w:pPr>
        <w:numPr>
          <w:ilvl w:val="0"/>
          <w:numId w:val="1"/>
        </w:numPr>
        <w:rPr>
          <w:rFonts w:hint="eastAsia"/>
          <w:lang w:val="en-US" w:eastAsia="zh-CN"/>
        </w:rPr>
      </w:pPr>
      <w:r>
        <w:rPr>
          <w:rFonts w:hint="eastAsia"/>
          <w:lang w:val="en-US" w:eastAsia="zh-CN"/>
        </w:rPr>
        <w:t>理论研究</w:t>
      </w:r>
    </w:p>
    <w:p w14:paraId="04BBD1C2">
      <w:pPr>
        <w:numPr>
          <w:ilvl w:val="0"/>
          <w:numId w:val="0"/>
        </w:numPr>
        <w:ind w:firstLine="640" w:firstLineChars="200"/>
        <w:rPr>
          <w:rFonts w:hint="eastAsia"/>
          <w:lang w:val="en-US" w:eastAsia="zh-CN"/>
        </w:rPr>
      </w:pPr>
      <w:r>
        <w:rPr>
          <w:rFonts w:hint="eastAsia"/>
          <w:lang w:val="en-US" w:eastAsia="zh-CN"/>
        </w:rPr>
        <w:t>理念优于制度，制度优于技术。强监管，各个国家差异化，美国更允许市场机制的存在，每一年的药品可以企业自主涨价，美国的谈判是过了专利期之后仍然是独家（企业自主定价）的药品，每年选8-15个药品谈判。排除原则，如罕见病、小企业。美国在学中国的谈判，相较而言，中国的谈判是在创新药刚刚上市盈利的阶段直接将盈利腰斩到脚脖子。</w:t>
      </w:r>
    </w:p>
    <w:p w14:paraId="2A4C941E">
      <w:pPr>
        <w:numPr>
          <w:ilvl w:val="0"/>
          <w:numId w:val="0"/>
        </w:numPr>
        <w:ind w:firstLine="640" w:firstLineChars="200"/>
        <w:rPr>
          <w:rFonts w:hint="eastAsia"/>
          <w:lang w:val="en-US" w:eastAsia="zh-CN"/>
        </w:rPr>
      </w:pPr>
      <w:r>
        <w:rPr>
          <w:rFonts w:hint="eastAsia"/>
          <w:lang w:val="en-US" w:eastAsia="zh-CN"/>
        </w:rPr>
        <w:t>当下环境，创新药不谈判就进不了医院，希望谈判越早越快越好，在谈判的过程中，和国家各个部门提出了几个诉求。医保局要做有限的责任管理，对于价格的管理，甚至把药品的零售价也管起来了。医保谈的支付标准，地方挂网价不得高于医保标准。零售价封顶，和国务院当初设置的价格设置相背离。怀念发改委价格司定价，怀念卫健委主管招采工作的省级招采中心。</w:t>
      </w:r>
    </w:p>
    <w:p w14:paraId="59AF4187">
      <w:pPr>
        <w:numPr>
          <w:ilvl w:val="0"/>
          <w:numId w:val="0"/>
        </w:numPr>
        <w:ind w:firstLine="640" w:firstLineChars="200"/>
        <w:rPr>
          <w:rFonts w:hint="eastAsia"/>
          <w:lang w:val="en-US" w:eastAsia="zh-CN"/>
        </w:rPr>
      </w:pPr>
      <w:r>
        <w:rPr>
          <w:rFonts w:hint="eastAsia"/>
          <w:lang w:val="en-US" w:eastAsia="zh-CN"/>
        </w:rPr>
        <w:t>集采价格的1.5倍。目的是让价格回归合理。国家是否对中国药品价格有目标，13510年的价格目标？日本有定价方式，按照成本、国际价、参照他人价格。（玉燕发报告）。日本也面临医保社保基金穿底风险。经过10年的价格管控期，日本的生物医药研发能力到达低点。</w:t>
      </w:r>
    </w:p>
    <w:p w14:paraId="6D8505F4">
      <w:pPr>
        <w:numPr>
          <w:ilvl w:val="0"/>
          <w:numId w:val="0"/>
        </w:numPr>
        <w:ind w:firstLine="640" w:firstLineChars="200"/>
        <w:rPr>
          <w:rFonts w:hint="default"/>
          <w:lang w:val="en-US" w:eastAsia="zh-CN"/>
        </w:rPr>
      </w:pPr>
      <w:r>
        <w:rPr>
          <w:rFonts w:hint="eastAsia"/>
          <w:lang w:val="en-US" w:eastAsia="zh-CN"/>
        </w:rPr>
        <w:t>价格强监管，大家都绕着这四个字走，</w:t>
      </w:r>
    </w:p>
    <w:p w14:paraId="4D310D9D">
      <w:pPr>
        <w:numPr>
          <w:ilvl w:val="0"/>
          <w:numId w:val="0"/>
        </w:numPr>
        <w:ind w:firstLine="640" w:firstLineChars="200"/>
        <w:rPr>
          <w:rFonts w:hint="default"/>
          <w:lang w:val="en-US" w:eastAsia="zh-CN"/>
        </w:rPr>
      </w:pPr>
    </w:p>
    <w:p w14:paraId="5FE91411">
      <w:pPr>
        <w:numPr>
          <w:ilvl w:val="0"/>
          <w:numId w:val="1"/>
        </w:numPr>
        <w:rPr>
          <w:rFonts w:hint="default"/>
          <w:lang w:val="en-US" w:eastAsia="zh-CN"/>
        </w:rPr>
      </w:pPr>
      <w:r>
        <w:rPr>
          <w:rFonts w:hint="eastAsia"/>
          <w:lang w:val="en-US" w:eastAsia="zh-CN"/>
        </w:rPr>
        <w:t>十三五和十四五的指标</w:t>
      </w:r>
    </w:p>
    <w:p w14:paraId="49E330AB">
      <w:pPr>
        <w:rPr>
          <w:rFonts w:hint="eastAsia"/>
          <w:lang w:val="en-US" w:eastAsia="zh-CN"/>
        </w:rPr>
      </w:pPr>
      <w:r>
        <w:rPr>
          <w:rFonts w:hint="eastAsia"/>
          <w:lang w:val="en-US" w:eastAsia="zh-CN"/>
        </w:rPr>
        <w:t>十四五全民医疗保障规划，个人卫生支出和卫生总费用之间的比值，约束性指标。有一部分中高收入的老百姓。在现阶段，怎样做同向的政策发力，松一松绑。统计口径调整。基本医疗保险的优越性和杠杆原理，把药品价格更加放开。老百姓感受会更好，基本医保缴纳意愿更强。参考国定价是国际惯例。一定要实现国内谈判价格保密。</w:t>
      </w:r>
    </w:p>
    <w:p w14:paraId="64AE23E2">
      <w:pPr>
        <w:rPr>
          <w:rFonts w:hint="eastAsia"/>
          <w:lang w:val="en-US" w:eastAsia="zh-CN"/>
        </w:rPr>
      </w:pPr>
      <w:r>
        <w:rPr>
          <w:rFonts w:hint="eastAsia"/>
          <w:lang w:val="en-US" w:eastAsia="zh-CN"/>
        </w:rPr>
        <w:t>医保，首谈，做临床价值评价，谈判药品8年后调入乙类目标，有4次续约机会，每2年续约一次。劣币驱逐良币。给医保局松松绑，多层次保障。卫健委保障看病要及时、有效。</w:t>
      </w:r>
    </w:p>
    <w:p w14:paraId="72D6F6D3">
      <w:pPr>
        <w:rPr>
          <w:rFonts w:hint="eastAsia"/>
          <w:lang w:val="en-US" w:eastAsia="zh-CN"/>
        </w:rPr>
      </w:pPr>
      <w:r>
        <w:rPr>
          <w:rFonts w:hint="eastAsia"/>
          <w:lang w:val="en-US" w:eastAsia="zh-CN"/>
        </w:rPr>
        <w:t>一部分是基本医疗保险的市场，基本医疗保险有大病保险，惠民保是大病保险之上的商业补充。</w:t>
      </w:r>
    </w:p>
    <w:p w14:paraId="34F608D4">
      <w:pPr>
        <w:rPr>
          <w:rFonts w:hint="eastAsia"/>
          <w:lang w:val="en-US" w:eastAsia="zh-CN"/>
        </w:rPr>
      </w:pPr>
      <w:r>
        <w:rPr>
          <w:rFonts w:hint="eastAsia"/>
          <w:lang w:val="en-US" w:eastAsia="zh-CN"/>
        </w:rPr>
        <w:t>基本医保一人一码，一人一档，大数据标准化建设。</w:t>
      </w:r>
    </w:p>
    <w:p w14:paraId="715ADEF1">
      <w:pPr>
        <w:rPr>
          <w:rFonts w:hint="eastAsia"/>
          <w:lang w:val="en-US" w:eastAsia="zh-CN"/>
        </w:rPr>
      </w:pPr>
      <w:r>
        <w:rPr>
          <w:rFonts w:hint="eastAsia"/>
          <w:lang w:val="en-US" w:eastAsia="zh-CN"/>
        </w:rPr>
        <w:t>医保局会牵头多层次保障。自费市场偏向于多层次保障，惠民保是争议点。丙目录放在目录司。</w:t>
      </w:r>
    </w:p>
    <w:p w14:paraId="2D2D4A4A">
      <w:pPr>
        <w:rPr>
          <w:rFonts w:hint="default"/>
          <w:lang w:val="en-US" w:eastAsia="zh-CN"/>
        </w:rPr>
      </w:pPr>
    </w:p>
    <w:p w14:paraId="218F8D70">
      <w:pPr>
        <w:rPr>
          <w:rFonts w:hint="eastAsia"/>
          <w:lang w:val="en-US" w:eastAsia="zh-CN"/>
        </w:rPr>
      </w:pPr>
      <w:r>
        <w:rPr>
          <w:rFonts w:hint="eastAsia"/>
          <w:lang w:val="en-US" w:eastAsia="zh-CN"/>
        </w:rPr>
        <w:t>海外对创新药支付有很丰富的支付方式。</w:t>
      </w:r>
    </w:p>
    <w:p w14:paraId="55874FF2">
      <w:pPr>
        <w:rPr>
          <w:rFonts w:hint="eastAsia"/>
          <w:lang w:val="en-US" w:eastAsia="zh-CN"/>
        </w:rPr>
      </w:pPr>
    </w:p>
    <w:p w14:paraId="36AF3C68">
      <w:pPr>
        <w:rPr>
          <w:rFonts w:hint="default"/>
          <w:lang w:val="en-US" w:eastAsia="zh-CN"/>
        </w:rPr>
      </w:pPr>
      <w:r>
        <w:rPr>
          <w:rFonts w:hint="eastAsia"/>
          <w:lang w:val="en-US" w:eastAsia="zh-CN"/>
        </w:rPr>
        <w:t>医保局只做降价行为，任何行为都会成为降价的理由。</w:t>
      </w:r>
    </w:p>
    <w:p w14:paraId="1EA4248B">
      <w:pPr>
        <w:rPr>
          <w:rFonts w:hint="eastAsia"/>
          <w:lang w:val="en-US" w:eastAsia="zh-CN"/>
        </w:rPr>
      </w:pPr>
    </w:p>
    <w:p w14:paraId="48A4816C">
      <w:pPr>
        <w:rPr>
          <w:rFonts w:hint="eastAsia"/>
          <w:lang w:val="en-US" w:eastAsia="zh-CN"/>
        </w:rPr>
      </w:pPr>
      <w:r>
        <w:rPr>
          <w:rFonts w:hint="eastAsia"/>
          <w:lang w:val="en-US" w:eastAsia="zh-CN"/>
        </w:rPr>
        <w:t>体制：部门职责划分问题，每个部门有自身的价值观。医保局的政策工具比较单一。让下面有选择，对上面有呼吁。</w:t>
      </w:r>
    </w:p>
    <w:p w14:paraId="7CB10F7A">
      <w:pPr>
        <w:rPr>
          <w:rFonts w:hint="eastAsia"/>
          <w:lang w:val="en-US" w:eastAsia="zh-CN"/>
        </w:rPr>
      </w:pPr>
    </w:p>
    <w:p w14:paraId="61B72D43">
      <w:pPr>
        <w:rPr>
          <w:rFonts w:hint="eastAsia"/>
          <w:lang w:val="en-US" w:eastAsia="zh-CN"/>
        </w:rPr>
      </w:pPr>
      <w:r>
        <w:rPr>
          <w:rFonts w:hint="eastAsia"/>
          <w:lang w:val="en-US" w:eastAsia="zh-CN"/>
        </w:rPr>
        <w:t>年初医保局正式见面会，支持创新医药发展座谈会，局长谈转变，1）国务院要求定位从保民生增加经济属性，做好医保基金管理要利用医保基金的体量和地位同时助力医疗机构和创新药的高质量发展。希望企业坚定信心，政府的规定动作一定会完成，自选动作也会完成，请企业期待。</w:t>
      </w:r>
    </w:p>
    <w:p w14:paraId="1809BF7F">
      <w:pPr>
        <w:rPr>
          <w:rFonts w:hint="eastAsia"/>
          <w:lang w:val="en-US" w:eastAsia="zh-CN"/>
        </w:rPr>
      </w:pPr>
      <w:r>
        <w:rPr>
          <w:rFonts w:hint="eastAsia"/>
          <w:lang w:val="en-US" w:eastAsia="zh-CN"/>
        </w:rPr>
        <w:t>国家医保局推出了丙目录的想法，牵头多层次保障的抓手。丙目录涉及到国经局，怎么被保险和市场接受，利益交换。企业反复提到价格保密，医保局可以在丙目录这个维度推进和实现。</w:t>
      </w:r>
    </w:p>
    <w:p w14:paraId="03F623EA">
      <w:pPr>
        <w:rPr>
          <w:rFonts w:hint="default"/>
          <w:lang w:val="en-US" w:eastAsia="zh-CN"/>
        </w:rPr>
      </w:pPr>
      <w:r>
        <w:rPr>
          <w:rFonts w:hint="eastAsia"/>
          <w:lang w:val="en-US" w:eastAsia="zh-CN"/>
        </w:rPr>
        <w:t>丙目录的融合的机制。想象中的多层次保障要有多维度的市场空间，多维度的空间是否要同时配套一个多方共付的机制？</w:t>
      </w:r>
    </w:p>
    <w:p w14:paraId="605ABE24">
      <w:pPr>
        <w:rPr>
          <w:rFonts w:hint="eastAsia"/>
          <w:lang w:val="en-US" w:eastAsia="zh-CN"/>
        </w:rPr>
      </w:pPr>
    </w:p>
    <w:p w14:paraId="62600D2F">
      <w:pPr>
        <w:rPr>
          <w:rFonts w:hint="eastAsia"/>
          <w:lang w:val="en-US" w:eastAsia="zh-CN"/>
        </w:rPr>
      </w:pPr>
    </w:p>
    <w:p w14:paraId="73A0840C">
      <w:pPr>
        <w:rPr>
          <w:rFonts w:hint="default"/>
          <w:lang w:val="en-US" w:eastAsia="zh-CN"/>
        </w:rPr>
      </w:pPr>
    </w:p>
    <w:p w14:paraId="71BC0FFE">
      <w:pPr>
        <w:numPr>
          <w:ilvl w:val="0"/>
          <w:numId w:val="1"/>
        </w:numPr>
        <w:rPr>
          <w:rFonts w:hint="default"/>
          <w:lang w:val="en-US" w:eastAsia="zh-CN"/>
        </w:rPr>
      </w:pPr>
    </w:p>
    <w:p w14:paraId="5ED69940">
      <w:pPr>
        <w:rPr>
          <w:rFonts w:hint="eastAsia"/>
          <w:lang w:val="en-US" w:eastAsia="zh-CN"/>
        </w:rPr>
      </w:pPr>
    </w:p>
    <w:p w14:paraId="38C4FE05">
      <w:pPr>
        <w:rPr>
          <w:rFonts w:hint="eastAsia"/>
          <w:lang w:val="en-US" w:eastAsia="zh-CN"/>
        </w:rPr>
      </w:pPr>
    </w:p>
    <w:p w14:paraId="11A08446">
      <w:pPr>
        <w:rPr>
          <w:rFonts w:hint="eastAsia"/>
          <w:lang w:val="en-US" w:eastAsia="zh-CN"/>
        </w:rPr>
      </w:pPr>
    </w:p>
    <w:p w14:paraId="1FF445A5">
      <w:pPr>
        <w:rPr>
          <w:rFonts w:hint="eastAsia"/>
          <w:lang w:val="en-US" w:eastAsia="zh-CN"/>
        </w:rPr>
      </w:pPr>
    </w:p>
    <w:p w14:paraId="29B22556">
      <w:pPr>
        <w:rPr>
          <w:rFonts w:hint="eastAsia"/>
          <w:lang w:val="en-US" w:eastAsia="zh-CN"/>
        </w:rPr>
      </w:pPr>
    </w:p>
    <w:p w14:paraId="6F6CD601">
      <w:pPr>
        <w:rPr>
          <w:rFonts w:hint="default"/>
          <w:lang w:val="en-US" w:eastAsia="zh-CN"/>
        </w:rPr>
      </w:pPr>
    </w:p>
    <w:p w14:paraId="5360982B">
      <w:pPr>
        <w:rPr>
          <w:rFonts w:hint="default"/>
          <w:lang w:val="en-US" w:eastAsia="zh-CN"/>
        </w:rPr>
      </w:pPr>
    </w:p>
    <w:p w14:paraId="0F9BDF27">
      <w:pPr>
        <w:rPr>
          <w:rFonts w:hint="default"/>
          <w:lang w:val="en-US" w:eastAsia="zh-CN"/>
        </w:rPr>
      </w:pPr>
    </w:p>
    <w:sectPr>
      <w:pgSz w:w="11906" w:h="16838"/>
      <w:pgMar w:top="1984" w:right="1616" w:bottom="1814" w:left="1616" w:header="851" w:footer="992" w:gutter="0"/>
      <w:cols w:space="0" w:num="1"/>
      <w:rtlGutter w:val="0"/>
      <w:docGrid w:type="lines" w:linePitch="42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楷体_GB2312">
    <w:altName w:val="汉仪楷体简"/>
    <w:panose1 w:val="02010609030101010101"/>
    <w:charset w:val="86"/>
    <w:family w:val="auto"/>
    <w:pitch w:val="default"/>
    <w:sig w:usb0="00000000" w:usb1="00000000" w:usb2="0000000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6D2764"/>
    <w:multiLevelType w:val="singleLevel"/>
    <w:tmpl w:val="FA6D276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7C65EE"/>
    <w:rsid w:val="00C4759A"/>
    <w:rsid w:val="01B85F94"/>
    <w:rsid w:val="02D60A3C"/>
    <w:rsid w:val="06104D47"/>
    <w:rsid w:val="08171282"/>
    <w:rsid w:val="09D82574"/>
    <w:rsid w:val="09DC73C7"/>
    <w:rsid w:val="09E6463A"/>
    <w:rsid w:val="09FE11C0"/>
    <w:rsid w:val="0AED2956"/>
    <w:rsid w:val="0DFE701D"/>
    <w:rsid w:val="12222181"/>
    <w:rsid w:val="126C5D31"/>
    <w:rsid w:val="158E48D6"/>
    <w:rsid w:val="16897D52"/>
    <w:rsid w:val="17301B9A"/>
    <w:rsid w:val="17387F6C"/>
    <w:rsid w:val="178E0F3C"/>
    <w:rsid w:val="18D05E62"/>
    <w:rsid w:val="197C65EE"/>
    <w:rsid w:val="19EC2DC3"/>
    <w:rsid w:val="1F231FE7"/>
    <w:rsid w:val="208B1E71"/>
    <w:rsid w:val="217963C5"/>
    <w:rsid w:val="27707E95"/>
    <w:rsid w:val="279C2B64"/>
    <w:rsid w:val="287A1946"/>
    <w:rsid w:val="293749A8"/>
    <w:rsid w:val="29643040"/>
    <w:rsid w:val="2AD83E5A"/>
    <w:rsid w:val="2D036C22"/>
    <w:rsid w:val="2D656AC9"/>
    <w:rsid w:val="2DF67558"/>
    <w:rsid w:val="2F543BE4"/>
    <w:rsid w:val="2FB61F95"/>
    <w:rsid w:val="2FD915E8"/>
    <w:rsid w:val="31A63152"/>
    <w:rsid w:val="31BE3232"/>
    <w:rsid w:val="32B53CA7"/>
    <w:rsid w:val="331C1BC4"/>
    <w:rsid w:val="361C5BD6"/>
    <w:rsid w:val="36725608"/>
    <w:rsid w:val="3AB27681"/>
    <w:rsid w:val="3B5A188F"/>
    <w:rsid w:val="3D8A50F0"/>
    <w:rsid w:val="3F643A95"/>
    <w:rsid w:val="3F6E0FD8"/>
    <w:rsid w:val="3F8F5F89"/>
    <w:rsid w:val="3FC970CC"/>
    <w:rsid w:val="3FD833F6"/>
    <w:rsid w:val="43C62DD6"/>
    <w:rsid w:val="47DF76DD"/>
    <w:rsid w:val="4C143E63"/>
    <w:rsid w:val="4D063240"/>
    <w:rsid w:val="4D34469E"/>
    <w:rsid w:val="4D806BFC"/>
    <w:rsid w:val="509E6A89"/>
    <w:rsid w:val="517C6065"/>
    <w:rsid w:val="557168E4"/>
    <w:rsid w:val="56436117"/>
    <w:rsid w:val="573E45E4"/>
    <w:rsid w:val="58925D90"/>
    <w:rsid w:val="5ABD2277"/>
    <w:rsid w:val="664D2CE5"/>
    <w:rsid w:val="695026C8"/>
    <w:rsid w:val="6BC1519C"/>
    <w:rsid w:val="6E936427"/>
    <w:rsid w:val="6EAD1AA8"/>
    <w:rsid w:val="6F271071"/>
    <w:rsid w:val="70135B4D"/>
    <w:rsid w:val="735750A3"/>
    <w:rsid w:val="762449D8"/>
    <w:rsid w:val="77AA1FA1"/>
    <w:rsid w:val="78214D4F"/>
    <w:rsid w:val="7ADE49EA"/>
    <w:rsid w:val="7C690E48"/>
    <w:rsid w:val="7CA7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Times New Roman" w:hAnsi="Times New Roman" w:eastAsia="仿宋_GB2312" w:cstheme="minorBidi"/>
      <w:kern w:val="2"/>
      <w:sz w:val="32"/>
      <w:szCs w:val="22"/>
      <w:lang w:val="en-US" w:eastAsia="zh-CN" w:bidi="ar-SA"/>
      <w14:ligatures w14:val="standardContextual"/>
    </w:rPr>
  </w:style>
  <w:style w:type="paragraph" w:styleId="2">
    <w:name w:val="heading 1"/>
    <w:basedOn w:val="1"/>
    <w:next w:val="1"/>
    <w:link w:val="8"/>
    <w:qFormat/>
    <w:uiPriority w:val="0"/>
    <w:pPr>
      <w:spacing w:beforeAutospacing="0" w:afterAutospacing="0" w:line="560" w:lineRule="atLeast"/>
      <w:jc w:val="left"/>
      <w:outlineLvl w:val="0"/>
    </w:pPr>
    <w:rPr>
      <w:rFonts w:hint="eastAsia" w:eastAsia="黑体" w:cs="宋体"/>
      <w:bCs/>
      <w:color w:val="000000" w:themeColor="text1"/>
      <w:kern w:val="44"/>
      <w:sz w:val="32"/>
      <w:szCs w:val="48"/>
      <w:u w:val="none" w:color="000000" w:themeColor="text1"/>
      <w:lang w:bidi="ar"/>
      <w14:textFill>
        <w14:solidFill>
          <w14:schemeClr w14:val="tx1"/>
        </w14:solidFill>
      </w14:textFill>
    </w:rPr>
  </w:style>
  <w:style w:type="paragraph" w:styleId="3">
    <w:name w:val="heading 2"/>
    <w:basedOn w:val="1"/>
    <w:next w:val="1"/>
    <w:link w:val="9"/>
    <w:semiHidden/>
    <w:unhideWhenUsed/>
    <w:qFormat/>
    <w:uiPriority w:val="0"/>
    <w:pPr>
      <w:adjustRightInd w:val="0"/>
      <w:snapToGrid w:val="0"/>
      <w:spacing w:before="25" w:beforeLines="25" w:after="25" w:afterLines="25" w:line="560" w:lineRule="exact"/>
      <w:ind w:left="0" w:firstLine="420" w:firstLineChars="200"/>
      <w:outlineLvl w:val="1"/>
    </w:pPr>
    <w:rPr>
      <w:rFonts w:hint="eastAsia" w:eastAsia="楷体_GB2312" w:cs="Times New Roman"/>
      <w:b/>
      <w:sz w:val="32"/>
      <w:szCs w:val="24"/>
    </w:rPr>
  </w:style>
  <w:style w:type="paragraph" w:styleId="4">
    <w:name w:val="heading 3"/>
    <w:basedOn w:val="1"/>
    <w:next w:val="1"/>
    <w:semiHidden/>
    <w:unhideWhenUsed/>
    <w:qFormat/>
    <w:uiPriority w:val="0"/>
    <w:pPr>
      <w:keepNext/>
      <w:keepLines/>
      <w:adjustRightInd w:val="0"/>
      <w:spacing w:beforeLines="0" w:beforeAutospacing="0" w:afterAutospacing="0" w:line="500" w:lineRule="exact"/>
      <w:outlineLvl w:val="2"/>
    </w:pPr>
    <w:rPr>
      <w:rFonts w:ascii="Times New Roman" w:hAnsi="Times New Roman" w:eastAsia="仿宋_GB2312" w:cs="Arial"/>
      <w:b/>
      <w:szCs w:val="22"/>
    </w:rPr>
  </w:style>
  <w:style w:type="paragraph" w:styleId="5">
    <w:name w:val="heading 4"/>
    <w:basedOn w:val="1"/>
    <w:next w:val="1"/>
    <w:semiHidden/>
    <w:unhideWhenUsed/>
    <w:qFormat/>
    <w:uiPriority w:val="0"/>
    <w:pPr>
      <w:keepNext/>
      <w:keepLines/>
      <w:spacing w:before="20" w:beforeLines="0" w:beforeAutospacing="0" w:after="20" w:afterLines="0" w:afterAutospacing="0" w:line="240" w:lineRule="auto"/>
      <w:outlineLvl w:val="3"/>
    </w:pPr>
    <w:rPr>
      <w:rFonts w:ascii="Arial" w:hAnsi="Arial" w:eastAsia="等线"/>
      <w:sz w:val="28"/>
    </w:rPr>
  </w:style>
  <w:style w:type="character" w:default="1" w:styleId="7">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1 Char"/>
    <w:link w:val="2"/>
    <w:qFormat/>
    <w:uiPriority w:val="0"/>
    <w:rPr>
      <w:rFonts w:ascii="Times New Roman" w:hAnsi="Times New Roman" w:eastAsia="黑体" w:cs="宋体"/>
      <w:color w:val="000000" w:themeColor="text1"/>
      <w:kern w:val="44"/>
      <w:sz w:val="30"/>
      <w:szCs w:val="22"/>
      <w:u w:val="none" w:color="000000" w:themeColor="text1"/>
      <w14:textFill>
        <w14:solidFill>
          <w14:schemeClr w14:val="tx1"/>
        </w14:solidFill>
      </w14:textFill>
    </w:rPr>
  </w:style>
  <w:style w:type="character" w:customStyle="1" w:styleId="9">
    <w:name w:val="标题 2 字符"/>
    <w:basedOn w:val="7"/>
    <w:link w:val="3"/>
    <w:qFormat/>
    <w:uiPriority w:val="1"/>
    <w:rPr>
      <w:rFonts w:ascii="Times New Roman" w:hAnsi="Times New Roman" w:eastAsia="楷体_GB2312" w:cs="Times New Roman"/>
      <w:b/>
      <w:sz w:val="32"/>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市直单位</Company>
  <Pages>5</Pages>
  <Words>0</Words>
  <Characters>0</Characters>
  <Lines>0</Lines>
  <Paragraphs>0</Paragraphs>
  <TotalTime>130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2025-02-12T10:06:00Z</dcterms:created>
  <dc:creator>Yuchao Wang</dc:creator>
  <cp:lastModifiedBy>W</cp:lastModifiedBy>
  <dcterms:modified xsi:type="dcterms:W3CDTF">2025-02-12T17:08:58Z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529A360F7CBC8DEB2A65AC6772CCD18E_43</vt:lpwstr>
  </property>
  <property fmtid="{D5CDD505-2E9C-101B-9397-08002B2CF9AE}" pid="4" name="KSOTemplateDocerSaveRecord">
    <vt:lpwstr>eyJoZGlkIjoiNjAwMGExODc4YjczNzVlMWIyNzYwNTFhMmExODI5ZjUiLCJ1c2VySWQiOiI1ODI5MzAwNzEifQ==</vt:lpwstr>
  </property>
</Properties>
</file>