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FFC9E">
      <w:pPr>
        <w:keepNext w:val="0"/>
        <w:keepLines w:val="0"/>
        <w:pageBreakBefore w:val="0"/>
        <w:kinsoku/>
        <w:wordWrap/>
        <w:overflowPunct/>
        <w:topLinePunct w:val="0"/>
        <w:autoSpaceDE/>
        <w:autoSpaceDN/>
        <w:bidi w:val="0"/>
        <w:adjustRightInd/>
        <w:snapToGrid/>
        <w:ind w:firstLine="560" w:firstLineChars="200"/>
        <w:rPr>
          <w:rFonts w:hint="eastAsia" w:ascii="仿宋_GB2312" w:hAnsi="仿宋_GB2312" w:eastAsia="仿宋_GB2312" w:cs="仿宋_GB2312"/>
          <w:sz w:val="28"/>
          <w:szCs w:val="28"/>
        </w:rPr>
      </w:pPr>
    </w:p>
    <w:p w14:paraId="3C9B316D">
      <w:pPr>
        <w:keepNext w:val="0"/>
        <w:keepLines w:val="0"/>
        <w:pageBreakBefore w:val="0"/>
        <w:kinsoku/>
        <w:wordWrap/>
        <w:overflowPunct/>
        <w:topLinePunct w:val="0"/>
        <w:autoSpaceDE/>
        <w:autoSpaceDN/>
        <w:bidi w:val="0"/>
        <w:adjustRightInd/>
        <w:snapToGrid/>
        <w:ind w:firstLine="560" w:firstLineChars="200"/>
        <w:rPr>
          <w:rFonts w:hint="eastAsia" w:ascii="仿宋_GB2312" w:hAnsi="仿宋_GB2312" w:eastAsia="仿宋_GB2312" w:cs="仿宋_GB2312"/>
          <w:sz w:val="28"/>
          <w:szCs w:val="28"/>
        </w:rPr>
      </w:pPr>
    </w:p>
    <w:p w14:paraId="345C9FAF">
      <w:pPr>
        <w:keepNext w:val="0"/>
        <w:keepLines w:val="0"/>
        <w:pageBreakBefore w:val="0"/>
        <w:numPr>
          <w:ilvl w:val="0"/>
          <w:numId w:val="1"/>
        </w:numPr>
        <w:kinsoku/>
        <w:wordWrap/>
        <w:overflowPunct/>
        <w:topLinePunct w:val="0"/>
        <w:autoSpaceDE/>
        <w:autoSpaceDN/>
        <w:bidi w:val="0"/>
        <w:adjustRightInd/>
        <w:snapToGrid/>
        <w:ind w:firstLine="562"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问卷设计</w:t>
      </w:r>
      <w:bookmarkStart w:id="0" w:name="_GoBack"/>
      <w:bookmarkEnd w:id="0"/>
    </w:p>
    <w:p w14:paraId="2880FDEE">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本次问卷旨在系统了解不同领域专家对创新药多维价值的认知与偏好。问卷由三部分组成：Part A 收集基本信息，包括职业、所在机构类型、从业年限与参与创新药评审的经验；Part B 围绕五个核心维度——安全性、有效性、经济性、创新性与公平性——进行六分量表的重要性打分与总体排序；Part C 涉及机构导向与个人态度，用于理解不同组织情境下的价值取向。量表采用 1–6 赋分，其中 1 表示“极不重要”，6 表示“极其重要”，能够刻画受访者对各维度重视程度的强弱梯度。问卷在成稿前参考了相关政策文件与领域专家意见，历经多轮语义与选项优化，确保问题覆盖面、可理解性与统计可比性。</w:t>
      </w:r>
    </w:p>
    <w:p w14:paraId="1FD01BAF">
      <w:pPr>
        <w:keepNext w:val="0"/>
        <w:keepLines w:val="0"/>
        <w:pageBreakBefore w:val="0"/>
        <w:numPr>
          <w:ilvl w:val="0"/>
          <w:numId w:val="0"/>
        </w:numPr>
        <w:kinsoku/>
        <w:wordWrap/>
        <w:overflowPunct/>
        <w:topLinePunct w:val="0"/>
        <w:autoSpaceDE/>
        <w:autoSpaceDN/>
        <w:bidi w:val="0"/>
        <w:adjustRightInd/>
        <w:snapToGrid/>
        <w:ind w:firstLine="560" w:firstLineChars="200"/>
        <w:rPr>
          <w:rFonts w:hint="eastAsia" w:ascii="仿宋_GB2312" w:hAnsi="仿宋_GB2312" w:eastAsia="仿宋_GB2312" w:cs="仿宋_GB2312"/>
          <w:sz w:val="28"/>
          <w:szCs w:val="28"/>
          <w:lang w:val="en-US" w:eastAsia="zh-CN"/>
        </w:rPr>
      </w:pPr>
    </w:p>
    <w:p w14:paraId="7A402BAF">
      <w:pPr>
        <w:keepNext w:val="0"/>
        <w:keepLines w:val="0"/>
        <w:pageBreakBefore w:val="0"/>
        <w:numPr>
          <w:ilvl w:val="0"/>
          <w:numId w:val="1"/>
        </w:numPr>
        <w:kinsoku/>
        <w:wordWrap/>
        <w:overflowPunct/>
        <w:topLinePunct w:val="0"/>
        <w:autoSpaceDE/>
        <w:autoSpaceDN/>
        <w:bidi w:val="0"/>
        <w:adjustRightInd/>
        <w:snapToGrid/>
        <w:ind w:firstLine="562" w:firstLineChars="200"/>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问卷发放及回收情况</w:t>
      </w:r>
    </w:p>
    <w:p w14:paraId="4FBCF9BC">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p>
    <w:p w14:paraId="7551E5C7">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问卷以线上方式在</w:t>
      </w:r>
      <w:r>
        <w:rPr>
          <w:rFonts w:hint="eastAsia" w:ascii="仿宋_GB2312" w:hAnsi="仿宋_GB2312" w:eastAsia="仿宋_GB2312" w:cs="仿宋_GB2312"/>
          <w:sz w:val="28"/>
          <w:szCs w:val="28"/>
          <w:highlight w:val="yellow"/>
          <w:lang w:val="en-US" w:eastAsia="zh-CN"/>
        </w:rPr>
        <w:t>【时间内】</w:t>
      </w:r>
      <w:r>
        <w:rPr>
          <w:rFonts w:hint="eastAsia" w:ascii="仿宋_GB2312" w:hAnsi="仿宋_GB2312" w:eastAsia="仿宋_GB2312" w:cs="仿宋_GB2312"/>
          <w:sz w:val="28"/>
          <w:szCs w:val="28"/>
          <w:lang w:val="en-US" w:eastAsia="zh-CN"/>
        </w:rPr>
        <w:t>发放，单份填答时长控制在 3–5 分钟，以降低作答疲劳并提升回收率。共发放</w:t>
      </w:r>
      <w:r>
        <w:rPr>
          <w:rFonts w:hint="eastAsia" w:ascii="仿宋_GB2312" w:hAnsi="仿宋_GB2312" w:eastAsia="仿宋_GB2312" w:cs="仿宋_GB2312"/>
          <w:sz w:val="28"/>
          <w:szCs w:val="28"/>
          <w:highlight w:val="yellow"/>
          <w:lang w:val="en-US" w:eastAsia="zh-CN"/>
        </w:rPr>
        <w:t>【xx】</w:t>
      </w:r>
      <w:r>
        <w:rPr>
          <w:rFonts w:hint="eastAsia" w:ascii="仿宋_GB2312" w:hAnsi="仿宋_GB2312" w:eastAsia="仿宋_GB2312" w:cs="仿宋_GB2312"/>
          <w:sz w:val="28"/>
          <w:szCs w:val="28"/>
          <w:lang w:val="en-US" w:eastAsia="zh-CN"/>
        </w:rPr>
        <w:t>份，有效回收为100份，有效样本覆盖临床、科研、管理与药学等角色，以及医疗机构、高校、科研院所、药品监管部门、医疗保障部门、卫生健康管理部门、制药企业与行业协会等组织类型。总体样本规模与结构可满足描述性统计与组间比较的需要，但需注意政策与支付相关部门占比偏低，可能导致制度执行与基金约束视角在总体结果中的表征不足。</w:t>
      </w:r>
    </w:p>
    <w:p w14:paraId="33F3A678">
      <w:pPr>
        <w:keepNext w:val="0"/>
        <w:keepLines w:val="0"/>
        <w:pageBreakBefore w:val="0"/>
        <w:numPr>
          <w:ilvl w:val="0"/>
          <w:numId w:val="1"/>
        </w:numPr>
        <w:kinsoku/>
        <w:wordWrap/>
        <w:overflowPunct/>
        <w:topLinePunct w:val="0"/>
        <w:autoSpaceDE/>
        <w:autoSpaceDN/>
        <w:bidi w:val="0"/>
        <w:adjustRightInd/>
        <w:snapToGrid/>
        <w:ind w:firstLine="562"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填问卷人员基本信息统计</w:t>
      </w:r>
    </w:p>
    <w:p w14:paraId="102F16E3">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从职业分布来看，医生占比 53%，医药研究人员占 27%，医院管理人员占 14%，药师占 6%，政府部门工作人员和其他合计不足 5%。这种结构意味着临床与科研人员的意见在样本中占主导，医生的高占比使得与患者安全和疗效直接相关的议题在后续打分中极易形成共识，科研人员比例的提升则强化了对机制与证据创新的敏感度，而药师、管理人员和政府部门人员则为样本带来支付、管理与政策层面的补充视角。</w:t>
      </w:r>
    </w:p>
    <w:p w14:paraId="481D617E">
      <w:pPr>
        <w:keepNext w:val="0"/>
        <w:keepLines w:val="0"/>
        <w:pageBreakBefore w:val="0"/>
        <w:numPr>
          <w:ilvl w:val="0"/>
          <w:numId w:val="0"/>
        </w:numPr>
        <w:kinsoku/>
        <w:wordWrap/>
        <w:overflowPunct/>
        <w:topLinePunct w:val="0"/>
        <w:autoSpaceDE/>
        <w:autoSpaceDN/>
        <w:bidi w:val="0"/>
        <w:adjustRightInd/>
        <w:snapToGrid/>
        <w:ind w:leftChars="0" w:firstLine="420" w:firstLineChars="200"/>
        <w:rPr>
          <w:rFonts w:hint="eastAsia" w:ascii="仿宋_GB2312" w:hAnsi="仿宋_GB2312" w:eastAsia="仿宋_GB2312" w:cs="仿宋_GB2312"/>
          <w:sz w:val="28"/>
          <w:szCs w:val="28"/>
          <w:lang w:val="en-US" w:eastAsia="zh-CN"/>
        </w:rPr>
      </w:pPr>
      <w:r>
        <w:drawing>
          <wp:inline distT="0" distB="0" distL="114300" distR="114300">
            <wp:extent cx="4486275" cy="2797810"/>
            <wp:effectExtent l="0" t="0" r="0" b="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5D11910">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从机构类型来看，医疗机构占 71%，高校 15%，科研院所 9%，药品监管部门、医疗保障部门、卫生健康管理部门、制药企业、行业协会和其他合计不足 5%。这一结果表明总体样本的声音更贴近临床实践与科研活动，而政策监管与支付方面的意见不足，解释了为何安全性与有效性的重要性在总体结果中高度凸显，而经济性与公平性则相对靠后。</w:t>
      </w:r>
    </w:p>
    <w:p w14:paraId="29F40B0C">
      <w:pPr>
        <w:keepNext w:val="0"/>
        <w:keepLines w:val="0"/>
        <w:pageBreakBefore w:val="0"/>
        <w:numPr>
          <w:ilvl w:val="0"/>
          <w:numId w:val="0"/>
        </w:numPr>
        <w:kinsoku/>
        <w:wordWrap/>
        <w:overflowPunct/>
        <w:topLinePunct w:val="0"/>
        <w:autoSpaceDE/>
        <w:autoSpaceDN/>
        <w:bidi w:val="0"/>
        <w:adjustRightInd/>
        <w:snapToGrid/>
        <w:ind w:leftChars="0" w:firstLine="420" w:firstLineChars="200"/>
        <w:rPr>
          <w:rFonts w:hint="eastAsia" w:ascii="仿宋_GB2312" w:hAnsi="仿宋_GB2312" w:eastAsia="仿宋_GB2312" w:cs="仿宋_GB2312"/>
          <w:sz w:val="28"/>
          <w:szCs w:val="28"/>
          <w:lang w:val="en-US" w:eastAsia="zh-CN"/>
        </w:rPr>
      </w:pPr>
      <w:r>
        <w:drawing>
          <wp:inline distT="0" distB="0" distL="114300" distR="114300">
            <wp:extent cx="4486275" cy="2797810"/>
            <wp:effectExtent l="0" t="0" r="0" b="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073B79C">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从从业年限来看，47% 不足 5 年，29% 为 5–10 年，20% 为 11–15 年，仅 3% 超过 15 年。整体呈年轻化特征，意味着群体对新技术与新机制的接受度较高，但对支付规则和制度流程的熟悉度相对不足。这有助于解释在 Part B 中创新性得分较高但排序偏后的现象：年轻群体对创新保持积极态度，但在权衡安全与有效时更理性。</w:t>
      </w:r>
    </w:p>
    <w:p w14:paraId="115E8FBC">
      <w:pPr>
        <w:keepNext w:val="0"/>
        <w:keepLines w:val="0"/>
        <w:pageBreakBefore w:val="0"/>
        <w:numPr>
          <w:ilvl w:val="0"/>
          <w:numId w:val="0"/>
        </w:numPr>
        <w:kinsoku/>
        <w:wordWrap/>
        <w:overflowPunct/>
        <w:topLinePunct w:val="0"/>
        <w:autoSpaceDE/>
        <w:autoSpaceDN/>
        <w:bidi w:val="0"/>
        <w:adjustRightInd/>
        <w:snapToGrid/>
        <w:ind w:leftChars="0" w:firstLine="420" w:firstLineChars="200"/>
        <w:rPr>
          <w:rFonts w:hint="eastAsia" w:ascii="仿宋_GB2312" w:hAnsi="仿宋_GB2312" w:eastAsia="仿宋_GB2312" w:cs="仿宋_GB2312"/>
          <w:sz w:val="28"/>
          <w:szCs w:val="28"/>
          <w:lang w:val="en-US" w:eastAsia="zh-CN"/>
        </w:rPr>
      </w:pPr>
      <w:r>
        <w:drawing>
          <wp:inline distT="0" distB="0" distL="114300" distR="114300">
            <wp:extent cx="4845050" cy="2797810"/>
            <wp:effectExtent l="0" t="0" r="0" b="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C59A6E8">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从评审经验来看，48% 从未参与，31% 有 1–5 次经验，14% 参与过 6–20 次，7% 超过 20 次。经验分布呈现两极分化，部分为新进入者，部分为资深实践者。无经验者可能从价值原则出发对公平与创新给出较高评价，而资深群体更强调安全与有效，体现出经验对维度排序的影响。</w:t>
      </w:r>
    </w:p>
    <w:p w14:paraId="5D63A86B">
      <w:pPr>
        <w:keepNext w:val="0"/>
        <w:keepLines w:val="0"/>
        <w:pageBreakBefore w:val="0"/>
        <w:numPr>
          <w:ilvl w:val="0"/>
          <w:numId w:val="0"/>
        </w:numPr>
        <w:kinsoku/>
        <w:wordWrap/>
        <w:overflowPunct/>
        <w:topLinePunct w:val="0"/>
        <w:autoSpaceDE/>
        <w:autoSpaceDN/>
        <w:bidi w:val="0"/>
        <w:adjustRightInd/>
        <w:snapToGrid/>
        <w:ind w:leftChars="0" w:firstLine="420" w:firstLineChars="200"/>
        <w:rPr>
          <w:rFonts w:hint="eastAsia" w:ascii="仿宋_GB2312" w:hAnsi="仿宋_GB2312" w:eastAsia="仿宋_GB2312" w:cs="仿宋_GB2312"/>
          <w:sz w:val="28"/>
          <w:szCs w:val="28"/>
          <w:lang w:val="en-US" w:eastAsia="zh-CN"/>
        </w:rPr>
      </w:pPr>
      <w:r>
        <w:drawing>
          <wp:inline distT="0" distB="0" distL="114300" distR="114300">
            <wp:extent cx="5273675" cy="2754630"/>
            <wp:effectExtent l="0" t="0" r="0" b="0"/>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CF69362">
      <w:pPr>
        <w:keepNext w:val="0"/>
        <w:keepLines w:val="0"/>
        <w:pageBreakBefore w:val="0"/>
        <w:numPr>
          <w:ilvl w:val="0"/>
          <w:numId w:val="1"/>
        </w:numPr>
        <w:kinsoku/>
        <w:wordWrap/>
        <w:overflowPunct/>
        <w:topLinePunct w:val="0"/>
        <w:autoSpaceDE/>
        <w:autoSpaceDN/>
        <w:bidi w:val="0"/>
        <w:adjustRightInd/>
        <w:snapToGrid/>
        <w:ind w:firstLine="562" w:firstLineChars="200"/>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对创新药评价各维度的重要程度打分</w:t>
      </w:r>
    </w:p>
    <w:p w14:paraId="611B30C5">
      <w:pPr>
        <w:keepNext w:val="0"/>
        <w:keepLines w:val="0"/>
        <w:pageBreakBefore w:val="0"/>
        <w:widowControl w:val="0"/>
        <w:numPr>
          <w:numId w:val="0"/>
        </w:numPr>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在正式分析各维度之前，需要说明评分采用 1–6 分制，其中 1 分代表“极不重要”，6 分代表“极其重要”。下表给出了五个维度的平均数、中位数和标准差：</w:t>
      </w:r>
    </w:p>
    <w:tbl>
      <w:tblPr>
        <w:tblW w:w="876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243"/>
        <w:gridCol w:w="2867"/>
        <w:gridCol w:w="2140"/>
        <w:gridCol w:w="2517"/>
      </w:tblGrid>
      <w:tr w14:paraId="3ED800C9">
        <w:trPr>
          <w:trHeight w:val="340" w:hRule="atLeast"/>
        </w:trPr>
        <w:tc>
          <w:tcPr>
            <w:tcW w:w="1243" w:type="dxa"/>
            <w:tcBorders>
              <w:top w:val="single" w:color="000000" w:sz="4" w:space="0"/>
              <w:left w:val="single" w:color="000000" w:sz="4" w:space="0"/>
              <w:bottom w:val="single" w:color="000000" w:sz="4" w:space="0"/>
              <w:right w:val="single" w:color="000000" w:sz="4" w:space="0"/>
            </w:tcBorders>
            <w:shd w:val="clear"/>
            <w:vAlign w:val="bottom"/>
          </w:tcPr>
          <w:p w14:paraId="370F7120">
            <w:pPr>
              <w:keepNext w:val="0"/>
              <w:keepLines w:val="0"/>
              <w:widowControl/>
              <w:suppressLineNumbers w:val="0"/>
              <w:jc w:val="center"/>
              <w:textAlignment w:val="bottom"/>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维度</w:t>
            </w:r>
          </w:p>
        </w:tc>
        <w:tc>
          <w:tcPr>
            <w:tcW w:w="2867" w:type="dxa"/>
            <w:tcBorders>
              <w:top w:val="single" w:color="000000" w:sz="4" w:space="0"/>
              <w:left w:val="single" w:color="000000" w:sz="4" w:space="0"/>
              <w:bottom w:val="single" w:color="000000" w:sz="4" w:space="0"/>
              <w:right w:val="single" w:color="000000" w:sz="4" w:space="0"/>
            </w:tcBorders>
            <w:shd w:val="clear"/>
            <w:vAlign w:val="bottom"/>
          </w:tcPr>
          <w:p w14:paraId="1AEAC23A">
            <w:pPr>
              <w:keepNext w:val="0"/>
              <w:keepLines w:val="0"/>
              <w:widowControl/>
              <w:suppressLineNumbers w:val="0"/>
              <w:jc w:val="center"/>
              <w:textAlignment w:val="bottom"/>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平均数</w:t>
            </w:r>
          </w:p>
        </w:tc>
        <w:tc>
          <w:tcPr>
            <w:tcW w:w="2140" w:type="dxa"/>
            <w:tcBorders>
              <w:top w:val="single" w:color="000000" w:sz="4" w:space="0"/>
              <w:left w:val="single" w:color="000000" w:sz="4" w:space="0"/>
              <w:bottom w:val="single" w:color="000000" w:sz="4" w:space="0"/>
              <w:right w:val="single" w:color="000000" w:sz="4" w:space="0"/>
            </w:tcBorders>
            <w:shd w:val="clear"/>
            <w:vAlign w:val="bottom"/>
          </w:tcPr>
          <w:p w14:paraId="4C945E51">
            <w:pPr>
              <w:keepNext w:val="0"/>
              <w:keepLines w:val="0"/>
              <w:widowControl/>
              <w:suppressLineNumbers w:val="0"/>
              <w:jc w:val="center"/>
              <w:textAlignment w:val="bottom"/>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中位数</w:t>
            </w:r>
          </w:p>
        </w:tc>
        <w:tc>
          <w:tcPr>
            <w:tcW w:w="2517" w:type="dxa"/>
            <w:tcBorders>
              <w:top w:val="single" w:color="000000" w:sz="4" w:space="0"/>
              <w:left w:val="single" w:color="000000" w:sz="4" w:space="0"/>
              <w:bottom w:val="single" w:color="000000" w:sz="4" w:space="0"/>
              <w:right w:val="single" w:color="000000" w:sz="4" w:space="0"/>
            </w:tcBorders>
            <w:shd w:val="clear"/>
            <w:vAlign w:val="bottom"/>
          </w:tcPr>
          <w:p w14:paraId="6977473B">
            <w:pPr>
              <w:keepNext w:val="0"/>
              <w:keepLines w:val="0"/>
              <w:widowControl/>
              <w:suppressLineNumbers w:val="0"/>
              <w:jc w:val="center"/>
              <w:textAlignment w:val="bottom"/>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标准差</w:t>
            </w:r>
          </w:p>
        </w:tc>
      </w:tr>
      <w:tr w14:paraId="5D55B3D6">
        <w:trPr>
          <w:trHeight w:val="340" w:hRule="atLeast"/>
        </w:trPr>
        <w:tc>
          <w:tcPr>
            <w:tcW w:w="1243" w:type="dxa"/>
            <w:tcBorders>
              <w:top w:val="single" w:color="000000" w:sz="4" w:space="0"/>
              <w:left w:val="single" w:color="000000" w:sz="4" w:space="0"/>
              <w:bottom w:val="single" w:color="000000" w:sz="4" w:space="0"/>
              <w:right w:val="single" w:color="000000" w:sz="4" w:space="0"/>
            </w:tcBorders>
            <w:shd w:val="clear"/>
            <w:vAlign w:val="bottom"/>
          </w:tcPr>
          <w:p w14:paraId="1ED32588">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安全性</w:t>
            </w:r>
          </w:p>
        </w:tc>
        <w:tc>
          <w:tcPr>
            <w:tcW w:w="2867" w:type="dxa"/>
            <w:tcBorders>
              <w:top w:val="single" w:color="000000" w:sz="4" w:space="0"/>
              <w:left w:val="single" w:color="000000" w:sz="4" w:space="0"/>
              <w:bottom w:val="single" w:color="000000" w:sz="4" w:space="0"/>
              <w:right w:val="single" w:color="000000" w:sz="4" w:space="0"/>
            </w:tcBorders>
            <w:shd w:val="clear"/>
            <w:vAlign w:val="bottom"/>
          </w:tcPr>
          <w:p w14:paraId="513189DC">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5.27</w:t>
            </w:r>
          </w:p>
        </w:tc>
        <w:tc>
          <w:tcPr>
            <w:tcW w:w="2140" w:type="dxa"/>
            <w:tcBorders>
              <w:top w:val="single" w:color="000000" w:sz="4" w:space="0"/>
              <w:left w:val="single" w:color="000000" w:sz="4" w:space="0"/>
              <w:bottom w:val="single" w:color="000000" w:sz="4" w:space="0"/>
              <w:right w:val="single" w:color="000000" w:sz="4" w:space="0"/>
            </w:tcBorders>
            <w:shd w:val="clear"/>
            <w:vAlign w:val="bottom"/>
          </w:tcPr>
          <w:p w14:paraId="266833F1">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6</w:t>
            </w:r>
          </w:p>
        </w:tc>
        <w:tc>
          <w:tcPr>
            <w:tcW w:w="2517" w:type="dxa"/>
            <w:tcBorders>
              <w:top w:val="single" w:color="000000" w:sz="4" w:space="0"/>
              <w:left w:val="single" w:color="000000" w:sz="4" w:space="0"/>
              <w:bottom w:val="single" w:color="000000" w:sz="4" w:space="0"/>
              <w:right w:val="single" w:color="000000" w:sz="4" w:space="0"/>
            </w:tcBorders>
            <w:shd w:val="clear"/>
            <w:vAlign w:val="bottom"/>
          </w:tcPr>
          <w:p w14:paraId="1234E406">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1.46</w:t>
            </w:r>
          </w:p>
        </w:tc>
      </w:tr>
      <w:tr w14:paraId="0857812C">
        <w:trPr>
          <w:trHeight w:val="340" w:hRule="atLeast"/>
        </w:trPr>
        <w:tc>
          <w:tcPr>
            <w:tcW w:w="1243" w:type="dxa"/>
            <w:tcBorders>
              <w:top w:val="single" w:color="000000" w:sz="4" w:space="0"/>
              <w:left w:val="single" w:color="000000" w:sz="4" w:space="0"/>
              <w:bottom w:val="single" w:color="000000" w:sz="4" w:space="0"/>
              <w:right w:val="single" w:color="000000" w:sz="4" w:space="0"/>
            </w:tcBorders>
            <w:shd w:val="clear"/>
            <w:vAlign w:val="bottom"/>
          </w:tcPr>
          <w:p w14:paraId="4442FD0E">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有效性</w:t>
            </w:r>
          </w:p>
        </w:tc>
        <w:tc>
          <w:tcPr>
            <w:tcW w:w="2867" w:type="dxa"/>
            <w:tcBorders>
              <w:top w:val="single" w:color="000000" w:sz="4" w:space="0"/>
              <w:left w:val="single" w:color="000000" w:sz="4" w:space="0"/>
              <w:bottom w:val="single" w:color="000000" w:sz="4" w:space="0"/>
              <w:right w:val="single" w:color="000000" w:sz="4" w:space="0"/>
            </w:tcBorders>
            <w:shd w:val="clear"/>
            <w:vAlign w:val="bottom"/>
          </w:tcPr>
          <w:p w14:paraId="227FF112">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5.17</w:t>
            </w:r>
          </w:p>
        </w:tc>
        <w:tc>
          <w:tcPr>
            <w:tcW w:w="2140" w:type="dxa"/>
            <w:tcBorders>
              <w:top w:val="single" w:color="000000" w:sz="4" w:space="0"/>
              <w:left w:val="single" w:color="000000" w:sz="4" w:space="0"/>
              <w:bottom w:val="single" w:color="000000" w:sz="4" w:space="0"/>
              <w:right w:val="single" w:color="000000" w:sz="4" w:space="0"/>
            </w:tcBorders>
            <w:shd w:val="clear"/>
            <w:vAlign w:val="bottom"/>
          </w:tcPr>
          <w:p w14:paraId="4BC5F1A4">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6</w:t>
            </w:r>
          </w:p>
        </w:tc>
        <w:tc>
          <w:tcPr>
            <w:tcW w:w="2517" w:type="dxa"/>
            <w:tcBorders>
              <w:top w:val="single" w:color="000000" w:sz="4" w:space="0"/>
              <w:left w:val="single" w:color="000000" w:sz="4" w:space="0"/>
              <w:bottom w:val="single" w:color="000000" w:sz="4" w:space="0"/>
              <w:right w:val="single" w:color="000000" w:sz="4" w:space="0"/>
            </w:tcBorders>
            <w:shd w:val="clear"/>
            <w:vAlign w:val="bottom"/>
          </w:tcPr>
          <w:p w14:paraId="3F682D19">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1.5</w:t>
            </w:r>
          </w:p>
        </w:tc>
      </w:tr>
      <w:tr w14:paraId="31D85C25">
        <w:trPr>
          <w:trHeight w:val="340" w:hRule="atLeast"/>
        </w:trPr>
        <w:tc>
          <w:tcPr>
            <w:tcW w:w="1243" w:type="dxa"/>
            <w:tcBorders>
              <w:top w:val="single" w:color="000000" w:sz="4" w:space="0"/>
              <w:left w:val="single" w:color="000000" w:sz="4" w:space="0"/>
              <w:bottom w:val="single" w:color="000000" w:sz="4" w:space="0"/>
              <w:right w:val="single" w:color="000000" w:sz="4" w:space="0"/>
            </w:tcBorders>
            <w:shd w:val="clear"/>
            <w:vAlign w:val="bottom"/>
          </w:tcPr>
          <w:p w14:paraId="10DC1FFD">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经济性</w:t>
            </w:r>
          </w:p>
        </w:tc>
        <w:tc>
          <w:tcPr>
            <w:tcW w:w="2867" w:type="dxa"/>
            <w:tcBorders>
              <w:top w:val="single" w:color="000000" w:sz="4" w:space="0"/>
              <w:left w:val="single" w:color="000000" w:sz="4" w:space="0"/>
              <w:bottom w:val="single" w:color="000000" w:sz="4" w:space="0"/>
              <w:right w:val="single" w:color="000000" w:sz="4" w:space="0"/>
            </w:tcBorders>
            <w:shd w:val="clear"/>
            <w:vAlign w:val="bottom"/>
          </w:tcPr>
          <w:p w14:paraId="485D2F67">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5.06</w:t>
            </w:r>
          </w:p>
        </w:tc>
        <w:tc>
          <w:tcPr>
            <w:tcW w:w="2140" w:type="dxa"/>
            <w:tcBorders>
              <w:top w:val="single" w:color="000000" w:sz="4" w:space="0"/>
              <w:left w:val="single" w:color="000000" w:sz="4" w:space="0"/>
              <w:bottom w:val="single" w:color="000000" w:sz="4" w:space="0"/>
              <w:right w:val="single" w:color="000000" w:sz="4" w:space="0"/>
            </w:tcBorders>
            <w:shd w:val="clear"/>
            <w:vAlign w:val="bottom"/>
          </w:tcPr>
          <w:p w14:paraId="1EDFE24A">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6</w:t>
            </w:r>
          </w:p>
        </w:tc>
        <w:tc>
          <w:tcPr>
            <w:tcW w:w="2517" w:type="dxa"/>
            <w:tcBorders>
              <w:top w:val="single" w:color="000000" w:sz="4" w:space="0"/>
              <w:left w:val="single" w:color="000000" w:sz="4" w:space="0"/>
              <w:bottom w:val="single" w:color="000000" w:sz="4" w:space="0"/>
              <w:right w:val="single" w:color="000000" w:sz="4" w:space="0"/>
            </w:tcBorders>
            <w:shd w:val="clear"/>
            <w:vAlign w:val="bottom"/>
          </w:tcPr>
          <w:p w14:paraId="067E8174">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1.52</w:t>
            </w:r>
          </w:p>
        </w:tc>
      </w:tr>
      <w:tr w14:paraId="0564EB5E">
        <w:trPr>
          <w:trHeight w:val="340" w:hRule="atLeast"/>
        </w:trPr>
        <w:tc>
          <w:tcPr>
            <w:tcW w:w="1243" w:type="dxa"/>
            <w:tcBorders>
              <w:top w:val="single" w:color="000000" w:sz="4" w:space="0"/>
              <w:left w:val="single" w:color="000000" w:sz="4" w:space="0"/>
              <w:bottom w:val="single" w:color="000000" w:sz="4" w:space="0"/>
              <w:right w:val="single" w:color="000000" w:sz="4" w:space="0"/>
            </w:tcBorders>
            <w:shd w:val="clear"/>
            <w:vAlign w:val="bottom"/>
          </w:tcPr>
          <w:p w14:paraId="50319931">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创新性</w:t>
            </w:r>
          </w:p>
        </w:tc>
        <w:tc>
          <w:tcPr>
            <w:tcW w:w="2867" w:type="dxa"/>
            <w:tcBorders>
              <w:top w:val="single" w:color="000000" w:sz="4" w:space="0"/>
              <w:left w:val="single" w:color="000000" w:sz="4" w:space="0"/>
              <w:bottom w:val="single" w:color="000000" w:sz="4" w:space="0"/>
              <w:right w:val="single" w:color="000000" w:sz="4" w:space="0"/>
            </w:tcBorders>
            <w:shd w:val="clear"/>
            <w:vAlign w:val="bottom"/>
          </w:tcPr>
          <w:p w14:paraId="02D92B5A">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5.1</w:t>
            </w:r>
          </w:p>
        </w:tc>
        <w:tc>
          <w:tcPr>
            <w:tcW w:w="2140" w:type="dxa"/>
            <w:tcBorders>
              <w:top w:val="single" w:color="000000" w:sz="4" w:space="0"/>
              <w:left w:val="single" w:color="000000" w:sz="4" w:space="0"/>
              <w:bottom w:val="single" w:color="000000" w:sz="4" w:space="0"/>
              <w:right w:val="single" w:color="000000" w:sz="4" w:space="0"/>
            </w:tcBorders>
            <w:shd w:val="clear"/>
            <w:vAlign w:val="bottom"/>
          </w:tcPr>
          <w:p w14:paraId="42DAD55A">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6</w:t>
            </w:r>
          </w:p>
        </w:tc>
        <w:tc>
          <w:tcPr>
            <w:tcW w:w="2517" w:type="dxa"/>
            <w:tcBorders>
              <w:top w:val="single" w:color="000000" w:sz="4" w:space="0"/>
              <w:left w:val="single" w:color="000000" w:sz="4" w:space="0"/>
              <w:bottom w:val="single" w:color="000000" w:sz="4" w:space="0"/>
              <w:right w:val="single" w:color="000000" w:sz="4" w:space="0"/>
            </w:tcBorders>
            <w:shd w:val="clear"/>
            <w:vAlign w:val="bottom"/>
          </w:tcPr>
          <w:p w14:paraId="1F64B30C">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1.45</w:t>
            </w:r>
          </w:p>
        </w:tc>
      </w:tr>
      <w:tr w14:paraId="4BF0925F">
        <w:trPr>
          <w:trHeight w:val="340" w:hRule="atLeast"/>
        </w:trPr>
        <w:tc>
          <w:tcPr>
            <w:tcW w:w="1243" w:type="dxa"/>
            <w:tcBorders>
              <w:top w:val="single" w:color="000000" w:sz="4" w:space="0"/>
              <w:left w:val="single" w:color="000000" w:sz="4" w:space="0"/>
              <w:bottom w:val="single" w:color="000000" w:sz="4" w:space="0"/>
              <w:right w:val="single" w:color="000000" w:sz="4" w:space="0"/>
            </w:tcBorders>
            <w:shd w:val="clear"/>
            <w:vAlign w:val="bottom"/>
          </w:tcPr>
          <w:p w14:paraId="7FB9E90B">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公平性</w:t>
            </w:r>
          </w:p>
        </w:tc>
        <w:tc>
          <w:tcPr>
            <w:tcW w:w="2867" w:type="dxa"/>
            <w:tcBorders>
              <w:top w:val="single" w:color="000000" w:sz="4" w:space="0"/>
              <w:left w:val="single" w:color="000000" w:sz="4" w:space="0"/>
              <w:bottom w:val="single" w:color="000000" w:sz="4" w:space="0"/>
              <w:right w:val="single" w:color="000000" w:sz="4" w:space="0"/>
            </w:tcBorders>
            <w:shd w:val="clear"/>
            <w:vAlign w:val="bottom"/>
          </w:tcPr>
          <w:p w14:paraId="5CA816CD">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4.86</w:t>
            </w:r>
          </w:p>
        </w:tc>
        <w:tc>
          <w:tcPr>
            <w:tcW w:w="2140" w:type="dxa"/>
            <w:tcBorders>
              <w:top w:val="single" w:color="000000" w:sz="4" w:space="0"/>
              <w:left w:val="single" w:color="000000" w:sz="4" w:space="0"/>
              <w:bottom w:val="single" w:color="000000" w:sz="4" w:space="0"/>
              <w:right w:val="single" w:color="000000" w:sz="4" w:space="0"/>
            </w:tcBorders>
            <w:shd w:val="clear"/>
            <w:vAlign w:val="bottom"/>
          </w:tcPr>
          <w:p w14:paraId="2B3FE04B">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5</w:t>
            </w:r>
          </w:p>
        </w:tc>
        <w:tc>
          <w:tcPr>
            <w:tcW w:w="2517" w:type="dxa"/>
            <w:tcBorders>
              <w:top w:val="single" w:color="000000" w:sz="4" w:space="0"/>
              <w:left w:val="single" w:color="000000" w:sz="4" w:space="0"/>
              <w:bottom w:val="single" w:color="000000" w:sz="4" w:space="0"/>
              <w:right w:val="single" w:color="000000" w:sz="4" w:space="0"/>
            </w:tcBorders>
            <w:shd w:val="clear"/>
            <w:vAlign w:val="bottom"/>
          </w:tcPr>
          <w:p w14:paraId="38C13BD9">
            <w:pPr>
              <w:keepNext w:val="0"/>
              <w:keepLines w:val="0"/>
              <w:widowControl/>
              <w:suppressLineNumbers w:val="0"/>
              <w:jc w:val="center"/>
              <w:textAlignment w:val="bottom"/>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1.44</w:t>
            </w:r>
          </w:p>
        </w:tc>
      </w:tr>
    </w:tbl>
    <w:p w14:paraId="42E975CB">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可以看到，安全性与有效性平均分最高，且中位数均为 6，说明绝大多数受访者给出了最高评价，体现出其作为核心维度的重要地位。经济性与创新性的平均分稍低但仍在 5 分以上，显示它们在总体上也被认为重要，但标准差略大，说明不同群体间存在一定差异。公平性的平均分最低，中位数为 5，表明其虽被普遍认为重要，但在与其他维度比较时优先级相对靠后。</w:t>
      </w:r>
    </w:p>
    <w:p w14:paraId="060753DC">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对于安全维度，问卷对其范畴的定义主要是药物不良反应、长期安全性以及特殊人群用药的风险控制。结果显示，该维度的平均分为 5.27，超过八成的受访者给出 5–6 分，并且在排序中 76% 的受访者将其列为首位。安全性因此成为各群体的共同底线，药品监管部门与医疗机构对此维度尤为强调，医生群体的排序均值约 1.47，显示出临床一线对风险控制的高度一致性。</w:t>
      </w:r>
    </w:p>
    <w:p w14:paraId="359F3B88">
      <w:pPr>
        <w:keepNext w:val="0"/>
        <w:keepLines w:val="0"/>
        <w:pageBreakBefore w:val="0"/>
        <w:numPr>
          <w:ilvl w:val="0"/>
          <w:numId w:val="0"/>
        </w:numPr>
        <w:kinsoku/>
        <w:wordWrap/>
        <w:overflowPunct/>
        <w:topLinePunct w:val="0"/>
        <w:autoSpaceDE/>
        <w:autoSpaceDN/>
        <w:bidi w:val="0"/>
        <w:adjustRightInd/>
        <w:snapToGrid/>
        <w:ind w:leftChars="0" w:firstLine="420" w:firstLineChars="200"/>
        <w:rPr>
          <w:rFonts w:hint="eastAsia" w:ascii="仿宋_GB2312" w:hAnsi="仿宋_GB2312" w:eastAsia="仿宋_GB2312" w:cs="仿宋_GB2312"/>
          <w:sz w:val="28"/>
          <w:szCs w:val="28"/>
          <w:lang w:val="en-US" w:eastAsia="zh-CN"/>
        </w:rPr>
      </w:pPr>
      <w:r>
        <w:drawing>
          <wp:inline distT="0" distB="0" distL="114300" distR="114300">
            <wp:extent cx="4691380" cy="2978150"/>
            <wp:effectExtent l="0" t="0" r="0" b="0"/>
            <wp:docPr id="6"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03DC9E9">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对于有效维度，问卷定义的范畴包括临床疗效、生存获益以及生活质量改善。其平均分为 5.17，超过八成集中在高分段，排序稳定在第二位。医生与科研院所均将其作为关键标准，高校群体的排序均值约 1.73，更突显学术场景对临床结果改善的敏感度。有效性与安全性共同构成了创新药评价的双支柱。</w:t>
      </w:r>
    </w:p>
    <w:p w14:paraId="3CD725D8">
      <w:pPr>
        <w:keepNext w:val="0"/>
        <w:keepLines w:val="0"/>
        <w:pageBreakBefore w:val="0"/>
        <w:numPr>
          <w:ilvl w:val="0"/>
          <w:numId w:val="0"/>
        </w:numPr>
        <w:kinsoku/>
        <w:wordWrap/>
        <w:overflowPunct/>
        <w:topLinePunct w:val="0"/>
        <w:autoSpaceDE/>
        <w:autoSpaceDN/>
        <w:bidi w:val="0"/>
        <w:adjustRightInd/>
        <w:snapToGrid/>
        <w:ind w:leftChars="0" w:firstLine="420" w:firstLineChars="200"/>
        <w:rPr>
          <w:rFonts w:hint="eastAsia" w:ascii="仿宋_GB2312" w:hAnsi="仿宋_GB2312" w:eastAsia="仿宋_GB2312" w:cs="仿宋_GB2312"/>
          <w:sz w:val="28"/>
          <w:szCs w:val="28"/>
          <w:lang w:val="en-US" w:eastAsia="zh-CN"/>
        </w:rPr>
      </w:pPr>
      <w:r>
        <w:drawing>
          <wp:inline distT="0" distB="0" distL="114300" distR="114300">
            <wp:extent cx="4690110" cy="3023235"/>
            <wp:effectExtent l="0" t="0" r="0" b="0"/>
            <wp:docPr id="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87D87B7">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对于经济维度，问卷定义的范畴是成本效益、医保支付影响以及患者个人负担。其平均分为 5.06，虽然处于“重要”水平，但分布更为分散。医疗保障部门与医院管理人员对经济性排序更靠前（医保排序均值约 3.00），而药师的排序均值为 4.17，显示药学端在强调安全有效的前提下对经济性优先度相对较低。这种差异体现了职业角色对药品成本与支付敏感度的差异化反应。</w:t>
      </w:r>
    </w:p>
    <w:p w14:paraId="6610C89A">
      <w:pPr>
        <w:keepNext w:val="0"/>
        <w:keepLines w:val="0"/>
        <w:pageBreakBefore w:val="0"/>
        <w:numPr>
          <w:ilvl w:val="0"/>
          <w:numId w:val="0"/>
        </w:numPr>
        <w:kinsoku/>
        <w:wordWrap/>
        <w:overflowPunct/>
        <w:topLinePunct w:val="0"/>
        <w:autoSpaceDE/>
        <w:autoSpaceDN/>
        <w:bidi w:val="0"/>
        <w:adjustRightInd/>
        <w:snapToGrid/>
        <w:ind w:leftChars="0" w:firstLine="420" w:firstLineChars="200"/>
        <w:rPr>
          <w:rFonts w:hint="eastAsia" w:ascii="仿宋_GB2312" w:hAnsi="仿宋_GB2312" w:eastAsia="仿宋_GB2312" w:cs="仿宋_GB2312"/>
          <w:sz w:val="28"/>
          <w:szCs w:val="28"/>
          <w:lang w:val="en-US" w:eastAsia="zh-CN"/>
        </w:rPr>
      </w:pPr>
      <w:r>
        <w:drawing>
          <wp:inline distT="0" distB="0" distL="114300" distR="114300">
            <wp:extent cx="4939665" cy="3013710"/>
            <wp:effectExtent l="0" t="0" r="0" b="0"/>
            <wp:docPr id="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438D7E7">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对于创新维度，问卷定义的范畴是机制创新、技术突破与首创性。平均分为 5.10，整体偏高，但分布呈两极化。医药研究人员在该维度上的排序均值约 3.26，高校与科研院所分别为 3.73 与 3.44，均明显高于医生与管理人员。这表明学术群体更重视机制原创性与技术突破，而临床端则优先保证安全与疗效。</w:t>
      </w:r>
    </w:p>
    <w:p w14:paraId="2B41CA66">
      <w:pPr>
        <w:keepNext w:val="0"/>
        <w:keepLines w:val="0"/>
        <w:pageBreakBefore w:val="0"/>
        <w:numPr>
          <w:ilvl w:val="0"/>
          <w:numId w:val="0"/>
        </w:numPr>
        <w:kinsoku/>
        <w:wordWrap/>
        <w:overflowPunct/>
        <w:topLinePunct w:val="0"/>
        <w:autoSpaceDE/>
        <w:autoSpaceDN/>
        <w:bidi w:val="0"/>
        <w:adjustRightInd/>
        <w:snapToGrid/>
        <w:ind w:leftChars="0" w:firstLine="420" w:firstLineChars="200"/>
        <w:rPr>
          <w:rFonts w:hint="eastAsia" w:ascii="仿宋_GB2312" w:hAnsi="仿宋_GB2312" w:eastAsia="仿宋_GB2312" w:cs="仿宋_GB2312"/>
          <w:sz w:val="28"/>
          <w:szCs w:val="28"/>
          <w:lang w:val="en-US" w:eastAsia="zh-CN"/>
        </w:rPr>
      </w:pPr>
      <w:r>
        <w:drawing>
          <wp:inline distT="0" distB="0" distL="114300" distR="114300">
            <wp:extent cx="4939665" cy="2925445"/>
            <wp:effectExtent l="0" t="0" r="0" b="0"/>
            <wp:docPr id="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CB3388F">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对于公平维度，问卷定义的范畴为药品可及性、地区公平与特殊人群覆盖。平均分最低，为 4.86。大多数受访者在排序中将其放在最后，医生排序均值为 4.43，科研人员为 4.30，医疗机构为 4.49。医疗保障部门与卫生健康管理部门则更强调公平性，但由于样本占比有限，其影响力在总体结果中不足。这表明公平性虽然获得认可，但在实际决策中常常被置于次要位置。</w:t>
      </w:r>
    </w:p>
    <w:p w14:paraId="19E4D990">
      <w:pPr>
        <w:keepNext w:val="0"/>
        <w:keepLines w:val="0"/>
        <w:pageBreakBefore w:val="0"/>
        <w:numPr>
          <w:ilvl w:val="0"/>
          <w:numId w:val="0"/>
        </w:numPr>
        <w:kinsoku/>
        <w:wordWrap/>
        <w:overflowPunct/>
        <w:topLinePunct w:val="0"/>
        <w:autoSpaceDE/>
        <w:autoSpaceDN/>
        <w:bidi w:val="0"/>
        <w:adjustRightInd/>
        <w:snapToGrid/>
        <w:ind w:leftChars="0" w:firstLine="420" w:firstLineChars="200"/>
        <w:rPr>
          <w:rFonts w:hint="eastAsia" w:ascii="仿宋_GB2312" w:hAnsi="仿宋_GB2312" w:eastAsia="仿宋_GB2312" w:cs="仿宋_GB2312"/>
          <w:sz w:val="28"/>
          <w:szCs w:val="28"/>
          <w:lang w:val="en-US" w:eastAsia="zh-CN"/>
        </w:rPr>
      </w:pPr>
      <w:r>
        <w:drawing>
          <wp:inline distT="0" distB="0" distL="114300" distR="114300">
            <wp:extent cx="5055870" cy="3013710"/>
            <wp:effectExtent l="0" t="0" r="0" b="0"/>
            <wp:docPr id="1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17866EF">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对于排序题，问卷要求受访者在五个维度之间进行优先级排列，从 1 到 5 分别代表最重要到最不重要。总体结果显示，安全性位列第一，有效性第二，经济性与创新性交替排在第三与第四，而公平性始终最后。职业与机构差异进一步印证了这一趋势：医生与医院管理人员的排序接近总体均值，医药研究人员在创新维度排序更靠前，药师则更重视经济性；医疗机构在安全与有效之外对经济性较敏感，高校与科研院所显著提升创新维度的排序，药品监管部门将安全性排在首位，医疗保障部门与卫生健康管理部门则更多关注经济与公平。所有这些差异共同说明，创新药的价值评价是一个多元体系，安全与有效是共识核心，经济、创新与公平则因职业和机构的不同而展现多样化的优先级。</w:t>
      </w:r>
    </w:p>
    <w:p w14:paraId="7FE5DF07">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在排序题 B6 的结果中，不仅能够看到总体趋势，还可以通过不同职业和机构的平均排名进一步揭示群体间的差异。从职业角度来看，医生和医院管理人员最为接近总体趋势，他们都将安全与有效放在首位，但医生群体在公平维度的排序略微靠前，而管理人员更突出经济性。医药研究人员在创新维度上的排序显著高于其他职业，均值约为 3.26，显示学术背景对原创机制的偏好。药师则表现出对经济性最敏感的特点，其平均排序达到 4.17，说明在安全和有效之外，他们更关注药品价格与支付问题。政府部门工作人员和其他类别的样本量不足，未形成稳定均值。</w:t>
      </w:r>
    </w:p>
    <w:p w14:paraId="2AE81081">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不同职业在不同维度的评分指标中的平均排序如下表所示：</w:t>
      </w:r>
    </w:p>
    <w:tbl>
      <w:tblPr>
        <w:tblW w:w="88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901"/>
        <w:gridCol w:w="1385"/>
        <w:gridCol w:w="1384"/>
        <w:gridCol w:w="1441"/>
        <w:gridCol w:w="1342"/>
        <w:gridCol w:w="1427"/>
      </w:tblGrid>
      <w:tr w14:paraId="0CABFA82">
        <w:trPr>
          <w:trHeight w:val="520" w:hRule="atLeast"/>
        </w:trPr>
        <w:tc>
          <w:tcPr>
            <w:tcW w:w="1901" w:type="dxa"/>
            <w:tcBorders>
              <w:top w:val="single" w:color="000000" w:sz="4" w:space="0"/>
              <w:left w:val="single" w:color="000000" w:sz="4" w:space="0"/>
              <w:bottom w:val="single" w:color="000000" w:sz="4" w:space="0"/>
              <w:right w:val="single" w:color="000000" w:sz="4" w:space="0"/>
            </w:tcBorders>
            <w:shd w:val="clear"/>
            <w:vAlign w:val="center"/>
          </w:tcPr>
          <w:p w14:paraId="18376B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职业</w:t>
            </w:r>
          </w:p>
        </w:tc>
        <w:tc>
          <w:tcPr>
            <w:tcW w:w="1385" w:type="dxa"/>
            <w:tcBorders>
              <w:top w:val="single" w:color="000000" w:sz="4" w:space="0"/>
              <w:left w:val="single" w:color="000000" w:sz="4" w:space="0"/>
              <w:bottom w:val="single" w:color="000000" w:sz="4" w:space="0"/>
              <w:right w:val="single" w:color="000000" w:sz="4" w:space="0"/>
            </w:tcBorders>
            <w:shd w:val="clear"/>
            <w:vAlign w:val="center"/>
          </w:tcPr>
          <w:p w14:paraId="0BC4BF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公平维度</w:t>
            </w:r>
          </w:p>
        </w:tc>
        <w:tc>
          <w:tcPr>
            <w:tcW w:w="1384" w:type="dxa"/>
            <w:tcBorders>
              <w:top w:val="single" w:color="000000" w:sz="4" w:space="0"/>
              <w:left w:val="single" w:color="000000" w:sz="4" w:space="0"/>
              <w:bottom w:val="single" w:color="000000" w:sz="4" w:space="0"/>
              <w:right w:val="single" w:color="000000" w:sz="4" w:space="0"/>
            </w:tcBorders>
            <w:shd w:val="clear"/>
            <w:vAlign w:val="center"/>
          </w:tcPr>
          <w:p w14:paraId="6B745C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创新维度</w:t>
            </w:r>
          </w:p>
        </w:tc>
        <w:tc>
          <w:tcPr>
            <w:tcW w:w="1441" w:type="dxa"/>
            <w:tcBorders>
              <w:top w:val="single" w:color="000000" w:sz="4" w:space="0"/>
              <w:left w:val="single" w:color="000000" w:sz="4" w:space="0"/>
              <w:bottom w:val="single" w:color="000000" w:sz="4" w:space="0"/>
              <w:right w:val="single" w:color="000000" w:sz="4" w:space="0"/>
            </w:tcBorders>
            <w:shd w:val="clear"/>
            <w:vAlign w:val="center"/>
          </w:tcPr>
          <w:p w14:paraId="46992B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安全维度</w:t>
            </w:r>
          </w:p>
        </w:tc>
        <w:tc>
          <w:tcPr>
            <w:tcW w:w="1342" w:type="dxa"/>
            <w:tcBorders>
              <w:top w:val="single" w:color="000000" w:sz="4" w:space="0"/>
              <w:left w:val="single" w:color="000000" w:sz="4" w:space="0"/>
              <w:bottom w:val="single" w:color="000000" w:sz="4" w:space="0"/>
              <w:right w:val="single" w:color="000000" w:sz="4" w:space="0"/>
            </w:tcBorders>
            <w:shd w:val="clear"/>
            <w:vAlign w:val="center"/>
          </w:tcPr>
          <w:p w14:paraId="1D9767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有效维度</w:t>
            </w:r>
          </w:p>
        </w:tc>
        <w:tc>
          <w:tcPr>
            <w:tcW w:w="1427" w:type="dxa"/>
            <w:tcBorders>
              <w:top w:val="single" w:color="000000" w:sz="4" w:space="0"/>
              <w:left w:val="single" w:color="000000" w:sz="4" w:space="0"/>
              <w:bottom w:val="single" w:color="000000" w:sz="4" w:space="0"/>
              <w:right w:val="single" w:color="000000" w:sz="4" w:space="0"/>
            </w:tcBorders>
            <w:shd w:val="clear"/>
            <w:vAlign w:val="center"/>
          </w:tcPr>
          <w:p w14:paraId="762629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经济维度</w:t>
            </w:r>
          </w:p>
        </w:tc>
      </w:tr>
      <w:tr w14:paraId="3700FDEB">
        <w:trPr>
          <w:trHeight w:val="340" w:hRule="atLeast"/>
        </w:trPr>
        <w:tc>
          <w:tcPr>
            <w:tcW w:w="1901" w:type="dxa"/>
            <w:tcBorders>
              <w:top w:val="single" w:color="000000" w:sz="4" w:space="0"/>
              <w:left w:val="single" w:color="000000" w:sz="4" w:space="0"/>
              <w:bottom w:val="single" w:color="000000" w:sz="4" w:space="0"/>
              <w:right w:val="single" w:color="000000" w:sz="4" w:space="0"/>
            </w:tcBorders>
            <w:shd w:val="clear"/>
            <w:vAlign w:val="center"/>
          </w:tcPr>
          <w:p w14:paraId="0FFFE1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医生</w:t>
            </w:r>
          </w:p>
        </w:tc>
        <w:tc>
          <w:tcPr>
            <w:tcW w:w="1385" w:type="dxa"/>
            <w:tcBorders>
              <w:top w:val="single" w:color="000000" w:sz="4" w:space="0"/>
              <w:left w:val="single" w:color="000000" w:sz="4" w:space="0"/>
              <w:bottom w:val="single" w:color="000000" w:sz="4" w:space="0"/>
              <w:right w:val="single" w:color="000000" w:sz="4" w:space="0"/>
            </w:tcBorders>
            <w:shd w:val="clear"/>
            <w:vAlign w:val="center"/>
          </w:tcPr>
          <w:p w14:paraId="27CAE6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4.43</w:t>
            </w:r>
          </w:p>
        </w:tc>
        <w:tc>
          <w:tcPr>
            <w:tcW w:w="1384" w:type="dxa"/>
            <w:tcBorders>
              <w:top w:val="single" w:color="000000" w:sz="4" w:space="0"/>
              <w:left w:val="single" w:color="000000" w:sz="4" w:space="0"/>
              <w:bottom w:val="single" w:color="000000" w:sz="4" w:space="0"/>
              <w:right w:val="single" w:color="000000" w:sz="4" w:space="0"/>
            </w:tcBorders>
            <w:shd w:val="clear"/>
            <w:vAlign w:val="center"/>
          </w:tcPr>
          <w:p w14:paraId="48A380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3.47</w:t>
            </w:r>
          </w:p>
        </w:tc>
        <w:tc>
          <w:tcPr>
            <w:tcW w:w="1441" w:type="dxa"/>
            <w:tcBorders>
              <w:top w:val="single" w:color="000000" w:sz="4" w:space="0"/>
              <w:left w:val="single" w:color="000000" w:sz="4" w:space="0"/>
              <w:bottom w:val="single" w:color="000000" w:sz="4" w:space="0"/>
              <w:right w:val="single" w:color="000000" w:sz="4" w:space="0"/>
            </w:tcBorders>
            <w:shd w:val="clear"/>
            <w:vAlign w:val="center"/>
          </w:tcPr>
          <w:p w14:paraId="69116E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1.47</w:t>
            </w:r>
          </w:p>
        </w:tc>
        <w:tc>
          <w:tcPr>
            <w:tcW w:w="1342" w:type="dxa"/>
            <w:tcBorders>
              <w:top w:val="single" w:color="000000" w:sz="4" w:space="0"/>
              <w:left w:val="single" w:color="000000" w:sz="4" w:space="0"/>
              <w:bottom w:val="single" w:color="000000" w:sz="4" w:space="0"/>
              <w:right w:val="single" w:color="000000" w:sz="4" w:space="0"/>
            </w:tcBorders>
            <w:shd w:val="clear"/>
            <w:vAlign w:val="center"/>
          </w:tcPr>
          <w:p w14:paraId="71C96D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2.02</w:t>
            </w:r>
          </w:p>
        </w:tc>
        <w:tc>
          <w:tcPr>
            <w:tcW w:w="1427" w:type="dxa"/>
            <w:tcBorders>
              <w:top w:val="single" w:color="000000" w:sz="4" w:space="0"/>
              <w:left w:val="single" w:color="000000" w:sz="4" w:space="0"/>
              <w:bottom w:val="single" w:color="000000" w:sz="4" w:space="0"/>
              <w:right w:val="single" w:color="000000" w:sz="4" w:space="0"/>
            </w:tcBorders>
            <w:shd w:val="clear"/>
            <w:vAlign w:val="center"/>
          </w:tcPr>
          <w:p w14:paraId="6055245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3.6</w:t>
            </w:r>
          </w:p>
        </w:tc>
      </w:tr>
      <w:tr w14:paraId="7E17B14C">
        <w:trPr>
          <w:trHeight w:val="340" w:hRule="atLeast"/>
        </w:trPr>
        <w:tc>
          <w:tcPr>
            <w:tcW w:w="1901" w:type="dxa"/>
            <w:tcBorders>
              <w:top w:val="single" w:color="000000" w:sz="4" w:space="0"/>
              <w:left w:val="single" w:color="000000" w:sz="4" w:space="0"/>
              <w:bottom w:val="single" w:color="000000" w:sz="4" w:space="0"/>
              <w:right w:val="single" w:color="000000" w:sz="4" w:space="0"/>
            </w:tcBorders>
            <w:shd w:val="clear"/>
            <w:vAlign w:val="center"/>
          </w:tcPr>
          <w:p w14:paraId="6D05C1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药师</w:t>
            </w:r>
          </w:p>
        </w:tc>
        <w:tc>
          <w:tcPr>
            <w:tcW w:w="1385" w:type="dxa"/>
            <w:tcBorders>
              <w:top w:val="single" w:color="000000" w:sz="4" w:space="0"/>
              <w:left w:val="single" w:color="000000" w:sz="4" w:space="0"/>
              <w:bottom w:val="single" w:color="000000" w:sz="4" w:space="0"/>
              <w:right w:val="single" w:color="000000" w:sz="4" w:space="0"/>
            </w:tcBorders>
            <w:shd w:val="clear"/>
            <w:vAlign w:val="center"/>
          </w:tcPr>
          <w:p w14:paraId="6E4369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4.5</w:t>
            </w:r>
          </w:p>
        </w:tc>
        <w:tc>
          <w:tcPr>
            <w:tcW w:w="1384" w:type="dxa"/>
            <w:tcBorders>
              <w:top w:val="single" w:color="000000" w:sz="4" w:space="0"/>
              <w:left w:val="single" w:color="000000" w:sz="4" w:space="0"/>
              <w:bottom w:val="single" w:color="000000" w:sz="4" w:space="0"/>
              <w:right w:val="single" w:color="000000" w:sz="4" w:space="0"/>
            </w:tcBorders>
            <w:shd w:val="clear"/>
            <w:vAlign w:val="center"/>
          </w:tcPr>
          <w:p w14:paraId="56CFBE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3.17</w:t>
            </w:r>
          </w:p>
        </w:tc>
        <w:tc>
          <w:tcPr>
            <w:tcW w:w="1441" w:type="dxa"/>
            <w:tcBorders>
              <w:top w:val="single" w:color="000000" w:sz="4" w:space="0"/>
              <w:left w:val="single" w:color="000000" w:sz="4" w:space="0"/>
              <w:bottom w:val="single" w:color="000000" w:sz="4" w:space="0"/>
              <w:right w:val="single" w:color="000000" w:sz="4" w:space="0"/>
            </w:tcBorders>
            <w:shd w:val="clear"/>
            <w:vAlign w:val="center"/>
          </w:tcPr>
          <w:p w14:paraId="40AC3B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1.5</w:t>
            </w:r>
          </w:p>
        </w:tc>
        <w:tc>
          <w:tcPr>
            <w:tcW w:w="1342" w:type="dxa"/>
            <w:tcBorders>
              <w:top w:val="single" w:color="000000" w:sz="4" w:space="0"/>
              <w:left w:val="single" w:color="000000" w:sz="4" w:space="0"/>
              <w:bottom w:val="single" w:color="000000" w:sz="4" w:space="0"/>
              <w:right w:val="single" w:color="000000" w:sz="4" w:space="0"/>
            </w:tcBorders>
            <w:shd w:val="clear"/>
            <w:vAlign w:val="center"/>
          </w:tcPr>
          <w:p w14:paraId="500E68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1.67</w:t>
            </w:r>
          </w:p>
        </w:tc>
        <w:tc>
          <w:tcPr>
            <w:tcW w:w="1427" w:type="dxa"/>
            <w:tcBorders>
              <w:top w:val="single" w:color="000000" w:sz="4" w:space="0"/>
              <w:left w:val="single" w:color="000000" w:sz="4" w:space="0"/>
              <w:bottom w:val="single" w:color="000000" w:sz="4" w:space="0"/>
              <w:right w:val="single" w:color="000000" w:sz="4" w:space="0"/>
            </w:tcBorders>
            <w:shd w:val="clear"/>
            <w:vAlign w:val="center"/>
          </w:tcPr>
          <w:p w14:paraId="4AA48D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4.17</w:t>
            </w:r>
          </w:p>
        </w:tc>
      </w:tr>
      <w:tr w14:paraId="5CA7F389">
        <w:trPr>
          <w:trHeight w:val="680" w:hRule="atLeast"/>
        </w:trPr>
        <w:tc>
          <w:tcPr>
            <w:tcW w:w="1901" w:type="dxa"/>
            <w:tcBorders>
              <w:top w:val="single" w:color="000000" w:sz="4" w:space="0"/>
              <w:left w:val="single" w:color="000000" w:sz="4" w:space="0"/>
              <w:bottom w:val="single" w:color="000000" w:sz="4" w:space="0"/>
              <w:right w:val="single" w:color="000000" w:sz="4" w:space="0"/>
            </w:tcBorders>
            <w:shd w:val="clear"/>
            <w:vAlign w:val="center"/>
          </w:tcPr>
          <w:p w14:paraId="505958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医院管理人员</w:t>
            </w:r>
          </w:p>
        </w:tc>
        <w:tc>
          <w:tcPr>
            <w:tcW w:w="1385" w:type="dxa"/>
            <w:tcBorders>
              <w:top w:val="single" w:color="000000" w:sz="4" w:space="0"/>
              <w:left w:val="single" w:color="000000" w:sz="4" w:space="0"/>
              <w:bottom w:val="single" w:color="000000" w:sz="4" w:space="0"/>
              <w:right w:val="single" w:color="000000" w:sz="4" w:space="0"/>
            </w:tcBorders>
            <w:shd w:val="clear"/>
            <w:vAlign w:val="center"/>
          </w:tcPr>
          <w:p w14:paraId="3F29B5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4.64</w:t>
            </w:r>
          </w:p>
        </w:tc>
        <w:tc>
          <w:tcPr>
            <w:tcW w:w="1384" w:type="dxa"/>
            <w:tcBorders>
              <w:top w:val="single" w:color="000000" w:sz="4" w:space="0"/>
              <w:left w:val="single" w:color="000000" w:sz="4" w:space="0"/>
              <w:bottom w:val="single" w:color="000000" w:sz="4" w:space="0"/>
              <w:right w:val="single" w:color="000000" w:sz="4" w:space="0"/>
            </w:tcBorders>
            <w:shd w:val="clear"/>
            <w:vAlign w:val="center"/>
          </w:tcPr>
          <w:p w14:paraId="1ABD09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3.07</w:t>
            </w:r>
          </w:p>
        </w:tc>
        <w:tc>
          <w:tcPr>
            <w:tcW w:w="1441" w:type="dxa"/>
            <w:tcBorders>
              <w:top w:val="single" w:color="000000" w:sz="4" w:space="0"/>
              <w:left w:val="single" w:color="000000" w:sz="4" w:space="0"/>
              <w:bottom w:val="single" w:color="000000" w:sz="4" w:space="0"/>
              <w:right w:val="single" w:color="000000" w:sz="4" w:space="0"/>
            </w:tcBorders>
            <w:shd w:val="clear"/>
            <w:vAlign w:val="center"/>
          </w:tcPr>
          <w:p w14:paraId="1A8CD0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1.21</w:t>
            </w:r>
          </w:p>
        </w:tc>
        <w:tc>
          <w:tcPr>
            <w:tcW w:w="1342" w:type="dxa"/>
            <w:tcBorders>
              <w:top w:val="single" w:color="000000" w:sz="4" w:space="0"/>
              <w:left w:val="single" w:color="000000" w:sz="4" w:space="0"/>
              <w:bottom w:val="single" w:color="000000" w:sz="4" w:space="0"/>
              <w:right w:val="single" w:color="000000" w:sz="4" w:space="0"/>
            </w:tcBorders>
            <w:shd w:val="clear"/>
            <w:vAlign w:val="center"/>
          </w:tcPr>
          <w:p w14:paraId="464C64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2.29</w:t>
            </w:r>
          </w:p>
        </w:tc>
        <w:tc>
          <w:tcPr>
            <w:tcW w:w="1427" w:type="dxa"/>
            <w:tcBorders>
              <w:top w:val="single" w:color="000000" w:sz="4" w:space="0"/>
              <w:left w:val="single" w:color="000000" w:sz="4" w:space="0"/>
              <w:bottom w:val="single" w:color="000000" w:sz="4" w:space="0"/>
              <w:right w:val="single" w:color="000000" w:sz="4" w:space="0"/>
            </w:tcBorders>
            <w:shd w:val="clear"/>
            <w:vAlign w:val="center"/>
          </w:tcPr>
          <w:p w14:paraId="65AF0E2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3.79</w:t>
            </w:r>
          </w:p>
        </w:tc>
      </w:tr>
      <w:tr w14:paraId="54DDBE8F">
        <w:trPr>
          <w:trHeight w:val="680" w:hRule="atLeast"/>
        </w:trPr>
        <w:tc>
          <w:tcPr>
            <w:tcW w:w="1901" w:type="dxa"/>
            <w:tcBorders>
              <w:top w:val="single" w:color="000000" w:sz="4" w:space="0"/>
              <w:left w:val="single" w:color="000000" w:sz="4" w:space="0"/>
              <w:bottom w:val="single" w:color="000000" w:sz="4" w:space="0"/>
              <w:right w:val="single" w:color="000000" w:sz="4" w:space="0"/>
            </w:tcBorders>
            <w:shd w:val="clear"/>
            <w:vAlign w:val="center"/>
          </w:tcPr>
          <w:p w14:paraId="15F5FF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医药研究人员</w:t>
            </w:r>
          </w:p>
        </w:tc>
        <w:tc>
          <w:tcPr>
            <w:tcW w:w="1385" w:type="dxa"/>
            <w:tcBorders>
              <w:top w:val="single" w:color="000000" w:sz="4" w:space="0"/>
              <w:left w:val="single" w:color="000000" w:sz="4" w:space="0"/>
              <w:bottom w:val="single" w:color="000000" w:sz="4" w:space="0"/>
              <w:right w:val="single" w:color="000000" w:sz="4" w:space="0"/>
            </w:tcBorders>
            <w:shd w:val="clear"/>
            <w:vAlign w:val="center"/>
          </w:tcPr>
          <w:p w14:paraId="7B1269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4.3</w:t>
            </w:r>
          </w:p>
        </w:tc>
        <w:tc>
          <w:tcPr>
            <w:tcW w:w="1384" w:type="dxa"/>
            <w:tcBorders>
              <w:top w:val="single" w:color="000000" w:sz="4" w:space="0"/>
              <w:left w:val="single" w:color="000000" w:sz="4" w:space="0"/>
              <w:bottom w:val="single" w:color="000000" w:sz="4" w:space="0"/>
              <w:right w:val="single" w:color="000000" w:sz="4" w:space="0"/>
            </w:tcBorders>
            <w:shd w:val="clear"/>
            <w:vAlign w:val="center"/>
          </w:tcPr>
          <w:p w14:paraId="52D6EB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3.26</w:t>
            </w:r>
          </w:p>
        </w:tc>
        <w:tc>
          <w:tcPr>
            <w:tcW w:w="1441" w:type="dxa"/>
            <w:tcBorders>
              <w:top w:val="single" w:color="000000" w:sz="4" w:space="0"/>
              <w:left w:val="single" w:color="000000" w:sz="4" w:space="0"/>
              <w:bottom w:val="single" w:color="000000" w:sz="4" w:space="0"/>
              <w:right w:val="single" w:color="000000" w:sz="4" w:space="0"/>
            </w:tcBorders>
            <w:shd w:val="clear"/>
            <w:vAlign w:val="center"/>
          </w:tcPr>
          <w:p w14:paraId="2EC1C5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1.3</w:t>
            </w:r>
          </w:p>
        </w:tc>
        <w:tc>
          <w:tcPr>
            <w:tcW w:w="1342" w:type="dxa"/>
            <w:tcBorders>
              <w:top w:val="single" w:color="000000" w:sz="4" w:space="0"/>
              <w:left w:val="single" w:color="000000" w:sz="4" w:space="0"/>
              <w:bottom w:val="single" w:color="000000" w:sz="4" w:space="0"/>
              <w:right w:val="single" w:color="000000" w:sz="4" w:space="0"/>
            </w:tcBorders>
            <w:shd w:val="clear"/>
            <w:vAlign w:val="center"/>
          </w:tcPr>
          <w:p w14:paraId="1281FF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2.22</w:t>
            </w:r>
          </w:p>
        </w:tc>
        <w:tc>
          <w:tcPr>
            <w:tcW w:w="1427" w:type="dxa"/>
            <w:tcBorders>
              <w:top w:val="single" w:color="000000" w:sz="4" w:space="0"/>
              <w:left w:val="single" w:color="000000" w:sz="4" w:space="0"/>
              <w:bottom w:val="single" w:color="000000" w:sz="4" w:space="0"/>
              <w:right w:val="single" w:color="000000" w:sz="4" w:space="0"/>
            </w:tcBorders>
            <w:shd w:val="clear"/>
            <w:vAlign w:val="center"/>
          </w:tcPr>
          <w:p w14:paraId="2C1F39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3.93</w:t>
            </w:r>
          </w:p>
        </w:tc>
      </w:tr>
    </w:tbl>
    <w:p w14:paraId="7E739B03">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p>
    <w:p w14:paraId="370E6AE1">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从机构角度来看，医疗机构在排序上突出安全与有效，但经济性的重要性也排在前列，显示其在疗效与支付间寻求平衡。高校与科研院所的创新维度排序靠前，高校均值约为 3.73，科研院所为 3.44，突显学术对原创性价值的推崇。药品监管部门将安全维度排在绝对首位，均值为 1.00，显示监管视角始终把风险最小化作为底线。医疗保障部门和卫生健康管理部门则在经济性与公平性上的排序更靠前，反映出支付方与政策制定者对资源均衡与可负担性的敏感性。制药企业、行业协会和其他类别由于样本量不足，未能形成稳定均值。</w:t>
      </w:r>
    </w:p>
    <w:p w14:paraId="68A7089F">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不同机构在不同维度的评分指标中的平均排序如下表所示：</w:t>
      </w:r>
    </w:p>
    <w:tbl>
      <w:tblPr>
        <w:tblW w:w="8516"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614"/>
        <w:gridCol w:w="1189"/>
        <w:gridCol w:w="1217"/>
        <w:gridCol w:w="1231"/>
        <w:gridCol w:w="1188"/>
        <w:gridCol w:w="1077"/>
      </w:tblGrid>
      <w:tr w14:paraId="4E6FC553">
        <w:trPr>
          <w:trHeight w:val="680" w:hRule="atLeast"/>
        </w:trPr>
        <w:tc>
          <w:tcPr>
            <w:tcW w:w="2614" w:type="dxa"/>
            <w:tcBorders>
              <w:top w:val="single" w:color="000000" w:sz="4" w:space="0"/>
              <w:left w:val="single" w:color="000000" w:sz="4" w:space="0"/>
              <w:bottom w:val="single" w:color="000000" w:sz="4" w:space="0"/>
              <w:right w:val="single" w:color="000000" w:sz="4" w:space="0"/>
            </w:tcBorders>
            <w:shd w:val="clear"/>
            <w:vAlign w:val="center"/>
          </w:tcPr>
          <w:p w14:paraId="2C5B5A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机构类型</w:t>
            </w:r>
          </w:p>
        </w:tc>
        <w:tc>
          <w:tcPr>
            <w:tcW w:w="1189" w:type="dxa"/>
            <w:tcBorders>
              <w:top w:val="single" w:color="000000" w:sz="4" w:space="0"/>
              <w:left w:val="single" w:color="000000" w:sz="4" w:space="0"/>
              <w:bottom w:val="single" w:color="000000" w:sz="4" w:space="0"/>
              <w:right w:val="single" w:color="000000" w:sz="4" w:space="0"/>
            </w:tcBorders>
            <w:shd w:val="clear"/>
            <w:vAlign w:val="center"/>
          </w:tcPr>
          <w:p w14:paraId="658B4F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公平</w:t>
            </w:r>
          </w:p>
          <w:p w14:paraId="5CC3D7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维度</w:t>
            </w:r>
          </w:p>
        </w:tc>
        <w:tc>
          <w:tcPr>
            <w:tcW w:w="1217" w:type="dxa"/>
            <w:tcBorders>
              <w:top w:val="single" w:color="000000" w:sz="4" w:space="0"/>
              <w:left w:val="single" w:color="000000" w:sz="4" w:space="0"/>
              <w:bottom w:val="single" w:color="000000" w:sz="4" w:space="0"/>
              <w:right w:val="single" w:color="000000" w:sz="4" w:space="0"/>
            </w:tcBorders>
            <w:shd w:val="clear"/>
            <w:vAlign w:val="center"/>
          </w:tcPr>
          <w:p w14:paraId="0B1EAC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创新</w:t>
            </w:r>
          </w:p>
          <w:p w14:paraId="7CF241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维度</w:t>
            </w:r>
          </w:p>
        </w:tc>
        <w:tc>
          <w:tcPr>
            <w:tcW w:w="1231" w:type="dxa"/>
            <w:tcBorders>
              <w:top w:val="single" w:color="000000" w:sz="4" w:space="0"/>
              <w:left w:val="single" w:color="000000" w:sz="4" w:space="0"/>
              <w:bottom w:val="single" w:color="000000" w:sz="4" w:space="0"/>
              <w:right w:val="single" w:color="000000" w:sz="4" w:space="0"/>
            </w:tcBorders>
            <w:shd w:val="clear"/>
            <w:vAlign w:val="center"/>
          </w:tcPr>
          <w:p w14:paraId="3B518C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安全</w:t>
            </w:r>
          </w:p>
          <w:p w14:paraId="795ADA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维度</w:t>
            </w:r>
          </w:p>
        </w:tc>
        <w:tc>
          <w:tcPr>
            <w:tcW w:w="1188" w:type="dxa"/>
            <w:tcBorders>
              <w:top w:val="single" w:color="000000" w:sz="4" w:space="0"/>
              <w:left w:val="single" w:color="000000" w:sz="4" w:space="0"/>
              <w:bottom w:val="single" w:color="000000" w:sz="4" w:space="0"/>
              <w:right w:val="single" w:color="000000" w:sz="4" w:space="0"/>
            </w:tcBorders>
            <w:shd w:val="clear"/>
            <w:vAlign w:val="center"/>
          </w:tcPr>
          <w:p w14:paraId="5D8CC5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有效</w:t>
            </w:r>
          </w:p>
          <w:p w14:paraId="757AD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维度</w:t>
            </w:r>
          </w:p>
        </w:tc>
        <w:tc>
          <w:tcPr>
            <w:tcW w:w="1077" w:type="dxa"/>
            <w:tcBorders>
              <w:top w:val="single" w:color="000000" w:sz="4" w:space="0"/>
              <w:left w:val="single" w:color="000000" w:sz="4" w:space="0"/>
              <w:bottom w:val="single" w:color="000000" w:sz="4" w:space="0"/>
              <w:right w:val="single" w:color="000000" w:sz="4" w:space="0"/>
            </w:tcBorders>
            <w:shd w:val="clear"/>
            <w:vAlign w:val="center"/>
          </w:tcPr>
          <w:p w14:paraId="5ED219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经济</w:t>
            </w:r>
          </w:p>
          <w:p w14:paraId="47D6E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bdr w:val="none" w:color="auto" w:sz="0" w:space="0"/>
                <w:lang w:val="en-US" w:eastAsia="zh-CN" w:bidi="ar"/>
              </w:rPr>
              <w:t>维度</w:t>
            </w:r>
          </w:p>
        </w:tc>
      </w:tr>
      <w:tr w14:paraId="3201083D">
        <w:trPr>
          <w:trHeight w:val="340" w:hRule="atLeast"/>
        </w:trPr>
        <w:tc>
          <w:tcPr>
            <w:tcW w:w="2614" w:type="dxa"/>
            <w:tcBorders>
              <w:top w:val="single" w:color="000000" w:sz="4" w:space="0"/>
              <w:left w:val="single" w:color="000000" w:sz="4" w:space="0"/>
              <w:bottom w:val="single" w:color="000000" w:sz="4" w:space="0"/>
              <w:right w:val="single" w:color="000000" w:sz="4" w:space="0"/>
            </w:tcBorders>
            <w:shd w:val="clear"/>
            <w:vAlign w:val="center"/>
          </w:tcPr>
          <w:p w14:paraId="755E7B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医疗机构</w:t>
            </w:r>
          </w:p>
        </w:tc>
        <w:tc>
          <w:tcPr>
            <w:tcW w:w="1189" w:type="dxa"/>
            <w:tcBorders>
              <w:top w:val="single" w:color="000000" w:sz="4" w:space="0"/>
              <w:left w:val="single" w:color="000000" w:sz="4" w:space="0"/>
              <w:bottom w:val="single" w:color="000000" w:sz="4" w:space="0"/>
              <w:right w:val="single" w:color="000000" w:sz="4" w:space="0"/>
            </w:tcBorders>
            <w:shd w:val="clear"/>
            <w:vAlign w:val="center"/>
          </w:tcPr>
          <w:p w14:paraId="31FD07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4.49</w:t>
            </w:r>
          </w:p>
        </w:tc>
        <w:tc>
          <w:tcPr>
            <w:tcW w:w="1217" w:type="dxa"/>
            <w:tcBorders>
              <w:top w:val="single" w:color="000000" w:sz="4" w:space="0"/>
              <w:left w:val="single" w:color="000000" w:sz="4" w:space="0"/>
              <w:bottom w:val="single" w:color="000000" w:sz="4" w:space="0"/>
              <w:right w:val="single" w:color="000000" w:sz="4" w:space="0"/>
            </w:tcBorders>
            <w:shd w:val="clear"/>
            <w:vAlign w:val="center"/>
          </w:tcPr>
          <w:p w14:paraId="71BC495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3.25</w:t>
            </w:r>
          </w:p>
        </w:tc>
        <w:tc>
          <w:tcPr>
            <w:tcW w:w="1231" w:type="dxa"/>
            <w:tcBorders>
              <w:top w:val="single" w:color="000000" w:sz="4" w:space="0"/>
              <w:left w:val="single" w:color="000000" w:sz="4" w:space="0"/>
              <w:bottom w:val="single" w:color="000000" w:sz="4" w:space="0"/>
              <w:right w:val="single" w:color="000000" w:sz="4" w:space="0"/>
            </w:tcBorders>
            <w:shd w:val="clear"/>
            <w:vAlign w:val="center"/>
          </w:tcPr>
          <w:p w14:paraId="075AFF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1.41</w:t>
            </w:r>
          </w:p>
        </w:tc>
        <w:tc>
          <w:tcPr>
            <w:tcW w:w="1188" w:type="dxa"/>
            <w:tcBorders>
              <w:top w:val="single" w:color="000000" w:sz="4" w:space="0"/>
              <w:left w:val="single" w:color="000000" w:sz="4" w:space="0"/>
              <w:bottom w:val="single" w:color="000000" w:sz="4" w:space="0"/>
              <w:right w:val="single" w:color="000000" w:sz="4" w:space="0"/>
            </w:tcBorders>
            <w:shd w:val="clear"/>
            <w:vAlign w:val="center"/>
          </w:tcPr>
          <w:p w14:paraId="78C7672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2.1</w:t>
            </w:r>
          </w:p>
        </w:tc>
        <w:tc>
          <w:tcPr>
            <w:tcW w:w="1077" w:type="dxa"/>
            <w:tcBorders>
              <w:top w:val="single" w:color="000000" w:sz="4" w:space="0"/>
              <w:left w:val="single" w:color="000000" w:sz="4" w:space="0"/>
              <w:bottom w:val="single" w:color="000000" w:sz="4" w:space="0"/>
              <w:right w:val="single" w:color="000000" w:sz="4" w:space="0"/>
            </w:tcBorders>
            <w:shd w:val="clear"/>
            <w:vAlign w:val="center"/>
          </w:tcPr>
          <w:p w14:paraId="05E4275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3.75</w:t>
            </w:r>
          </w:p>
        </w:tc>
      </w:tr>
      <w:tr w14:paraId="52DAD6C7">
        <w:trPr>
          <w:trHeight w:val="340" w:hRule="atLeast"/>
        </w:trPr>
        <w:tc>
          <w:tcPr>
            <w:tcW w:w="2614" w:type="dxa"/>
            <w:tcBorders>
              <w:top w:val="single" w:color="000000" w:sz="4" w:space="0"/>
              <w:left w:val="single" w:color="000000" w:sz="4" w:space="0"/>
              <w:bottom w:val="single" w:color="000000" w:sz="4" w:space="0"/>
              <w:right w:val="single" w:color="000000" w:sz="4" w:space="0"/>
            </w:tcBorders>
            <w:shd w:val="clear"/>
            <w:vAlign w:val="center"/>
          </w:tcPr>
          <w:p w14:paraId="409CE8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高校</w:t>
            </w:r>
          </w:p>
        </w:tc>
        <w:tc>
          <w:tcPr>
            <w:tcW w:w="1189" w:type="dxa"/>
            <w:tcBorders>
              <w:top w:val="single" w:color="000000" w:sz="4" w:space="0"/>
              <w:left w:val="single" w:color="000000" w:sz="4" w:space="0"/>
              <w:bottom w:val="single" w:color="000000" w:sz="4" w:space="0"/>
              <w:right w:val="single" w:color="000000" w:sz="4" w:space="0"/>
            </w:tcBorders>
            <w:shd w:val="clear"/>
            <w:vAlign w:val="center"/>
          </w:tcPr>
          <w:p w14:paraId="5731F6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4.27</w:t>
            </w:r>
          </w:p>
        </w:tc>
        <w:tc>
          <w:tcPr>
            <w:tcW w:w="1217" w:type="dxa"/>
            <w:tcBorders>
              <w:top w:val="single" w:color="000000" w:sz="4" w:space="0"/>
              <w:left w:val="single" w:color="000000" w:sz="4" w:space="0"/>
              <w:bottom w:val="single" w:color="000000" w:sz="4" w:space="0"/>
              <w:right w:val="single" w:color="000000" w:sz="4" w:space="0"/>
            </w:tcBorders>
            <w:shd w:val="clear"/>
            <w:vAlign w:val="center"/>
          </w:tcPr>
          <w:p w14:paraId="320AB31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3.73</w:t>
            </w:r>
          </w:p>
        </w:tc>
        <w:tc>
          <w:tcPr>
            <w:tcW w:w="1231" w:type="dxa"/>
            <w:tcBorders>
              <w:top w:val="single" w:color="000000" w:sz="4" w:space="0"/>
              <w:left w:val="single" w:color="000000" w:sz="4" w:space="0"/>
              <w:bottom w:val="single" w:color="000000" w:sz="4" w:space="0"/>
              <w:right w:val="single" w:color="000000" w:sz="4" w:space="0"/>
            </w:tcBorders>
            <w:shd w:val="clear"/>
            <w:vAlign w:val="center"/>
          </w:tcPr>
          <w:p w14:paraId="12B854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1.33</w:t>
            </w:r>
          </w:p>
        </w:tc>
        <w:tc>
          <w:tcPr>
            <w:tcW w:w="1188" w:type="dxa"/>
            <w:tcBorders>
              <w:top w:val="single" w:color="000000" w:sz="4" w:space="0"/>
              <w:left w:val="single" w:color="000000" w:sz="4" w:space="0"/>
              <w:bottom w:val="single" w:color="000000" w:sz="4" w:space="0"/>
              <w:right w:val="single" w:color="000000" w:sz="4" w:space="0"/>
            </w:tcBorders>
            <w:shd w:val="clear"/>
            <w:vAlign w:val="center"/>
          </w:tcPr>
          <w:p w14:paraId="216CCB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1.73</w:t>
            </w:r>
          </w:p>
        </w:tc>
        <w:tc>
          <w:tcPr>
            <w:tcW w:w="1077" w:type="dxa"/>
            <w:tcBorders>
              <w:top w:val="single" w:color="000000" w:sz="4" w:space="0"/>
              <w:left w:val="single" w:color="000000" w:sz="4" w:space="0"/>
              <w:bottom w:val="single" w:color="000000" w:sz="4" w:space="0"/>
              <w:right w:val="single" w:color="000000" w:sz="4" w:space="0"/>
            </w:tcBorders>
            <w:shd w:val="clear"/>
            <w:vAlign w:val="center"/>
          </w:tcPr>
          <w:p w14:paraId="6BE4F2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3.93</w:t>
            </w:r>
          </w:p>
        </w:tc>
      </w:tr>
      <w:tr w14:paraId="070E8058">
        <w:trPr>
          <w:trHeight w:val="340" w:hRule="atLeast"/>
        </w:trPr>
        <w:tc>
          <w:tcPr>
            <w:tcW w:w="2614" w:type="dxa"/>
            <w:tcBorders>
              <w:top w:val="single" w:color="000000" w:sz="4" w:space="0"/>
              <w:left w:val="single" w:color="000000" w:sz="4" w:space="0"/>
              <w:bottom w:val="single" w:color="000000" w:sz="4" w:space="0"/>
              <w:right w:val="single" w:color="000000" w:sz="4" w:space="0"/>
            </w:tcBorders>
            <w:shd w:val="clear"/>
            <w:vAlign w:val="center"/>
          </w:tcPr>
          <w:p w14:paraId="3B2F01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科研院所</w:t>
            </w:r>
          </w:p>
        </w:tc>
        <w:tc>
          <w:tcPr>
            <w:tcW w:w="1189" w:type="dxa"/>
            <w:tcBorders>
              <w:top w:val="single" w:color="000000" w:sz="4" w:space="0"/>
              <w:left w:val="single" w:color="000000" w:sz="4" w:space="0"/>
              <w:bottom w:val="single" w:color="000000" w:sz="4" w:space="0"/>
              <w:right w:val="single" w:color="000000" w:sz="4" w:space="0"/>
            </w:tcBorders>
            <w:shd w:val="clear"/>
            <w:vAlign w:val="center"/>
          </w:tcPr>
          <w:p w14:paraId="3030032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4.11</w:t>
            </w:r>
          </w:p>
        </w:tc>
        <w:tc>
          <w:tcPr>
            <w:tcW w:w="1217" w:type="dxa"/>
            <w:tcBorders>
              <w:top w:val="single" w:color="000000" w:sz="4" w:space="0"/>
              <w:left w:val="single" w:color="000000" w:sz="4" w:space="0"/>
              <w:bottom w:val="single" w:color="000000" w:sz="4" w:space="0"/>
              <w:right w:val="single" w:color="000000" w:sz="4" w:space="0"/>
            </w:tcBorders>
            <w:shd w:val="clear"/>
            <w:vAlign w:val="center"/>
          </w:tcPr>
          <w:p w14:paraId="14335A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3.44</w:t>
            </w:r>
          </w:p>
        </w:tc>
        <w:tc>
          <w:tcPr>
            <w:tcW w:w="1231" w:type="dxa"/>
            <w:tcBorders>
              <w:top w:val="single" w:color="000000" w:sz="4" w:space="0"/>
              <w:left w:val="single" w:color="000000" w:sz="4" w:space="0"/>
              <w:bottom w:val="single" w:color="000000" w:sz="4" w:space="0"/>
              <w:right w:val="single" w:color="000000" w:sz="4" w:space="0"/>
            </w:tcBorders>
            <w:shd w:val="clear"/>
            <w:vAlign w:val="center"/>
          </w:tcPr>
          <w:p w14:paraId="1E645F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1.22</w:t>
            </w:r>
          </w:p>
        </w:tc>
        <w:tc>
          <w:tcPr>
            <w:tcW w:w="1188" w:type="dxa"/>
            <w:tcBorders>
              <w:top w:val="single" w:color="000000" w:sz="4" w:space="0"/>
              <w:left w:val="single" w:color="000000" w:sz="4" w:space="0"/>
              <w:bottom w:val="single" w:color="000000" w:sz="4" w:space="0"/>
              <w:right w:val="single" w:color="000000" w:sz="4" w:space="0"/>
            </w:tcBorders>
            <w:shd w:val="clear"/>
            <w:vAlign w:val="center"/>
          </w:tcPr>
          <w:p w14:paraId="023438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2.44</w:t>
            </w:r>
          </w:p>
        </w:tc>
        <w:tc>
          <w:tcPr>
            <w:tcW w:w="1077" w:type="dxa"/>
            <w:tcBorders>
              <w:top w:val="single" w:color="000000" w:sz="4" w:space="0"/>
              <w:left w:val="single" w:color="000000" w:sz="4" w:space="0"/>
              <w:bottom w:val="single" w:color="000000" w:sz="4" w:space="0"/>
              <w:right w:val="single" w:color="000000" w:sz="4" w:space="0"/>
            </w:tcBorders>
            <w:shd w:val="clear"/>
            <w:vAlign w:val="center"/>
          </w:tcPr>
          <w:p w14:paraId="0E10F2F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3.78</w:t>
            </w:r>
          </w:p>
        </w:tc>
      </w:tr>
      <w:tr w14:paraId="754FF5CC">
        <w:trPr>
          <w:trHeight w:val="340" w:hRule="atLeast"/>
        </w:trPr>
        <w:tc>
          <w:tcPr>
            <w:tcW w:w="2614" w:type="dxa"/>
            <w:tcBorders>
              <w:top w:val="single" w:color="000000" w:sz="4" w:space="0"/>
              <w:left w:val="single" w:color="000000" w:sz="4" w:space="0"/>
              <w:bottom w:val="single" w:color="000000" w:sz="4" w:space="0"/>
              <w:right w:val="single" w:color="000000" w:sz="4" w:space="0"/>
            </w:tcBorders>
            <w:shd w:val="clear"/>
            <w:vAlign w:val="center"/>
          </w:tcPr>
          <w:p w14:paraId="5C58A3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药品监管部门</w:t>
            </w:r>
          </w:p>
        </w:tc>
        <w:tc>
          <w:tcPr>
            <w:tcW w:w="1189" w:type="dxa"/>
            <w:tcBorders>
              <w:top w:val="single" w:color="000000" w:sz="4" w:space="0"/>
              <w:left w:val="single" w:color="000000" w:sz="4" w:space="0"/>
              <w:bottom w:val="single" w:color="000000" w:sz="4" w:space="0"/>
              <w:right w:val="single" w:color="000000" w:sz="4" w:space="0"/>
            </w:tcBorders>
            <w:shd w:val="clear"/>
            <w:vAlign w:val="center"/>
          </w:tcPr>
          <w:p w14:paraId="2EBA24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4.5</w:t>
            </w:r>
          </w:p>
        </w:tc>
        <w:tc>
          <w:tcPr>
            <w:tcW w:w="1217" w:type="dxa"/>
            <w:tcBorders>
              <w:top w:val="single" w:color="000000" w:sz="4" w:space="0"/>
              <w:left w:val="single" w:color="000000" w:sz="4" w:space="0"/>
              <w:bottom w:val="single" w:color="000000" w:sz="4" w:space="0"/>
              <w:right w:val="single" w:color="000000" w:sz="4" w:space="0"/>
            </w:tcBorders>
            <w:shd w:val="clear"/>
            <w:vAlign w:val="center"/>
          </w:tcPr>
          <w:p w14:paraId="3B92EEB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w:t>
            </w:r>
          </w:p>
        </w:tc>
        <w:tc>
          <w:tcPr>
            <w:tcW w:w="1231" w:type="dxa"/>
            <w:tcBorders>
              <w:top w:val="single" w:color="000000" w:sz="4" w:space="0"/>
              <w:left w:val="single" w:color="000000" w:sz="4" w:space="0"/>
              <w:bottom w:val="single" w:color="000000" w:sz="4" w:space="0"/>
              <w:right w:val="single" w:color="000000" w:sz="4" w:space="0"/>
            </w:tcBorders>
            <w:shd w:val="clear"/>
            <w:vAlign w:val="center"/>
          </w:tcPr>
          <w:p w14:paraId="6EB2720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w:t>
            </w:r>
          </w:p>
        </w:tc>
        <w:tc>
          <w:tcPr>
            <w:tcW w:w="1188" w:type="dxa"/>
            <w:tcBorders>
              <w:top w:val="single" w:color="000000" w:sz="4" w:space="0"/>
              <w:left w:val="single" w:color="000000" w:sz="4" w:space="0"/>
              <w:bottom w:val="single" w:color="000000" w:sz="4" w:space="0"/>
              <w:right w:val="single" w:color="000000" w:sz="4" w:space="0"/>
            </w:tcBorders>
            <w:shd w:val="clear"/>
            <w:vAlign w:val="center"/>
          </w:tcPr>
          <w:p w14:paraId="7F019C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2.5</w:t>
            </w:r>
          </w:p>
        </w:tc>
        <w:tc>
          <w:tcPr>
            <w:tcW w:w="1077" w:type="dxa"/>
            <w:tcBorders>
              <w:top w:val="single" w:color="000000" w:sz="4" w:space="0"/>
              <w:left w:val="single" w:color="000000" w:sz="4" w:space="0"/>
              <w:bottom w:val="single" w:color="000000" w:sz="4" w:space="0"/>
              <w:right w:val="single" w:color="000000" w:sz="4" w:space="0"/>
            </w:tcBorders>
            <w:shd w:val="clear"/>
            <w:vAlign w:val="center"/>
          </w:tcPr>
          <w:p w14:paraId="3B252B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w:t>
            </w:r>
          </w:p>
        </w:tc>
      </w:tr>
      <w:tr w14:paraId="06EFC70C">
        <w:trPr>
          <w:trHeight w:val="340" w:hRule="atLeast"/>
        </w:trPr>
        <w:tc>
          <w:tcPr>
            <w:tcW w:w="2614" w:type="dxa"/>
            <w:tcBorders>
              <w:top w:val="single" w:color="000000" w:sz="4" w:space="0"/>
              <w:left w:val="single" w:color="000000" w:sz="4" w:space="0"/>
              <w:bottom w:val="single" w:color="000000" w:sz="4" w:space="0"/>
              <w:right w:val="single" w:color="000000" w:sz="4" w:space="0"/>
            </w:tcBorders>
            <w:shd w:val="clear"/>
            <w:vAlign w:val="center"/>
          </w:tcPr>
          <w:p w14:paraId="1E422A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医疗保障部门</w:t>
            </w:r>
          </w:p>
        </w:tc>
        <w:tc>
          <w:tcPr>
            <w:tcW w:w="1189" w:type="dxa"/>
            <w:tcBorders>
              <w:top w:val="single" w:color="000000" w:sz="4" w:space="0"/>
              <w:left w:val="single" w:color="000000" w:sz="4" w:space="0"/>
              <w:bottom w:val="single" w:color="000000" w:sz="4" w:space="0"/>
              <w:right w:val="single" w:color="000000" w:sz="4" w:space="0"/>
            </w:tcBorders>
            <w:shd w:val="clear"/>
            <w:vAlign w:val="center"/>
          </w:tcPr>
          <w:p w14:paraId="7C27D16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4.5</w:t>
            </w:r>
          </w:p>
        </w:tc>
        <w:tc>
          <w:tcPr>
            <w:tcW w:w="1217" w:type="dxa"/>
            <w:tcBorders>
              <w:top w:val="single" w:color="000000" w:sz="4" w:space="0"/>
              <w:left w:val="single" w:color="000000" w:sz="4" w:space="0"/>
              <w:bottom w:val="single" w:color="000000" w:sz="4" w:space="0"/>
              <w:right w:val="single" w:color="000000" w:sz="4" w:space="0"/>
            </w:tcBorders>
            <w:shd w:val="clear"/>
            <w:vAlign w:val="center"/>
          </w:tcPr>
          <w:p w14:paraId="61B41A5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w:t>
            </w:r>
          </w:p>
        </w:tc>
        <w:tc>
          <w:tcPr>
            <w:tcW w:w="1231" w:type="dxa"/>
            <w:tcBorders>
              <w:top w:val="single" w:color="000000" w:sz="4" w:space="0"/>
              <w:left w:val="single" w:color="000000" w:sz="4" w:space="0"/>
              <w:bottom w:val="single" w:color="000000" w:sz="4" w:space="0"/>
              <w:right w:val="single" w:color="000000" w:sz="4" w:space="0"/>
            </w:tcBorders>
            <w:shd w:val="clear"/>
            <w:vAlign w:val="center"/>
          </w:tcPr>
          <w:p w14:paraId="01B0BB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1.5</w:t>
            </w:r>
          </w:p>
        </w:tc>
        <w:tc>
          <w:tcPr>
            <w:tcW w:w="1188" w:type="dxa"/>
            <w:tcBorders>
              <w:top w:val="single" w:color="000000" w:sz="4" w:space="0"/>
              <w:left w:val="single" w:color="000000" w:sz="4" w:space="0"/>
              <w:bottom w:val="single" w:color="000000" w:sz="4" w:space="0"/>
              <w:right w:val="single" w:color="000000" w:sz="4" w:space="0"/>
            </w:tcBorders>
            <w:shd w:val="clear"/>
            <w:vAlign w:val="center"/>
          </w:tcPr>
          <w:p w14:paraId="1EB496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w:t>
            </w:r>
          </w:p>
        </w:tc>
        <w:tc>
          <w:tcPr>
            <w:tcW w:w="1077" w:type="dxa"/>
            <w:tcBorders>
              <w:top w:val="single" w:color="000000" w:sz="4" w:space="0"/>
              <w:left w:val="single" w:color="000000" w:sz="4" w:space="0"/>
              <w:bottom w:val="single" w:color="000000" w:sz="4" w:space="0"/>
              <w:right w:val="single" w:color="000000" w:sz="4" w:space="0"/>
            </w:tcBorders>
            <w:shd w:val="clear"/>
            <w:vAlign w:val="center"/>
          </w:tcPr>
          <w:p w14:paraId="473F26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w:t>
            </w:r>
          </w:p>
        </w:tc>
      </w:tr>
      <w:tr w14:paraId="5C5D9CB4">
        <w:trPr>
          <w:trHeight w:val="360" w:hRule="atLeast"/>
        </w:trPr>
        <w:tc>
          <w:tcPr>
            <w:tcW w:w="2614" w:type="dxa"/>
            <w:tcBorders>
              <w:top w:val="single" w:color="000000" w:sz="4" w:space="0"/>
              <w:left w:val="single" w:color="000000" w:sz="4" w:space="0"/>
              <w:bottom w:val="single" w:color="000000" w:sz="4" w:space="0"/>
              <w:right w:val="single" w:color="000000" w:sz="4" w:space="0"/>
            </w:tcBorders>
            <w:shd w:val="clear"/>
            <w:vAlign w:val="center"/>
          </w:tcPr>
          <w:p w14:paraId="3EF6A0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卫生健康管理部门</w:t>
            </w:r>
          </w:p>
        </w:tc>
        <w:tc>
          <w:tcPr>
            <w:tcW w:w="1189" w:type="dxa"/>
            <w:tcBorders>
              <w:top w:val="single" w:color="000000" w:sz="4" w:space="0"/>
              <w:left w:val="single" w:color="000000" w:sz="4" w:space="0"/>
              <w:bottom w:val="single" w:color="000000" w:sz="4" w:space="0"/>
              <w:right w:val="single" w:color="000000" w:sz="4" w:space="0"/>
            </w:tcBorders>
            <w:shd w:val="clear"/>
            <w:vAlign w:val="center"/>
          </w:tcPr>
          <w:p w14:paraId="044929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5</w:t>
            </w:r>
          </w:p>
        </w:tc>
        <w:tc>
          <w:tcPr>
            <w:tcW w:w="1217" w:type="dxa"/>
            <w:tcBorders>
              <w:top w:val="single" w:color="000000" w:sz="4" w:space="0"/>
              <w:left w:val="single" w:color="000000" w:sz="4" w:space="0"/>
              <w:bottom w:val="single" w:color="000000" w:sz="4" w:space="0"/>
              <w:right w:val="single" w:color="000000" w:sz="4" w:space="0"/>
            </w:tcBorders>
            <w:shd w:val="clear"/>
            <w:vAlign w:val="center"/>
          </w:tcPr>
          <w:p w14:paraId="7FA4AA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2</w:t>
            </w:r>
          </w:p>
        </w:tc>
        <w:tc>
          <w:tcPr>
            <w:tcW w:w="1231" w:type="dxa"/>
            <w:tcBorders>
              <w:top w:val="single" w:color="000000" w:sz="4" w:space="0"/>
              <w:left w:val="single" w:color="000000" w:sz="4" w:space="0"/>
              <w:bottom w:val="single" w:color="000000" w:sz="4" w:space="0"/>
              <w:right w:val="single" w:color="000000" w:sz="4" w:space="0"/>
            </w:tcBorders>
            <w:shd w:val="clear"/>
            <w:vAlign w:val="center"/>
          </w:tcPr>
          <w:p w14:paraId="3A6110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3</w:t>
            </w:r>
          </w:p>
        </w:tc>
        <w:tc>
          <w:tcPr>
            <w:tcW w:w="1188" w:type="dxa"/>
            <w:tcBorders>
              <w:top w:val="single" w:color="000000" w:sz="4" w:space="0"/>
              <w:left w:val="single" w:color="000000" w:sz="4" w:space="0"/>
              <w:bottom w:val="single" w:color="000000" w:sz="4" w:space="0"/>
              <w:right w:val="single" w:color="000000" w:sz="4" w:space="0"/>
            </w:tcBorders>
            <w:shd w:val="clear"/>
            <w:vAlign w:val="center"/>
          </w:tcPr>
          <w:p w14:paraId="5319B9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1</w:t>
            </w:r>
          </w:p>
        </w:tc>
        <w:tc>
          <w:tcPr>
            <w:tcW w:w="1077" w:type="dxa"/>
            <w:tcBorders>
              <w:top w:val="single" w:color="000000" w:sz="4" w:space="0"/>
              <w:left w:val="single" w:color="000000" w:sz="4" w:space="0"/>
              <w:bottom w:val="single" w:color="000000" w:sz="4" w:space="0"/>
              <w:right w:val="single" w:color="000000" w:sz="4" w:space="0"/>
            </w:tcBorders>
            <w:shd w:val="clear"/>
            <w:vAlign w:val="center"/>
          </w:tcPr>
          <w:p w14:paraId="4A825F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bdr w:val="none" w:color="auto" w:sz="0" w:space="0"/>
                <w:lang w:val="en-US" w:eastAsia="zh-CN" w:bidi="ar"/>
              </w:rPr>
              <w:t>4</w:t>
            </w:r>
          </w:p>
        </w:tc>
      </w:tr>
    </w:tbl>
    <w:p w14:paraId="0C2DC1DB">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通过对比职业与机构的差异，可以看到安全与有效是跨群体的共识核心，而经济、创新与公平则因角色和职责不同而展现多元化的排序结果。</w:t>
      </w:r>
    </w:p>
    <w:p w14:paraId="37585B75">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p>
    <w:p w14:paraId="65B53E4E">
      <w:pPr>
        <w:keepNext w:val="0"/>
        <w:keepLines w:val="0"/>
        <w:pageBreakBefore w:val="0"/>
        <w:numPr>
          <w:ilvl w:val="0"/>
          <w:numId w:val="0"/>
        </w:numPr>
        <w:kinsoku/>
        <w:wordWrap/>
        <w:overflowPunct/>
        <w:topLinePunct w:val="0"/>
        <w:autoSpaceDE/>
        <w:autoSpaceDN/>
        <w:bidi w:val="0"/>
        <w:adjustRightInd/>
        <w:snapToGrid/>
        <w:ind w:leftChars="0" w:firstLine="560" w:firstLineChars="200"/>
        <w:rPr>
          <w:rFonts w:hint="eastAsia" w:ascii="仿宋_GB2312" w:hAnsi="仿宋_GB2312" w:eastAsia="仿宋_GB2312" w:cs="仿宋_GB2312"/>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BD960D"/>
    <w:multiLevelType w:val="singleLevel"/>
    <w:tmpl w:val="24BD960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Y2YzUyM2E2MTFlMDYxMzIxNjI0YmY3Y2IzYjc5Y2EifQ=="/>
  </w:docVars>
  <w:rsids>
    <w:rsidRoot w:val="00000000"/>
    <w:rsid w:val="55B474DA"/>
    <w:rsid w:val="781F6D36"/>
    <w:rsid w:val="DCD79B41"/>
    <w:rsid w:val="FE6CB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hart" Target="charts/chart6.xml"/><Relationship Id="rId8" Type="http://schemas.openxmlformats.org/officeDocument/2006/relationships/chart" Target="charts/chart5.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hart" Target="charts/chart9.xml"/><Relationship Id="rId11" Type="http://schemas.openxmlformats.org/officeDocument/2006/relationships/chart" Target="charts/chart8.xml"/><Relationship Id="rId10" Type="http://schemas.openxmlformats.org/officeDocument/2006/relationships/chart" Target="charts/chart7.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Users/moonshot/Desktop/&#25112;&#30053;&#38498;/&#33647;&#20225;&#39033;&#30446;-&#21019;&#26032;&#33647;/&#35843;&#26597;&#38382;&#21367;/02_&#25552;&#21462;&#30340;&#25968;&#25454;&#25991;&#20214;/&#25490;&#24207;&#21518;_PARTA_&#38382;&#21367;&#25968;&#25454;_&#20998;&#26512;&#32467;&#2652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Users/moonshot/Desktop/&#25112;&#30053;&#38498;/&#33647;&#20225;&#39033;&#30446;-&#21019;&#26032;&#33647;/&#35843;&#26597;&#38382;&#21367;/02_&#25552;&#21462;&#30340;&#25968;&#25454;&#25991;&#20214;/&#25490;&#24207;&#21518;_PARTA_&#38382;&#21367;&#25968;&#25454;_&#20998;&#26512;&#32467;&#2652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Users/moonshot/Desktop/&#25112;&#30053;&#38498;/&#33647;&#20225;&#39033;&#30446;-&#21019;&#26032;&#33647;/&#35843;&#26597;&#38382;&#21367;/02_&#25552;&#21462;&#30340;&#25968;&#25454;&#25991;&#20214;/&#25490;&#24207;&#21518;_PARTA_&#38382;&#21367;&#25968;&#25454;_&#20998;&#26512;&#32467;&#26524;.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Users/moonshot/Desktop/&#25112;&#30053;&#38498;/&#33647;&#20225;&#39033;&#30446;-&#21019;&#26032;&#33647;/&#35843;&#26597;&#38382;&#21367;/02_&#25552;&#21462;&#30340;&#25968;&#25454;&#25991;&#20214;/&#25490;&#24207;&#21518;_PARTA_&#38382;&#21367;&#25968;&#25454;_&#20998;&#26512;&#32467;&#26524;.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Users/moonshot/Desktop/&#25112;&#30053;&#38498;/&#33647;&#20225;&#39033;&#30446;-&#21019;&#26032;&#33647;/&#35843;&#26597;&#38382;&#21367;/02_&#25552;&#21462;&#30340;&#25968;&#25454;&#25991;&#20214;/&#25490;&#24207;&#21518;_PARTB_&#38382;&#21367;&#25968;&#25454;_&#20998;&#26512;&#32467;&#26524;.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Users/moonshot/Desktop/&#25112;&#30053;&#38498;/&#33647;&#20225;&#39033;&#30446;-&#21019;&#26032;&#33647;/&#35843;&#26597;&#38382;&#21367;/02_&#25552;&#21462;&#30340;&#25968;&#25454;&#25991;&#20214;/&#25490;&#24207;&#21518;_PARTB_&#38382;&#21367;&#25968;&#25454;_&#20998;&#26512;&#32467;&#26524;.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Users/moonshot/Desktop/&#25112;&#30053;&#38498;/&#33647;&#20225;&#39033;&#30446;-&#21019;&#26032;&#33647;/&#35843;&#26597;&#38382;&#21367;/02_&#25552;&#21462;&#30340;&#25968;&#25454;&#25991;&#20214;/&#25490;&#24207;&#21518;_PARTB_&#38382;&#21367;&#25968;&#25454;_&#20998;&#26512;&#32467;&#26524;.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Users/moonshot/Desktop/&#25112;&#30053;&#38498;/&#33647;&#20225;&#39033;&#30446;-&#21019;&#26032;&#33647;/&#35843;&#26597;&#38382;&#21367;/02_&#25552;&#21462;&#30340;&#25968;&#25454;&#25991;&#20214;/&#25490;&#24207;&#21518;_PARTB_&#38382;&#21367;&#25968;&#25454;_&#20998;&#26512;&#32467;&#26524;.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Users/moonshot/Desktop/&#25112;&#30053;&#38498;/&#33647;&#20225;&#39033;&#30446;-&#21019;&#26032;&#33647;/&#35843;&#26597;&#38382;&#21367;/02_&#25552;&#21462;&#30340;&#25968;&#25454;&#25991;&#20214;/&#25490;&#24207;&#21518;_PARTB_&#38382;&#21367;&#25968;&#25454;_&#20998;&#26512;&#32467;&#2652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solidFill>
                <a:latin typeface="仿宋_GB2312" charset="0"/>
                <a:ea typeface="仿宋_GB2312" charset="0"/>
                <a:cs typeface="仿宋_GB2312" charset="0"/>
                <a:sym typeface="仿宋_GB2312" charset="0"/>
              </a:defRPr>
            </a:pPr>
            <a:r>
              <a:rPr lang="en-US" altLang="zh-CN">
                <a:solidFill>
                  <a:schemeClr val="tx1"/>
                </a:solidFill>
              </a:rPr>
              <a:t>问卷样本职业分布占比</a:t>
            </a:r>
            <a:endParaRPr>
              <a:solidFill>
                <a:schemeClr val="tx1"/>
              </a:solidFill>
            </a:endParaRPr>
          </a:p>
        </c:rich>
      </c:tx>
      <c:layout/>
      <c:overlay val="0"/>
      <c:spPr>
        <a:noFill/>
        <a:ln>
          <a:noFill/>
        </a:ln>
        <a:effectLst/>
      </c:spPr>
    </c:title>
    <c:autoTitleDeleted val="0"/>
    <c:plotArea>
      <c:layout/>
      <c:pieChart>
        <c:varyColors val="1"/>
        <c:ser>
          <c:idx val="0"/>
          <c:order val="0"/>
          <c:spPr/>
          <c:explosion val="0"/>
          <c:dPt>
            <c:idx val="0"/>
            <c:bubble3D val="0"/>
            <c:spPr>
              <a:solidFill>
                <a:schemeClr val="accent1">
                  <a:lumMod val="75000"/>
                </a:schemeClr>
              </a:solidFill>
              <a:ln>
                <a:solidFill>
                  <a:schemeClr val="bg1"/>
                </a:solidFill>
              </a:ln>
              <a:effectLst/>
            </c:spPr>
          </c:dPt>
          <c:dPt>
            <c:idx val="1"/>
            <c:bubble3D val="0"/>
            <c:spPr>
              <a:solidFill>
                <a:schemeClr val="accent1">
                  <a:lumMod val="60000"/>
                  <a:lumOff val="40000"/>
                </a:schemeClr>
              </a:solidFill>
              <a:ln>
                <a:solidFill>
                  <a:schemeClr val="bg1"/>
                </a:solidFill>
              </a:ln>
              <a:effectLst/>
            </c:spPr>
          </c:dPt>
          <c:dPt>
            <c:idx val="2"/>
            <c:bubble3D val="0"/>
            <c:spPr>
              <a:solidFill>
                <a:schemeClr val="accent1">
                  <a:lumMod val="40000"/>
                  <a:lumOff val="60000"/>
                </a:schemeClr>
              </a:solidFill>
              <a:ln>
                <a:solidFill>
                  <a:schemeClr val="bg1"/>
                </a:solidFill>
              </a:ln>
              <a:effectLst/>
            </c:spPr>
          </c:dPt>
          <c:dPt>
            <c:idx val="3"/>
            <c:bubble3D val="0"/>
            <c:spPr>
              <a:solidFill>
                <a:schemeClr val="accent1">
                  <a:lumMod val="20000"/>
                  <a:lumOff val="80000"/>
                </a:schemeClr>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[排序后_PARTA_问卷数据_分析结果.xlsx]A1_统计分析!$A$2:$A$5</c:f>
              <c:strCache>
                <c:ptCount val="4"/>
                <c:pt idx="0">
                  <c:v>医生</c:v>
                </c:pt>
                <c:pt idx="1">
                  <c:v>医药研究人员</c:v>
                </c:pt>
                <c:pt idx="2">
                  <c:v>医院管理人员</c:v>
                </c:pt>
                <c:pt idx="3">
                  <c:v>药师</c:v>
                </c:pt>
              </c:strCache>
            </c:strRef>
          </c:cat>
          <c:val>
            <c:numRef>
              <c:f>[排序后_PARTA_问卷数据_分析结果.xlsx]A1_统计分析!$C$2:$C$5</c:f>
              <c:numCache>
                <c:formatCode>0%</c:formatCode>
                <c:ptCount val="4"/>
                <c:pt idx="0">
                  <c:v>0.53</c:v>
                </c:pt>
                <c:pt idx="1">
                  <c:v>0.27</c:v>
                </c:pt>
                <c:pt idx="2">
                  <c:v>0.14</c:v>
                </c:pt>
                <c:pt idx="3">
                  <c:v>0.06</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1"/>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2"/>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3"/>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ayout>
        <c:manualLayout>
          <c:xMode val="edge"/>
          <c:yMode val="edge"/>
          <c:x val="0.660532428086475"/>
          <c:y val="0.40274250888776"/>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
    <c:plotVisOnly val="1"/>
    <c:dispBlanksAs val="gap"/>
    <c:showDLblsOverMax val="0"/>
  </c:chart>
  <c:spPr>
    <a:noFill/>
    <a:ln w="9525" cap="flat" cmpd="sng" algn="ctr">
      <a:noFill/>
      <a:prstDash val="solid"/>
      <a:round/>
    </a:ln>
    <a:effectLst/>
  </c:spPr>
  <c:txPr>
    <a:bodyPr/>
    <a:lstStyle/>
    <a:p>
      <a:pPr>
        <a:defRPr lang="zh-CN" b="1">
          <a:solidFill>
            <a:schemeClr val="tx1"/>
          </a:solidFill>
          <a:latin typeface="仿宋_GB2312" charset="0"/>
          <a:ea typeface="仿宋_GB2312" charset="0"/>
          <a:cs typeface="仿宋_GB2312" charset="0"/>
          <a:sym typeface="仿宋_GB2312"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solidFill>
                <a:latin typeface="仿宋_GB2312" charset="0"/>
                <a:ea typeface="仿宋_GB2312" charset="0"/>
                <a:cs typeface="仿宋_GB2312" charset="0"/>
                <a:sym typeface="仿宋_GB2312" charset="0"/>
              </a:defRPr>
            </a:pPr>
            <a:r>
              <a:rPr lang="en-US" altLang="zh-CN">
                <a:solidFill>
                  <a:schemeClr val="tx1"/>
                </a:solidFill>
              </a:rPr>
              <a:t>问卷样本所在机构类型分布占比</a:t>
            </a:r>
            <a:endParaRPr>
              <a:solidFill>
                <a:schemeClr val="tx1"/>
              </a:solidFill>
            </a:endParaRPr>
          </a:p>
        </c:rich>
      </c:tx>
      <c:layout>
        <c:manualLayout>
          <c:xMode val="edge"/>
          <c:yMode val="edge"/>
          <c:x val="0.206984667802385"/>
          <c:y val="0.00866634569090034"/>
        </c:manualLayout>
      </c:layout>
      <c:overlay val="0"/>
      <c:spPr>
        <a:noFill/>
        <a:ln>
          <a:noFill/>
        </a:ln>
        <a:effectLst/>
      </c:spPr>
    </c:title>
    <c:autoTitleDeleted val="0"/>
    <c:plotArea>
      <c:layout/>
      <c:pieChart>
        <c:varyColors val="1"/>
        <c:ser>
          <c:idx val="0"/>
          <c:order val="0"/>
          <c:spPr/>
          <c:explosion val="0"/>
          <c:dPt>
            <c:idx val="0"/>
            <c:bubble3D val="0"/>
            <c:spPr>
              <a:solidFill>
                <a:schemeClr val="accent1">
                  <a:lumMod val="75000"/>
                </a:schemeClr>
              </a:solidFill>
              <a:ln>
                <a:solidFill>
                  <a:schemeClr val="bg1"/>
                </a:solidFill>
              </a:ln>
              <a:effectLst/>
            </c:spPr>
          </c:dPt>
          <c:dPt>
            <c:idx val="1"/>
            <c:bubble3D val="0"/>
            <c:spPr>
              <a:solidFill>
                <a:schemeClr val="tx2">
                  <a:lumMod val="60000"/>
                  <a:lumOff val="40000"/>
                </a:schemeClr>
              </a:solidFill>
              <a:ln>
                <a:solidFill>
                  <a:schemeClr val="bg1"/>
                </a:solidFill>
              </a:ln>
              <a:effectLst/>
            </c:spPr>
          </c:dPt>
          <c:dPt>
            <c:idx val="2"/>
            <c:bubble3D val="0"/>
            <c:spPr>
              <a:solidFill>
                <a:schemeClr val="tx2">
                  <a:lumMod val="40000"/>
                  <a:lumOff val="60000"/>
                </a:schemeClr>
              </a:solidFill>
              <a:ln>
                <a:solidFill>
                  <a:schemeClr val="bg1"/>
                </a:solidFill>
              </a:ln>
              <a:effectLst/>
            </c:spPr>
          </c:dPt>
          <c:dPt>
            <c:idx val="3"/>
            <c:bubble3D val="0"/>
            <c:spPr>
              <a:solidFill>
                <a:schemeClr val="accent1">
                  <a:lumMod val="40000"/>
                  <a:lumOff val="60000"/>
                </a:schemeClr>
              </a:solidFill>
              <a:ln>
                <a:solidFill>
                  <a:schemeClr val="bg1"/>
                </a:solidFill>
              </a:ln>
              <a:effectLst/>
            </c:spPr>
          </c:dPt>
          <c:dPt>
            <c:idx val="4"/>
            <c:bubble3D val="0"/>
            <c:spPr>
              <a:solidFill>
                <a:schemeClr val="tx2">
                  <a:lumMod val="20000"/>
                  <a:lumOff val="80000"/>
                </a:schemeClr>
              </a:solidFill>
              <a:ln>
                <a:solidFill>
                  <a:schemeClr val="bg1"/>
                </a:solidFill>
              </a:ln>
              <a:effectLst/>
            </c:spPr>
          </c:dPt>
          <c:dPt>
            <c:idx val="5"/>
            <c:bubble3D val="0"/>
            <c:spPr>
              <a:solidFill>
                <a:schemeClr val="accent1">
                  <a:lumMod val="20000"/>
                  <a:lumOff val="80000"/>
                </a:schemeClr>
              </a:solidFill>
              <a:ln>
                <a:solidFill>
                  <a:schemeClr val="bg1"/>
                </a:solidFill>
              </a:ln>
              <a:effectLst/>
            </c:spPr>
          </c:dPt>
          <c:dLbls>
            <c:dLbl>
              <c:idx val="3"/>
              <c:layout>
                <c:manualLayout>
                  <c:x val="-0.0523123472046667"/>
                  <c:y val="0.00546253958517418"/>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288303982081832"/>
                  <c:y val="-0.0264878778681681"/>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419632958341224"/>
                  <c:y val="0.00145803354639172"/>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[排序后_PARTA_问卷数据_分析结果.xlsx]A2_统计分析!$A$2:$A$7</c:f>
              <c:strCache>
                <c:ptCount val="6"/>
                <c:pt idx="0">
                  <c:v>医疗机构</c:v>
                </c:pt>
                <c:pt idx="1">
                  <c:v>高校</c:v>
                </c:pt>
                <c:pt idx="2">
                  <c:v>科研院所</c:v>
                </c:pt>
                <c:pt idx="3">
                  <c:v>药品监管部门</c:v>
                </c:pt>
                <c:pt idx="4">
                  <c:v>医疗保障部门</c:v>
                </c:pt>
                <c:pt idx="5">
                  <c:v>卫生健康管理部门</c:v>
                </c:pt>
              </c:strCache>
            </c:strRef>
          </c:cat>
          <c:val>
            <c:numRef>
              <c:f>[排序后_PARTA_问卷数据_分析结果.xlsx]A2_统计分析!$C$2:$C$7</c:f>
              <c:numCache>
                <c:formatCode>0%</c:formatCode>
                <c:ptCount val="6"/>
                <c:pt idx="0">
                  <c:v>0.71</c:v>
                </c:pt>
                <c:pt idx="1">
                  <c:v>0.15</c:v>
                </c:pt>
                <c:pt idx="2">
                  <c:v>0.09</c:v>
                </c:pt>
                <c:pt idx="3">
                  <c:v>0.02</c:v>
                </c:pt>
                <c:pt idx="4">
                  <c:v>0.02</c:v>
                </c:pt>
                <c:pt idx="5">
                  <c:v>0.01</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1"/>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2"/>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3"/>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ayout>
        <c:manualLayout>
          <c:xMode val="edge"/>
          <c:yMode val="edge"/>
          <c:x val="0.660532428086475"/>
          <c:y val="0.40274250888776"/>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
    <c:plotVisOnly val="1"/>
    <c:dispBlanksAs val="gap"/>
    <c:showDLblsOverMax val="0"/>
  </c:chart>
  <c:spPr>
    <a:noFill/>
    <a:ln w="9525" cap="flat" cmpd="sng" algn="ctr">
      <a:noFill/>
      <a:prstDash val="solid"/>
      <a:round/>
    </a:ln>
    <a:effectLst/>
  </c:spPr>
  <c:txPr>
    <a:bodyPr/>
    <a:lstStyle/>
    <a:p>
      <a:pPr>
        <a:defRPr lang="zh-CN" b="1">
          <a:solidFill>
            <a:schemeClr val="tx1"/>
          </a:solidFill>
          <a:latin typeface="仿宋_GB2312" charset="0"/>
          <a:ea typeface="仿宋_GB2312" charset="0"/>
          <a:cs typeface="仿宋_GB2312" charset="0"/>
          <a:sym typeface="仿宋_GB2312" charset="0"/>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solidFill>
                <a:latin typeface="仿宋_GB2312" charset="0"/>
                <a:ea typeface="仿宋_GB2312" charset="0"/>
                <a:cs typeface="仿宋_GB2312" charset="0"/>
                <a:sym typeface="仿宋_GB2312" charset="0"/>
              </a:defRPr>
            </a:pPr>
            <a:r>
              <a:rPr lang="en-US" altLang="zh-CN">
                <a:solidFill>
                  <a:schemeClr val="tx1"/>
                </a:solidFill>
              </a:rPr>
              <a:t>问卷样本从事创新药相关工作的年限分布占比</a:t>
            </a:r>
            <a:endParaRPr>
              <a:solidFill>
                <a:schemeClr val="tx1"/>
              </a:solidFill>
            </a:endParaRPr>
          </a:p>
        </c:rich>
      </c:tx>
      <c:layout>
        <c:manualLayout>
          <c:xMode val="edge"/>
          <c:yMode val="edge"/>
          <c:x val="0.206984667802385"/>
          <c:y val="0.00866634569090034"/>
        </c:manualLayout>
      </c:layout>
      <c:overlay val="0"/>
      <c:spPr>
        <a:noFill/>
        <a:ln>
          <a:noFill/>
        </a:ln>
        <a:effectLst/>
      </c:spPr>
    </c:title>
    <c:autoTitleDeleted val="0"/>
    <c:plotArea>
      <c:layout/>
      <c:pieChart>
        <c:varyColors val="1"/>
        <c:ser>
          <c:idx val="0"/>
          <c:order val="0"/>
          <c:spPr/>
          <c:explosion val="0"/>
          <c:dPt>
            <c:idx val="0"/>
            <c:bubble3D val="0"/>
            <c:spPr>
              <a:solidFill>
                <a:schemeClr val="accent1">
                  <a:lumMod val="75000"/>
                </a:schemeClr>
              </a:solidFill>
              <a:ln>
                <a:solidFill>
                  <a:schemeClr val="bg1"/>
                </a:solidFill>
              </a:ln>
              <a:effectLst/>
            </c:spPr>
          </c:dPt>
          <c:dPt>
            <c:idx val="1"/>
            <c:bubble3D val="0"/>
            <c:spPr>
              <a:solidFill>
                <a:schemeClr val="tx2">
                  <a:lumMod val="60000"/>
                  <a:lumOff val="40000"/>
                </a:schemeClr>
              </a:solidFill>
              <a:ln>
                <a:solidFill>
                  <a:schemeClr val="bg1"/>
                </a:solidFill>
              </a:ln>
              <a:effectLst/>
            </c:spPr>
          </c:dPt>
          <c:dPt>
            <c:idx val="2"/>
            <c:bubble3D val="0"/>
            <c:spPr>
              <a:solidFill>
                <a:schemeClr val="tx2">
                  <a:lumMod val="40000"/>
                  <a:lumOff val="60000"/>
                </a:schemeClr>
              </a:solidFill>
              <a:ln>
                <a:solidFill>
                  <a:schemeClr val="bg1"/>
                </a:solidFill>
              </a:ln>
              <a:effectLst/>
            </c:spPr>
          </c:dPt>
          <c:dPt>
            <c:idx val="3"/>
            <c:bubble3D val="0"/>
            <c:spPr>
              <a:solidFill>
                <a:schemeClr val="accent1">
                  <a:lumMod val="40000"/>
                  <a:lumOff val="60000"/>
                </a:schemeClr>
              </a:solidFill>
              <a:ln>
                <a:solidFill>
                  <a:schemeClr val="bg1"/>
                </a:solidFill>
              </a:ln>
              <a:effectLst/>
            </c:spPr>
          </c:dPt>
          <c:dPt>
            <c:idx val="4"/>
            <c:bubble3D val="0"/>
            <c:spPr>
              <a:solidFill>
                <a:schemeClr val="tx2">
                  <a:lumMod val="20000"/>
                  <a:lumOff val="80000"/>
                </a:schemeClr>
              </a:solidFill>
              <a:ln>
                <a:solidFill>
                  <a:schemeClr val="bg1"/>
                </a:solidFill>
              </a:ln>
              <a:effectLst/>
            </c:spPr>
          </c:dPt>
          <c:dLbls>
            <c:dLbl>
              <c:idx val="3"/>
              <c:layout>
                <c:manualLayout>
                  <c:x val="-0.0523123472046667"/>
                  <c:y val="0.00546253958517418"/>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288303982081832"/>
                  <c:y val="-0.0264878778681681"/>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[排序后_PARTA_问卷数据_分析结果.xlsx]A3_统计分析!$A$2:$A$6</c:f>
              <c:strCache>
                <c:ptCount val="5"/>
                <c:pt idx="0">
                  <c:v>5年以下</c:v>
                </c:pt>
                <c:pt idx="1">
                  <c:v>5-10年</c:v>
                </c:pt>
                <c:pt idx="2">
                  <c:v>11-15年</c:v>
                </c:pt>
                <c:pt idx="3">
                  <c:v>15年以上</c:v>
                </c:pt>
                <c:pt idx="4">
                  <c:v>5年以下  5-10年</c:v>
                </c:pt>
              </c:strCache>
            </c:strRef>
          </c:cat>
          <c:val>
            <c:numRef>
              <c:f>[排序后_PARTA_问卷数据_分析结果.xlsx]A3_统计分析!$C$2:$C$6</c:f>
              <c:numCache>
                <c:formatCode>0%</c:formatCode>
                <c:ptCount val="5"/>
                <c:pt idx="0">
                  <c:v>0.47</c:v>
                </c:pt>
                <c:pt idx="1">
                  <c:v>0.29</c:v>
                </c:pt>
                <c:pt idx="2">
                  <c:v>0.2</c:v>
                </c:pt>
                <c:pt idx="3">
                  <c:v>0.03</c:v>
                </c:pt>
                <c:pt idx="4">
                  <c:v>0.01</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1"/>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2"/>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3"/>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ayout>
        <c:manualLayout>
          <c:xMode val="edge"/>
          <c:yMode val="edge"/>
          <c:x val="0.660532428086475"/>
          <c:y val="0.40274250888776"/>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
    <c:plotVisOnly val="1"/>
    <c:dispBlanksAs val="gap"/>
    <c:showDLblsOverMax val="0"/>
  </c:chart>
  <c:spPr>
    <a:noFill/>
    <a:ln w="9525" cap="flat" cmpd="sng" algn="ctr">
      <a:noFill/>
      <a:prstDash val="solid"/>
      <a:round/>
    </a:ln>
    <a:effectLst/>
  </c:spPr>
  <c:txPr>
    <a:bodyPr/>
    <a:lstStyle/>
    <a:p>
      <a:pPr>
        <a:defRPr lang="zh-CN" b="1">
          <a:solidFill>
            <a:schemeClr val="tx1"/>
          </a:solidFill>
          <a:latin typeface="仿宋_GB2312" charset="0"/>
          <a:ea typeface="仿宋_GB2312" charset="0"/>
          <a:cs typeface="仿宋_GB2312" charset="0"/>
          <a:sym typeface="仿宋_GB2312"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solidFill>
                <a:latin typeface="仿宋_GB2312" charset="0"/>
                <a:ea typeface="仿宋_GB2312" charset="0"/>
                <a:cs typeface="仿宋_GB2312" charset="0"/>
                <a:sym typeface="仿宋_GB2312" charset="0"/>
              </a:defRPr>
            </a:pPr>
            <a:r>
              <a:rPr lang="en-US" altLang="zh-CN">
                <a:solidFill>
                  <a:schemeClr val="tx1"/>
                </a:solidFill>
              </a:rPr>
              <a:t>问卷样本参与药品监管、医疗保障、卫生健康管理等部门创新药相关评审/评价的经验数量分布占比</a:t>
            </a:r>
            <a:endParaRPr>
              <a:solidFill>
                <a:schemeClr val="tx1"/>
              </a:solidFill>
            </a:endParaRPr>
          </a:p>
        </c:rich>
      </c:tx>
      <c:layout>
        <c:manualLayout>
          <c:xMode val="edge"/>
          <c:yMode val="edge"/>
          <c:x val="0.112716984394549"/>
          <c:y val="0.00866634569090034"/>
        </c:manualLayout>
      </c:layout>
      <c:overlay val="0"/>
      <c:spPr>
        <a:noFill/>
        <a:ln>
          <a:noFill/>
        </a:ln>
        <a:effectLst/>
      </c:spPr>
    </c:title>
    <c:autoTitleDeleted val="0"/>
    <c:plotArea>
      <c:layout/>
      <c:pieChart>
        <c:varyColors val="1"/>
        <c:ser>
          <c:idx val="0"/>
          <c:order val="0"/>
          <c:spPr/>
          <c:explosion val="0"/>
          <c:dPt>
            <c:idx val="0"/>
            <c:bubble3D val="0"/>
            <c:spPr>
              <a:solidFill>
                <a:schemeClr val="accent1">
                  <a:lumMod val="75000"/>
                </a:schemeClr>
              </a:solidFill>
              <a:ln>
                <a:solidFill>
                  <a:schemeClr val="bg1"/>
                </a:solidFill>
              </a:ln>
              <a:effectLst/>
            </c:spPr>
          </c:dPt>
          <c:dPt>
            <c:idx val="1"/>
            <c:bubble3D val="0"/>
            <c:spPr>
              <a:solidFill>
                <a:schemeClr val="tx2">
                  <a:lumMod val="60000"/>
                  <a:lumOff val="40000"/>
                </a:schemeClr>
              </a:solidFill>
              <a:ln>
                <a:solidFill>
                  <a:schemeClr val="bg1"/>
                </a:solidFill>
              </a:ln>
              <a:effectLst/>
            </c:spPr>
          </c:dPt>
          <c:dPt>
            <c:idx val="2"/>
            <c:bubble3D val="0"/>
            <c:spPr>
              <a:solidFill>
                <a:schemeClr val="tx2">
                  <a:lumMod val="40000"/>
                  <a:lumOff val="60000"/>
                </a:schemeClr>
              </a:solidFill>
              <a:ln>
                <a:solidFill>
                  <a:schemeClr val="bg1"/>
                </a:solidFill>
              </a:ln>
              <a:effectLst/>
            </c:spPr>
          </c:dPt>
          <c:dPt>
            <c:idx val="3"/>
            <c:bubble3D val="0"/>
            <c:spPr>
              <a:solidFill>
                <a:schemeClr val="accent1">
                  <a:lumMod val="40000"/>
                  <a:lumOff val="60000"/>
                </a:schemeClr>
              </a:solidFill>
              <a:ln>
                <a:solidFill>
                  <a:schemeClr val="bg1"/>
                </a:solidFill>
              </a:ln>
              <a:effectLst/>
            </c:spPr>
          </c:dPt>
          <c:dLbls>
            <c:dLbl>
              <c:idx val="3"/>
              <c:layout>
                <c:manualLayout>
                  <c:x val="0.0199989859533664"/>
                  <c:y val="0.130492769331244"/>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[排序后_PARTA_问卷数据_分析结果.xlsx]A4_统计分析!$A$2:$A$5</c:f>
              <c:strCache>
                <c:ptCount val="4"/>
                <c:pt idx="0">
                  <c:v>无</c:v>
                </c:pt>
                <c:pt idx="1">
                  <c:v>1-5次</c:v>
                </c:pt>
                <c:pt idx="2">
                  <c:v>6-20次</c:v>
                </c:pt>
                <c:pt idx="3">
                  <c:v>20次以上</c:v>
                </c:pt>
              </c:strCache>
            </c:strRef>
          </c:cat>
          <c:val>
            <c:numRef>
              <c:f>[排序后_PARTA_问卷数据_分析结果.xlsx]A4_统计分析!$C$2:$C$5</c:f>
              <c:numCache>
                <c:formatCode>0%</c:formatCode>
                <c:ptCount val="4"/>
                <c:pt idx="0">
                  <c:v>0.48</c:v>
                </c:pt>
                <c:pt idx="1">
                  <c:v>0.31</c:v>
                </c:pt>
                <c:pt idx="2">
                  <c:v>0.14</c:v>
                </c:pt>
                <c:pt idx="3">
                  <c:v>0.07</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1"/>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2"/>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egendEntry>
        <c:idx val="3"/>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Entry>
      <c:layout>
        <c:manualLayout>
          <c:xMode val="edge"/>
          <c:yMode val="edge"/>
          <c:x val="0.660532428086475"/>
          <c:y val="0.40274250888776"/>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solidFill>
              <a:latin typeface="仿宋_GB2312" charset="0"/>
              <a:ea typeface="仿宋_GB2312" charset="0"/>
              <a:cs typeface="仿宋_GB2312" charset="0"/>
              <a:sym typeface="仿宋_GB2312" charset="0"/>
            </a:defRPr>
          </a:pPr>
        </a:p>
      </c:txPr>
    </c:legend>
    <c:plotVisOnly val="1"/>
    <c:dispBlanksAs val="gap"/>
    <c:showDLblsOverMax val="0"/>
  </c:chart>
  <c:spPr>
    <a:noFill/>
    <a:ln w="9525" cap="flat" cmpd="sng" algn="ctr">
      <a:noFill/>
      <a:prstDash val="solid"/>
      <a:round/>
    </a:ln>
    <a:effectLst/>
  </c:spPr>
  <c:txPr>
    <a:bodyPr/>
    <a:lstStyle/>
    <a:p>
      <a:pPr>
        <a:defRPr lang="zh-CN" b="1">
          <a:solidFill>
            <a:schemeClr val="tx1"/>
          </a:solidFill>
          <a:latin typeface="仿宋_GB2312" charset="0"/>
          <a:ea typeface="仿宋_GB2312" charset="0"/>
          <a:cs typeface="仿宋_GB2312" charset="0"/>
          <a:sym typeface="仿宋_GB2312" charset="0"/>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仿宋_GB2312" charset="0"/>
                <a:ea typeface="仿宋_GB2312" charset="0"/>
                <a:cs typeface="仿宋_GB2312" charset="0"/>
                <a:sym typeface="仿宋_GB2312" charset="0"/>
              </a:defRPr>
            </a:pPr>
            <a:r>
              <a:rPr sz="1200" b="1">
                <a:solidFill>
                  <a:schemeClr val="tx1"/>
                </a:solidFill>
                <a:latin typeface="仿宋_GB2312" charset="0"/>
                <a:ea typeface="仿宋_GB2312" charset="0"/>
                <a:cs typeface="仿宋_GB2312" charset="0"/>
                <a:sym typeface="仿宋_GB2312" charset="0"/>
              </a:rPr>
              <a:t>安全维度对创新药的重要性</a:t>
            </a:r>
            <a:r>
              <a:rPr lang="en-US" altLang="zh-CN" sz="1200" b="1">
                <a:solidFill>
                  <a:schemeClr val="tx1"/>
                </a:solidFill>
                <a:latin typeface="仿宋_GB2312" charset="0"/>
                <a:ea typeface="仿宋_GB2312" charset="0"/>
                <a:cs typeface="仿宋_GB2312" charset="0"/>
                <a:sym typeface="仿宋_GB2312" charset="0"/>
              </a:rPr>
              <a:t>样本选择频数分布</a:t>
            </a:r>
            <a:endParaRPr sz="1200" b="1">
              <a:solidFill>
                <a:schemeClr val="tx1"/>
              </a:solidFill>
              <a:latin typeface="仿宋_GB2312" charset="0"/>
              <a:ea typeface="仿宋_GB2312" charset="0"/>
              <a:cs typeface="仿宋_GB2312" charset="0"/>
              <a:sym typeface="仿宋_GB2312" charset="0"/>
            </a:endParaRPr>
          </a:p>
        </c:rich>
      </c:tx>
      <c:layout/>
      <c:overlay val="0"/>
      <c:spPr>
        <a:noFill/>
        <a:ln>
          <a:noFill/>
        </a:ln>
        <a:effectLst/>
      </c:spPr>
    </c:title>
    <c:autoTitleDeleted val="0"/>
    <c:plotArea>
      <c:layout/>
      <c:barChart>
        <c:barDir val="col"/>
        <c:grouping val="clustered"/>
        <c:varyColors val="0"/>
        <c:ser>
          <c:idx val="0"/>
          <c:order val="0"/>
          <c:tx>
            <c:strRef>
              <c:f>[排序后_PARTB_问卷数据_分析结果.xlsx]B1_统计分析!$B$1</c:f>
              <c:strCache>
                <c:ptCount val="1"/>
                <c:pt idx="0">
                  <c:v>频数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[排序后_PARTB_问卷数据_分析结果.xlsx]B1_统计分析!$A$2:$A$7</c:f>
              <c:strCache>
                <c:ptCount val="6"/>
                <c:pt idx="0">
                  <c:v>极不重要</c:v>
                </c:pt>
                <c:pt idx="1">
                  <c:v>不重要</c:v>
                </c:pt>
                <c:pt idx="2">
                  <c:v>一般重要</c:v>
                </c:pt>
                <c:pt idx="3">
                  <c:v>重要</c:v>
                </c:pt>
                <c:pt idx="4">
                  <c:v>非常重要</c:v>
                </c:pt>
                <c:pt idx="5">
                  <c:v>极其重要</c:v>
                </c:pt>
              </c:strCache>
            </c:strRef>
          </c:cat>
          <c:val>
            <c:numRef>
              <c:f>[排序后_PARTB_问卷数据_分析结果.xlsx]B1_统计分析!$B$2:$B$7</c:f>
              <c:numCache>
                <c:formatCode>General</c:formatCode>
                <c:ptCount val="6"/>
                <c:pt idx="0">
                  <c:v>9</c:v>
                </c:pt>
                <c:pt idx="1">
                  <c:v>0</c:v>
                </c:pt>
                <c:pt idx="2">
                  <c:v>0</c:v>
                </c:pt>
                <c:pt idx="3">
                  <c:v>6</c:v>
                </c:pt>
                <c:pt idx="4">
                  <c:v>16</c:v>
                </c:pt>
                <c:pt idx="5">
                  <c:v>69</c:v>
                </c:pt>
              </c:numCache>
            </c:numRef>
          </c:val>
        </c:ser>
        <c:dLbls>
          <c:showLegendKey val="0"/>
          <c:showVal val="1"/>
          <c:showCatName val="0"/>
          <c:showSerName val="0"/>
          <c:showPercent val="0"/>
          <c:showBubbleSize val="0"/>
        </c:dLbls>
        <c:gapWidth val="246"/>
        <c:overlap val="-28"/>
        <c:axId val="862653378"/>
        <c:axId val="852162531"/>
      </c:barChart>
      <c:catAx>
        <c:axId val="86265337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crossAx val="852162531"/>
        <c:crosses val="autoZero"/>
        <c:auto val="1"/>
        <c:lblAlgn val="ctr"/>
        <c:lblOffset val="100"/>
        <c:noMultiLvlLbl val="0"/>
      </c:catAx>
      <c:valAx>
        <c:axId val="85216253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crossAx val="86265337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sz="1000" b="1">
          <a:solidFill>
            <a:schemeClr val="tx1"/>
          </a:solidFill>
          <a:latin typeface="仿宋_GB2312" charset="0"/>
          <a:ea typeface="仿宋_GB2312" charset="0"/>
          <a:cs typeface="仿宋_GB2312" charset="0"/>
          <a:sym typeface="仿宋_GB2312" charset="0"/>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仿宋_GB2312" charset="0"/>
                <a:ea typeface="仿宋_GB2312" charset="0"/>
                <a:cs typeface="仿宋_GB2312" charset="0"/>
                <a:sym typeface="仿宋_GB2312" charset="0"/>
              </a:defRPr>
            </a:pPr>
            <a:r>
              <a:rPr lang="en-US" altLang="zh-CN" sz="1200" b="1">
                <a:solidFill>
                  <a:schemeClr val="tx1"/>
                </a:solidFill>
                <a:latin typeface="仿宋_GB2312" charset="0"/>
                <a:ea typeface="仿宋_GB2312" charset="0"/>
                <a:cs typeface="仿宋_GB2312" charset="0"/>
                <a:sym typeface="仿宋_GB2312" charset="0"/>
              </a:rPr>
              <a:t>有效</a:t>
            </a:r>
            <a:r>
              <a:rPr sz="1200" b="1">
                <a:solidFill>
                  <a:schemeClr val="tx1"/>
                </a:solidFill>
                <a:latin typeface="仿宋_GB2312" charset="0"/>
                <a:ea typeface="仿宋_GB2312" charset="0"/>
                <a:cs typeface="仿宋_GB2312" charset="0"/>
                <a:sym typeface="仿宋_GB2312" charset="0"/>
              </a:rPr>
              <a:t>维度对创新药的重要性</a:t>
            </a:r>
            <a:r>
              <a:rPr lang="en-US" altLang="zh-CN" sz="1200" b="1">
                <a:solidFill>
                  <a:schemeClr val="tx1"/>
                </a:solidFill>
                <a:latin typeface="仿宋_GB2312" charset="0"/>
                <a:ea typeface="仿宋_GB2312" charset="0"/>
                <a:cs typeface="仿宋_GB2312" charset="0"/>
                <a:sym typeface="仿宋_GB2312" charset="0"/>
              </a:rPr>
              <a:t>样本选择频数分布</a:t>
            </a:r>
            <a:endParaRPr sz="1200" b="1">
              <a:solidFill>
                <a:schemeClr val="tx1"/>
              </a:solidFill>
              <a:latin typeface="仿宋_GB2312" charset="0"/>
              <a:ea typeface="仿宋_GB2312" charset="0"/>
              <a:cs typeface="仿宋_GB2312" charset="0"/>
              <a:sym typeface="仿宋_GB2312" charset="0"/>
            </a:endParaRPr>
          </a:p>
        </c:rich>
      </c:tx>
      <c:layout/>
      <c:overlay val="0"/>
      <c:spPr>
        <a:noFill/>
        <a:ln>
          <a:noFill/>
        </a:ln>
        <a:effectLst/>
      </c:spPr>
    </c:title>
    <c:autoTitleDeleted val="0"/>
    <c:plotArea>
      <c:layout/>
      <c:barChart>
        <c:barDir val="col"/>
        <c:grouping val="clustered"/>
        <c:varyColors val="0"/>
        <c:ser>
          <c:idx val="0"/>
          <c:order val="0"/>
          <c:tx>
            <c:strRef>
              <c:f>[排序后_PARTB_问卷数据_分析结果.xlsx]B2_统计分析!$B$1</c:f>
              <c:strCache>
                <c:ptCount val="1"/>
                <c:pt idx="0">
                  <c:v>频数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[排序后_PARTB_问卷数据_分析结果.xlsx]B2_统计分析!$A$2:$A$7</c:f>
              <c:strCache>
                <c:ptCount val="6"/>
                <c:pt idx="0">
                  <c:v>极不重要</c:v>
                </c:pt>
                <c:pt idx="1">
                  <c:v>不重要</c:v>
                </c:pt>
                <c:pt idx="2">
                  <c:v>一般重要</c:v>
                </c:pt>
                <c:pt idx="3">
                  <c:v>重要</c:v>
                </c:pt>
                <c:pt idx="4">
                  <c:v>非常重要</c:v>
                </c:pt>
                <c:pt idx="5">
                  <c:v>极其重要</c:v>
                </c:pt>
              </c:strCache>
            </c:strRef>
          </c:cat>
          <c:val>
            <c:numRef>
              <c:f>[排序后_PARTB_问卷数据_分析结果.xlsx]B2_统计分析!$B$2:$B$7</c:f>
              <c:numCache>
                <c:formatCode>General</c:formatCode>
                <c:ptCount val="6"/>
                <c:pt idx="0">
                  <c:v>10</c:v>
                </c:pt>
                <c:pt idx="1">
                  <c:v>0</c:v>
                </c:pt>
                <c:pt idx="2">
                  <c:v>0</c:v>
                </c:pt>
                <c:pt idx="3">
                  <c:v>5</c:v>
                </c:pt>
                <c:pt idx="4">
                  <c:v>23</c:v>
                </c:pt>
                <c:pt idx="5">
                  <c:v>62</c:v>
                </c:pt>
              </c:numCache>
            </c:numRef>
          </c:val>
        </c:ser>
        <c:dLbls>
          <c:showLegendKey val="0"/>
          <c:showVal val="1"/>
          <c:showCatName val="0"/>
          <c:showSerName val="0"/>
          <c:showPercent val="0"/>
          <c:showBubbleSize val="0"/>
        </c:dLbls>
        <c:gapWidth val="246"/>
        <c:overlap val="-28"/>
        <c:axId val="862653378"/>
        <c:axId val="852162531"/>
      </c:barChart>
      <c:catAx>
        <c:axId val="86265337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crossAx val="852162531"/>
        <c:crosses val="autoZero"/>
        <c:auto val="1"/>
        <c:lblAlgn val="ctr"/>
        <c:lblOffset val="100"/>
        <c:noMultiLvlLbl val="0"/>
      </c:catAx>
      <c:valAx>
        <c:axId val="85216253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crossAx val="86265337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sz="1000" b="1">
          <a:solidFill>
            <a:schemeClr val="tx1"/>
          </a:solidFill>
          <a:latin typeface="仿宋_GB2312" charset="0"/>
          <a:ea typeface="仿宋_GB2312" charset="0"/>
          <a:cs typeface="仿宋_GB2312" charset="0"/>
          <a:sym typeface="仿宋_GB2312" charset="0"/>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仿宋_GB2312" charset="0"/>
                <a:ea typeface="仿宋_GB2312" charset="0"/>
                <a:cs typeface="仿宋_GB2312" charset="0"/>
                <a:sym typeface="仿宋_GB2312" charset="0"/>
              </a:defRPr>
            </a:pPr>
            <a:r>
              <a:rPr lang="en-US" altLang="zh-CN" sz="1200" b="1">
                <a:solidFill>
                  <a:schemeClr val="tx1"/>
                </a:solidFill>
                <a:latin typeface="仿宋_GB2312" charset="0"/>
                <a:ea typeface="仿宋_GB2312" charset="0"/>
                <a:cs typeface="仿宋_GB2312" charset="0"/>
                <a:sym typeface="仿宋_GB2312" charset="0"/>
              </a:rPr>
              <a:t>经济</a:t>
            </a:r>
            <a:r>
              <a:rPr sz="1200" b="1">
                <a:solidFill>
                  <a:schemeClr val="tx1"/>
                </a:solidFill>
                <a:latin typeface="仿宋_GB2312" charset="0"/>
                <a:ea typeface="仿宋_GB2312" charset="0"/>
                <a:cs typeface="仿宋_GB2312" charset="0"/>
                <a:sym typeface="仿宋_GB2312" charset="0"/>
              </a:rPr>
              <a:t>维度对创新药的重要性</a:t>
            </a:r>
            <a:r>
              <a:rPr lang="en-US" altLang="zh-CN" sz="1200" b="1">
                <a:solidFill>
                  <a:schemeClr val="tx1"/>
                </a:solidFill>
                <a:latin typeface="仿宋_GB2312" charset="0"/>
                <a:ea typeface="仿宋_GB2312" charset="0"/>
                <a:cs typeface="仿宋_GB2312" charset="0"/>
                <a:sym typeface="仿宋_GB2312" charset="0"/>
              </a:rPr>
              <a:t>样本选择频数分布</a:t>
            </a:r>
            <a:endParaRPr sz="1200" b="1">
              <a:solidFill>
                <a:schemeClr val="tx1"/>
              </a:solidFill>
              <a:latin typeface="仿宋_GB2312" charset="0"/>
              <a:ea typeface="仿宋_GB2312" charset="0"/>
              <a:cs typeface="仿宋_GB2312" charset="0"/>
              <a:sym typeface="仿宋_GB2312" charset="0"/>
            </a:endParaRPr>
          </a:p>
        </c:rich>
      </c:tx>
      <c:layout/>
      <c:overlay val="0"/>
      <c:spPr>
        <a:noFill/>
        <a:ln>
          <a:noFill/>
        </a:ln>
        <a:effectLst/>
      </c:spPr>
    </c:title>
    <c:autoTitleDeleted val="0"/>
    <c:plotArea>
      <c:layout/>
      <c:barChart>
        <c:barDir val="col"/>
        <c:grouping val="clustered"/>
        <c:varyColors val="0"/>
        <c:ser>
          <c:idx val="0"/>
          <c:order val="0"/>
          <c:tx>
            <c:strRef>
              <c:f>[排序后_PARTB_问卷数据_分析结果.xlsx]B3_统计分析!$B$1</c:f>
              <c:strCache>
                <c:ptCount val="1"/>
                <c:pt idx="0">
                  <c:v>频数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[排序后_PARTB_问卷数据_分析结果.xlsx]B3_统计分析!$A$2:$A$7</c:f>
              <c:strCache>
                <c:ptCount val="6"/>
                <c:pt idx="0">
                  <c:v>极不重要</c:v>
                </c:pt>
                <c:pt idx="1">
                  <c:v>不重要</c:v>
                </c:pt>
                <c:pt idx="2">
                  <c:v>一般重要</c:v>
                </c:pt>
                <c:pt idx="3">
                  <c:v>重要</c:v>
                </c:pt>
                <c:pt idx="4">
                  <c:v>非常重要</c:v>
                </c:pt>
                <c:pt idx="5">
                  <c:v>极其重要</c:v>
                </c:pt>
              </c:strCache>
            </c:strRef>
          </c:cat>
          <c:val>
            <c:numRef>
              <c:f>[排序后_PARTB_问卷数据_分析结果.xlsx]B3_统计分析!$B$2:$B$7</c:f>
              <c:numCache>
                <c:formatCode>General</c:formatCode>
                <c:ptCount val="6"/>
                <c:pt idx="0">
                  <c:v>10</c:v>
                </c:pt>
                <c:pt idx="1">
                  <c:v>0</c:v>
                </c:pt>
                <c:pt idx="2">
                  <c:v>2</c:v>
                </c:pt>
                <c:pt idx="3">
                  <c:v>5</c:v>
                </c:pt>
                <c:pt idx="4">
                  <c:v>28</c:v>
                </c:pt>
                <c:pt idx="5">
                  <c:v>55</c:v>
                </c:pt>
              </c:numCache>
            </c:numRef>
          </c:val>
        </c:ser>
        <c:dLbls>
          <c:showLegendKey val="0"/>
          <c:showVal val="1"/>
          <c:showCatName val="0"/>
          <c:showSerName val="0"/>
          <c:showPercent val="0"/>
          <c:showBubbleSize val="0"/>
        </c:dLbls>
        <c:gapWidth val="246"/>
        <c:overlap val="-28"/>
        <c:axId val="862653378"/>
        <c:axId val="852162531"/>
      </c:barChart>
      <c:catAx>
        <c:axId val="86265337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crossAx val="852162531"/>
        <c:crosses val="autoZero"/>
        <c:auto val="1"/>
        <c:lblAlgn val="ctr"/>
        <c:lblOffset val="100"/>
        <c:noMultiLvlLbl val="0"/>
      </c:catAx>
      <c:valAx>
        <c:axId val="85216253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crossAx val="86265337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sz="1000" b="1">
          <a:solidFill>
            <a:schemeClr val="tx1"/>
          </a:solidFill>
          <a:latin typeface="仿宋_GB2312" charset="0"/>
          <a:ea typeface="仿宋_GB2312" charset="0"/>
          <a:cs typeface="仿宋_GB2312" charset="0"/>
          <a:sym typeface="仿宋_GB2312" charset="0"/>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仿宋_GB2312" charset="0"/>
                <a:ea typeface="仿宋_GB2312" charset="0"/>
                <a:cs typeface="仿宋_GB2312" charset="0"/>
                <a:sym typeface="仿宋_GB2312" charset="0"/>
              </a:defRPr>
            </a:pPr>
            <a:r>
              <a:rPr lang="en-US" altLang="zh-CN" sz="1200" b="1">
                <a:solidFill>
                  <a:schemeClr val="tx1"/>
                </a:solidFill>
                <a:latin typeface="仿宋_GB2312" charset="0"/>
                <a:ea typeface="仿宋_GB2312" charset="0"/>
                <a:cs typeface="仿宋_GB2312" charset="0"/>
                <a:sym typeface="仿宋_GB2312" charset="0"/>
              </a:rPr>
              <a:t>创新</a:t>
            </a:r>
            <a:r>
              <a:rPr sz="1200" b="1">
                <a:solidFill>
                  <a:schemeClr val="tx1"/>
                </a:solidFill>
                <a:latin typeface="仿宋_GB2312" charset="0"/>
                <a:ea typeface="仿宋_GB2312" charset="0"/>
                <a:cs typeface="仿宋_GB2312" charset="0"/>
                <a:sym typeface="仿宋_GB2312" charset="0"/>
              </a:rPr>
              <a:t>维度对创新药的重要性</a:t>
            </a:r>
            <a:r>
              <a:rPr lang="en-US" altLang="zh-CN" sz="1200" b="1">
                <a:solidFill>
                  <a:schemeClr val="tx1"/>
                </a:solidFill>
                <a:latin typeface="仿宋_GB2312" charset="0"/>
                <a:ea typeface="仿宋_GB2312" charset="0"/>
                <a:cs typeface="仿宋_GB2312" charset="0"/>
                <a:sym typeface="仿宋_GB2312" charset="0"/>
              </a:rPr>
              <a:t>样本选择频数分布</a:t>
            </a:r>
            <a:endParaRPr sz="1200" b="1">
              <a:solidFill>
                <a:schemeClr val="tx1"/>
              </a:solidFill>
              <a:latin typeface="仿宋_GB2312" charset="0"/>
              <a:ea typeface="仿宋_GB2312" charset="0"/>
              <a:cs typeface="仿宋_GB2312" charset="0"/>
              <a:sym typeface="仿宋_GB2312" charset="0"/>
            </a:endParaRPr>
          </a:p>
        </c:rich>
      </c:tx>
      <c:layout/>
      <c:overlay val="0"/>
      <c:spPr>
        <a:noFill/>
        <a:ln>
          <a:noFill/>
        </a:ln>
        <a:effectLst/>
      </c:spPr>
    </c:title>
    <c:autoTitleDeleted val="0"/>
    <c:plotArea>
      <c:layout/>
      <c:barChart>
        <c:barDir val="col"/>
        <c:grouping val="clustered"/>
        <c:varyColors val="0"/>
        <c:ser>
          <c:idx val="0"/>
          <c:order val="0"/>
          <c:tx>
            <c:strRef>
              <c:f>[排序后_PARTB_问卷数据_分析结果.xlsx]B4_统计分析!$B$1</c:f>
              <c:strCache>
                <c:ptCount val="1"/>
                <c:pt idx="0">
                  <c:v>频数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[排序后_PARTB_问卷数据_分析结果.xlsx]B4_统计分析!$A$2:$A$7</c:f>
              <c:strCache>
                <c:ptCount val="6"/>
                <c:pt idx="0">
                  <c:v>极不重要</c:v>
                </c:pt>
                <c:pt idx="1">
                  <c:v>不重要</c:v>
                </c:pt>
                <c:pt idx="2">
                  <c:v>一般重要</c:v>
                </c:pt>
                <c:pt idx="3">
                  <c:v>重要</c:v>
                </c:pt>
                <c:pt idx="4">
                  <c:v>非常重要</c:v>
                </c:pt>
                <c:pt idx="5">
                  <c:v>极其重要</c:v>
                </c:pt>
              </c:strCache>
            </c:strRef>
          </c:cat>
          <c:val>
            <c:numRef>
              <c:f>[排序后_PARTB_问卷数据_分析结果.xlsx]B4_统计分析!$B$2:$B$7</c:f>
              <c:numCache>
                <c:formatCode>General</c:formatCode>
                <c:ptCount val="6"/>
                <c:pt idx="0">
                  <c:v>8</c:v>
                </c:pt>
                <c:pt idx="1">
                  <c:v>0</c:v>
                </c:pt>
                <c:pt idx="2">
                  <c:v>3</c:v>
                </c:pt>
                <c:pt idx="3">
                  <c:v>11</c:v>
                </c:pt>
                <c:pt idx="4">
                  <c:v>19</c:v>
                </c:pt>
                <c:pt idx="5">
                  <c:v>59</c:v>
                </c:pt>
              </c:numCache>
            </c:numRef>
          </c:val>
        </c:ser>
        <c:dLbls>
          <c:showLegendKey val="0"/>
          <c:showVal val="1"/>
          <c:showCatName val="0"/>
          <c:showSerName val="0"/>
          <c:showPercent val="0"/>
          <c:showBubbleSize val="0"/>
        </c:dLbls>
        <c:gapWidth val="246"/>
        <c:overlap val="-28"/>
        <c:axId val="862653378"/>
        <c:axId val="852162531"/>
      </c:barChart>
      <c:catAx>
        <c:axId val="86265337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crossAx val="852162531"/>
        <c:crosses val="autoZero"/>
        <c:auto val="1"/>
        <c:lblAlgn val="ctr"/>
        <c:lblOffset val="100"/>
        <c:noMultiLvlLbl val="0"/>
      </c:catAx>
      <c:valAx>
        <c:axId val="85216253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crossAx val="86265337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sz="1000" b="1">
          <a:solidFill>
            <a:schemeClr val="tx1"/>
          </a:solidFill>
          <a:latin typeface="仿宋_GB2312" charset="0"/>
          <a:ea typeface="仿宋_GB2312" charset="0"/>
          <a:cs typeface="仿宋_GB2312" charset="0"/>
          <a:sym typeface="仿宋_GB2312" charset="0"/>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仿宋_GB2312" charset="0"/>
                <a:ea typeface="仿宋_GB2312" charset="0"/>
                <a:cs typeface="仿宋_GB2312" charset="0"/>
                <a:sym typeface="仿宋_GB2312" charset="0"/>
              </a:defRPr>
            </a:pPr>
            <a:r>
              <a:rPr lang="en-US" altLang="zh-CN" sz="1200" b="1">
                <a:solidFill>
                  <a:schemeClr val="tx1"/>
                </a:solidFill>
                <a:latin typeface="仿宋_GB2312" charset="0"/>
                <a:ea typeface="仿宋_GB2312" charset="0"/>
                <a:cs typeface="仿宋_GB2312" charset="0"/>
                <a:sym typeface="仿宋_GB2312" charset="0"/>
              </a:rPr>
              <a:t>公平</a:t>
            </a:r>
            <a:r>
              <a:rPr sz="1200" b="1">
                <a:solidFill>
                  <a:schemeClr val="tx1"/>
                </a:solidFill>
                <a:latin typeface="仿宋_GB2312" charset="0"/>
                <a:ea typeface="仿宋_GB2312" charset="0"/>
                <a:cs typeface="仿宋_GB2312" charset="0"/>
                <a:sym typeface="仿宋_GB2312" charset="0"/>
              </a:rPr>
              <a:t>维度对创新药的重要性</a:t>
            </a:r>
            <a:r>
              <a:rPr lang="en-US" altLang="zh-CN" sz="1200" b="1">
                <a:solidFill>
                  <a:schemeClr val="tx1"/>
                </a:solidFill>
                <a:latin typeface="仿宋_GB2312" charset="0"/>
                <a:ea typeface="仿宋_GB2312" charset="0"/>
                <a:cs typeface="仿宋_GB2312" charset="0"/>
                <a:sym typeface="仿宋_GB2312" charset="0"/>
              </a:rPr>
              <a:t>样本选择频数分布</a:t>
            </a:r>
            <a:endParaRPr sz="1200" b="1">
              <a:solidFill>
                <a:schemeClr val="tx1"/>
              </a:solidFill>
              <a:latin typeface="仿宋_GB2312" charset="0"/>
              <a:ea typeface="仿宋_GB2312" charset="0"/>
              <a:cs typeface="仿宋_GB2312" charset="0"/>
              <a:sym typeface="仿宋_GB2312" charset="0"/>
            </a:endParaRPr>
          </a:p>
        </c:rich>
      </c:tx>
      <c:layout/>
      <c:overlay val="0"/>
      <c:spPr>
        <a:noFill/>
        <a:ln>
          <a:noFill/>
        </a:ln>
        <a:effectLst/>
      </c:spPr>
    </c:title>
    <c:autoTitleDeleted val="0"/>
    <c:plotArea>
      <c:layout/>
      <c:barChart>
        <c:barDir val="col"/>
        <c:grouping val="clustered"/>
        <c:varyColors val="0"/>
        <c:ser>
          <c:idx val="0"/>
          <c:order val="0"/>
          <c:tx>
            <c:strRef>
              <c:f>[排序后_PARTB_问卷数据_分析结果.xlsx]B5_统计分析!$B$1</c:f>
              <c:strCache>
                <c:ptCount val="1"/>
                <c:pt idx="0">
                  <c:v>频数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[排序后_PARTB_问卷数据_分析结果.xlsx]B5_统计分析!$A$2:$A$7</c:f>
              <c:strCache>
                <c:ptCount val="6"/>
                <c:pt idx="0">
                  <c:v>极不重要</c:v>
                </c:pt>
                <c:pt idx="1">
                  <c:v>不重要</c:v>
                </c:pt>
                <c:pt idx="2">
                  <c:v>一般重要</c:v>
                </c:pt>
                <c:pt idx="3">
                  <c:v>重要</c:v>
                </c:pt>
                <c:pt idx="4">
                  <c:v>非常重要</c:v>
                </c:pt>
                <c:pt idx="5">
                  <c:v>极其重要</c:v>
                </c:pt>
              </c:strCache>
            </c:strRef>
          </c:cat>
          <c:val>
            <c:numRef>
              <c:f>[排序后_PARTB_问卷数据_分析结果.xlsx]B5_统计分析!$B$2:$B$7</c:f>
              <c:numCache>
                <c:formatCode>General</c:formatCode>
                <c:ptCount val="6"/>
                <c:pt idx="0">
                  <c:v>8</c:v>
                </c:pt>
                <c:pt idx="1">
                  <c:v>1</c:v>
                </c:pt>
                <c:pt idx="2">
                  <c:v>4</c:v>
                </c:pt>
                <c:pt idx="3">
                  <c:v>13</c:v>
                </c:pt>
                <c:pt idx="4">
                  <c:v>32</c:v>
                </c:pt>
                <c:pt idx="5">
                  <c:v>42</c:v>
                </c:pt>
              </c:numCache>
            </c:numRef>
          </c:val>
        </c:ser>
        <c:dLbls>
          <c:showLegendKey val="0"/>
          <c:showVal val="1"/>
          <c:showCatName val="0"/>
          <c:showSerName val="0"/>
          <c:showPercent val="0"/>
          <c:showBubbleSize val="0"/>
        </c:dLbls>
        <c:gapWidth val="246"/>
        <c:overlap val="-28"/>
        <c:axId val="862653378"/>
        <c:axId val="852162531"/>
      </c:barChart>
      <c:catAx>
        <c:axId val="86265337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crossAx val="852162531"/>
        <c:crosses val="autoZero"/>
        <c:auto val="1"/>
        <c:lblAlgn val="ctr"/>
        <c:lblOffset val="100"/>
        <c:noMultiLvlLbl val="0"/>
      </c:catAx>
      <c:valAx>
        <c:axId val="85216253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baseline="0">
                <a:solidFill>
                  <a:schemeClr val="tx1"/>
                </a:solidFill>
                <a:latin typeface="仿宋_GB2312" charset="0"/>
                <a:ea typeface="仿宋_GB2312" charset="0"/>
                <a:cs typeface="仿宋_GB2312" charset="0"/>
                <a:sym typeface="仿宋_GB2312" charset="0"/>
              </a:defRPr>
            </a:pPr>
          </a:p>
        </c:txPr>
        <c:crossAx val="86265337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sz="1000" b="1">
          <a:solidFill>
            <a:schemeClr val="tx1"/>
          </a:solidFill>
          <a:latin typeface="仿宋_GB2312" charset="0"/>
          <a:ea typeface="仿宋_GB2312" charset="0"/>
          <a:cs typeface="仿宋_GB2312" charset="0"/>
          <a:sym typeface="仿宋_GB2312"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2025-09-17T09:07:00Z</dcterms:created>
  <dc:creator>wangting</dc:creator>
  <cp:lastModifiedBy>W</cp:lastModifiedBy>
  <dcterms:modified xsi:type="dcterms:W3CDTF">2025-09-20T16:01:00Z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KSOTemplateDocerSaveRecord">
    <vt:lpwstr>eyJoZGlkIjoiOGI1MDEyZTBjYjhlMTU2ZTdjZWMwYWEwOTk5MjEzZmIiLCJ1c2VySWQiOiIxMjc5MzE1NjQwIn0=</vt:lpwstr>
  </property>
  <property fmtid="{D5CDD505-2E9C-101B-9397-08002B2CF9AE}" pid="4" name="ICV">
    <vt:lpwstr>CBF4C7F5D2B5F0D84456CE685C273D6D_43</vt:lpwstr>
  </property>
</Properties>
</file>