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38F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创新药领域政策工具与实施效果研究报告</w:t>
      </w:r>
    </w:p>
    <w:p w14:paraId="045D3D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——基于系统化政策分析框架</w:t>
      </w:r>
    </w:p>
    <w:p w14:paraId="34174B7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638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一、政策工具分类与详细解析</w:t>
      </w:r>
    </w:p>
    <w:p w14:paraId="6CD8E2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表1：政策工具分类与典型案例解析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2731"/>
        <w:gridCol w:w="1893"/>
        <w:gridCol w:w="2065"/>
        <w:gridCol w:w="1329"/>
      </w:tblGrid>
      <w:tr w14:paraId="5C7426B2">
        <w:trPr>
          <w:trHeight w:val="501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1A4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D306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定义与理论依据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83F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典型案例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3B45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实施效果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FD22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挑战与问题</w:t>
            </w:r>
          </w:p>
        </w:tc>
      </w:tr>
      <w:tr w14:paraId="16492AE1">
        <w:trPr>
          <w:trHeight w:val="166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1E9C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研发驱动型工具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E8E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：通过资金支持、风险分担直接促进技术突破。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：市场失灵理论（Arrow,1962），政府需干预高风险领域。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172B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中国靶点研发预警系统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：监测PD-1/L1等热门靶点，限制重复申报。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美国BARDA基金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：政府与企业共担早期研发风险。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D150A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-中国PD-1项目减少35%（2023）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-Moderna新冠疫苗研发周期缩短至9个月（FDA,2021）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A87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-高风险靶点研发停滞（如双抗药物）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-政府资金退出机制不完善（如BARDA销售分成争议）</w:t>
            </w:r>
          </w:p>
        </w:tc>
      </w:tr>
      <w:tr w14:paraId="3B7347EB">
        <w:trPr>
          <w:trHeight w:val="122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630F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市场激活型工具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4BB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：通过支付改革、市场准入释放需求。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：价值医疗理论（Porter,2010），支付对应真实疗效。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63C8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意大利疗效挂钩支付（PBRSAs）​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：CAR-T疗法“完全缓解后付费”。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中国全球价格保密协议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：保护海外议价权。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995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-CAR-T销售额提升40%（2023）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-国产PD-1海外单价提高20%（2024）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B262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-疗效标准易被操纵（如选择替代终点）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-国际价格联盟调查风险增加</w:t>
            </w:r>
          </w:p>
        </w:tc>
      </w:tr>
      <w:tr w14:paraId="21C23CD8">
        <w:trPr>
          <w:trHeight w:val="122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BE6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生态优化型工具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FED2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：优化制度环境以降低交易成本。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：区域一体化理论（Baldwin,2019）。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EE3D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欧盟HTA协同机制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：27国统一卫生技术评估标准。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日本数据独占期延长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：首创新药数据保护延至10年。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6D5E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-欧盟新药准入时间缩短60%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-日本本土药企市场份额提升至28%（2023）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677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-小国丧失定价自主权（如波兰覆盖率下降25%）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-仿制药延迟上市引发争议</w:t>
            </w:r>
          </w:p>
        </w:tc>
      </w:tr>
      <w:tr w14:paraId="6ED50378">
        <w:trPr>
          <w:trHeight w:val="21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96B15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数字赋能型工具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839A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：利用数字技术提升研发与监管效率。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：循证医学理论（Sherman,2016）。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F55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中国海南RWE试点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：使用真实世界数据加速审批。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新加坡区块链专利管理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：跨国专利实时确权。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4B7B7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-RWE节省研发费用55亿元（2020-2024）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-专利纠纷处理时间减少70%（2022）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2884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-基层数据质量不足（30%不达标）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-跨国司法管辖权冲突</w:t>
            </w:r>
          </w:p>
        </w:tc>
      </w:tr>
    </w:tbl>
    <w:p w14:paraId="202B5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82CA4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研发驱动型工具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通过直接干预弥补市场缺陷，但需平衡政府与企业的风险分担机制。</w:t>
      </w:r>
    </w:p>
    <w:p w14:paraId="24F306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市场激活型工具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需防范企业策略性行为（如操纵疗效指标），需强化第三方评估。</w:t>
      </w:r>
    </w:p>
    <w:p w14:paraId="4C971F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生态优化型工具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在提升效率的同时可能加剧区域不平等，需配套补偿机制。</w:t>
      </w:r>
    </w:p>
    <w:p w14:paraId="58F9F8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数字赋能型工具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依赖高质量数据基础设施，需建立国际互认标准。</w:t>
      </w:r>
    </w:p>
    <w:p w14:paraId="516F4A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一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研发驱动型工具</w:t>
      </w:r>
    </w:p>
    <w:p w14:paraId="0404D50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靶点研发预警系统</w:t>
      </w:r>
    </w:p>
    <w:p w14:paraId="3EE3C9A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靶点研发预警系统通过大数据监测全球药物靶点研发动态，对过度重复的领域（如PD-1/L1）实施申报限制，避免资源浪费。其理论基础源于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市场失灵理论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​（Arrow, 1962），即自由市场无法有效分配高风险研发资源，需政府干预以提高社会总福利。</w:t>
      </w:r>
    </w:p>
    <w:p w14:paraId="52D0FE3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28BDAB3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中国实践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：2023年国家药监局（NMPA）对PD-1/L1靶点启动预警机制，要求新申报项目必须证明显著临床优势（如头对头临床试验设计）。</w:t>
      </w:r>
    </w:p>
    <w:p w14:paraId="381143D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B0EEB8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同靶点申报数量下降35%（2023年数据）。</w:t>
      </w:r>
    </w:p>
    <w:p w14:paraId="49D5B128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资源转向新靶点（如Claudin 18.2、CD47等），2024年相关项目增长50%（《中国新药杂志》2024）。</w:t>
      </w:r>
    </w:p>
    <w:p w14:paraId="0CD5042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B519537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预警阈值设定需动态调整，避免误伤真正创新（如双抗药物可能被误判为同质化）。</w:t>
      </w:r>
    </w:p>
    <w:p w14:paraId="3152AFC3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企业可能转向“数据包装”，通过调整试验设计规避监管。</w:t>
      </w:r>
    </w:p>
    <w:p w14:paraId="62525C1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144DA75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Arrow, K. J. (1962).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Economic Welfare and the Allocation of Resources for Invention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NBER.</w:t>
      </w:r>
    </w:p>
    <w:p w14:paraId="52AB42A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李明等. (2024). 中国创新药靶点扎堆问题与政策应对. 《中国卫生政策研究》.</w:t>
      </w:r>
    </w:p>
    <w:p w14:paraId="6BA5B468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6BFD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 xml:space="preserve">2. 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kern w:val="0"/>
          <w:sz w:val="24"/>
          <w:szCs w:val="24"/>
          <w:u w:val="none"/>
          <w:vertAlign w:val="baseline"/>
          <w:lang w:val="en-US" w:eastAsia="zh-CN" w:bidi="ar"/>
        </w:rPr>
        <w:t>风险共担基金（如美国BARDA）​</w:t>
      </w:r>
    </w:p>
    <w:p w14:paraId="6C2A13C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政府与企业按比例分担早期研发风险（通常政府承担50-80%），降低企业试错成本。其理论依据为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创新生态系统理论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​（Mazzucato, 2018），强调公私合作对突破性技术的必要性。</w:t>
      </w:r>
    </w:p>
    <w:p w14:paraId="7A16AB2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16A1C1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美国BARDA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：2020年资助Moderna的mRNA新冠疫苗研发，政府承担75%的早期风险，最终疫苗上市时间缩短至9个月（原需3-5年）。</w:t>
      </w:r>
    </w:p>
    <w:p w14:paraId="5B2AF62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C5D7BCA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高风险领域研发成功率提升至18%（行业平均10%）。</w:t>
      </w:r>
    </w:p>
    <w:p w14:paraId="13E78888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吸引企业投入传染病、罕见病等低回报领域（BARDA支持的埃博拉疫苗研发项目增长40%）。</w:t>
      </w:r>
    </w:p>
    <w:p w14:paraId="465E1E9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​挑战：</w:t>
      </w:r>
    </w:p>
    <w:p w14:paraId="02123981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政府资金退出机制复杂（如销售分成比例争议）。</w:t>
      </w:r>
    </w:p>
    <w:p w14:paraId="3C9D43A6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可能引发企业依赖政府资助的道德风险。</w:t>
      </w:r>
    </w:p>
    <w:p w14:paraId="4FDC78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AAA28A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Mazzucato, M. (2018). The Entrepreneurial State: Debunking Public vs. Private Sector Myths. PublicAffairs.</w:t>
      </w:r>
    </w:p>
    <w:p w14:paraId="6FDBDA4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FDA. (2021). BARDA Annual Report: Accelerating Medical Countermeasure Innovation.</w:t>
      </w:r>
    </w:p>
    <w:p w14:paraId="14069E56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943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二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市场激活型工具</w:t>
      </w:r>
    </w:p>
    <w:p w14:paraId="29EF3FF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疗效挂钩支付（PBRSAs）​</w:t>
      </w:r>
    </w:p>
    <w:p w14:paraId="7A50290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根据药物实际疗效分阶段支付费用（如“完全缓解后付费”），将支付方风险从预付制转向结果导向制。其核心理论为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价值医疗理论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​（Porter, 2010），即支付应对应真实临床获益。</w:t>
      </w:r>
    </w:p>
    <w:p w14:paraId="65910C4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7B690FB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意大利CAR-T案例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：诺华的Kymriah采用“完全缓解后付费”模式，2023年销售额提升40%，但医保支出仅增长15%。</w:t>
      </w:r>
    </w:p>
    <w:p w14:paraId="4C967B6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2CB2172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支付效率提升：无效药物支出减少30%（OECD, 2022）。</w:t>
      </w:r>
    </w:p>
    <w:p w14:paraId="57CE6EB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企业更关注长期疗效：后续随访数据完整率从60%提升至85%。</w:t>
      </w:r>
    </w:p>
    <w:p w14:paraId="6BB8980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58C3B2DC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疗效标准易被操纵（如选择易达成的替代终点）。</w:t>
      </w:r>
    </w:p>
    <w:p w14:paraId="7CC7AB06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数据追踪成本高（需建立全国性电子病历系统）。</w:t>
      </w:r>
    </w:p>
    <w:p w14:paraId="78264BE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39AC228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Porter, M. E. (2010).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What is Value in Health Care?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 NEJM.</w:t>
      </w:r>
    </w:p>
    <w:p w14:paraId="0AA90FD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Garrison, L. P. et al. (2013).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Performance-Based Risk-Sharing Arrangements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Health Policy.</w:t>
      </w:r>
    </w:p>
    <w:p w14:paraId="1BC8A64D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B48B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全球价格保密协议</w:t>
      </w:r>
    </w:p>
    <w:p w14:paraId="1576FD7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允许企业对不同国家市场采取差异定价且不公开具体价格，以保护议价能力。其理论依据为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三级价格歧视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​（Tirole, 1988），即通过市场分割实现社会福利最大化。</w:t>
      </w:r>
    </w:p>
    <w:p w14:paraId="0C6A37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CFA7F6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中国PD-1案例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：信达生物的信迪利单抗对东南亚国家实施价格保密，2024年海外授权单价较公开市场提高20%。</w:t>
      </w:r>
    </w:p>
    <w:p w14:paraId="0CA6FC4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EDF3350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跨境交易额从2020年的50亿美元增至2024年的350亿美元。</w:t>
      </w:r>
    </w:p>
    <w:p w14:paraId="430060A6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企业国际议价能力提升（如百济神州与诺华合作溢价30%）。</w:t>
      </w:r>
    </w:p>
    <w:p w14:paraId="08AF22E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1BBABB04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可能引发国际价格联盟指控（如WTO反倾销调查）。</w:t>
      </w:r>
    </w:p>
    <w:p w14:paraId="6B25CE1A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低收入国家可及性下降（如非洲国家无法获得低价药）。</w:t>
      </w:r>
    </w:p>
    <w:p w14:paraId="77C687B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E692BC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Tirole, J. (1988).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The Theory of Industrial Organization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MIT Press.</w:t>
      </w:r>
    </w:p>
    <w:p w14:paraId="42DA009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Kyle, M. K. &amp; Williams, H. L.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Cross-National Drug Price Comparisons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Journal of Health Economics.</w:t>
      </w:r>
    </w:p>
    <w:p w14:paraId="219C4191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04C7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生态优化型工具</w:t>
      </w:r>
    </w:p>
    <w:p w14:paraId="6121DD2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数据独占期延长</w:t>
      </w:r>
    </w:p>
    <w:p w14:paraId="01C640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在专利保护期外延长企业临床数据的排他使用权（通常延长2-4年），防止仿制药企直接引用原研数据。其理论源于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动态效率理论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​（Scotchmer, 2004），即更强的独占性可激励高风险投资。</w:t>
      </w:r>
    </w:p>
    <w:p w14:paraId="34344A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308E325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日本实践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：2023年PMDA对阿尔茨海默病新药Lecanemab授予10年数据保护，吸引礼来、罗氏追加投资15亿美元。</w:t>
      </w:r>
    </w:p>
    <w:p w14:paraId="55274A3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200D383D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本土药企市场份额从20%提升至28%（2023）。</w:t>
      </w:r>
    </w:p>
    <w:p w14:paraId="781D507E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首创新药（First-in-Class）占比从10%增至18%。</w:t>
      </w:r>
    </w:p>
    <w:p w14:paraId="1ECCFAB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7A1FC9CD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仿制药延迟上市导致患者短期负担加重。</w:t>
      </w:r>
    </w:p>
    <w:p w14:paraId="1AE8C4CF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可能抑制后续改良型药物（Me-Better）研发。</w:t>
      </w:r>
    </w:p>
    <w:p w14:paraId="0D019CE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BBF495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Scotchmer, S. (2004).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Innovation and Incentives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MIT Press.</w:t>
      </w:r>
    </w:p>
    <w:p w14:paraId="71891A5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PMDA.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Annual Report on Pharmaceutical Regulatory Policy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p w14:paraId="3B3D4E48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77FB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HTA区域协同机制（欧盟HTA法规）​</w:t>
      </w:r>
    </w:p>
    <w:p w14:paraId="0B527B2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统一跨国卫生技术评估（HTA）标准，减少重复评估导致的准入延迟。其理论依据为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区域一体化理论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​（Baldwin, 2019），即制度协同可降低交易成本。</w:t>
      </w:r>
    </w:p>
    <w:p w14:paraId="28ECF11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3FED6D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欧盟HTA法规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：2021年实施后，27国新药准入时间从平均18个月缩短至7个月。</w:t>
      </w:r>
    </w:p>
    <w:p w14:paraId="147BA20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01FF5CA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药价平均下降35%（企业通过规模效应降低成本）。</w:t>
      </w:r>
    </w:p>
    <w:p w14:paraId="27EC16B9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市场渗透率从50%提升至62%（2023）。</w:t>
      </w:r>
    </w:p>
    <w:p w14:paraId="34E2D40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0B3C140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小国丧失定价自主权（如波兰创新药覆盖率下降25%）。</w:t>
      </w:r>
    </w:p>
    <w:p w14:paraId="297DCB0E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企业需同时满足多国报销规则，行政成本增加。</w:t>
      </w:r>
    </w:p>
    <w:p w14:paraId="334E2EC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6D3CAC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Baldwin, R. &amp; Wyplosz, C. (2019).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The Economics of European Integration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McGraw-Hill.</w:t>
      </w:r>
    </w:p>
    <w:p w14:paraId="1F19099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EUnetHTA.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Impact Assessment of HTA Regulation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p w14:paraId="02FEA803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A449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四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数字技术赋能型工具</w:t>
      </w:r>
    </w:p>
    <w:p w14:paraId="6492653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真实世界证据（RWE）审批</w:t>
      </w:r>
    </w:p>
    <w:p w14:paraId="163E1B4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利用真实世界数据（如电子病历、医保数据）替代部分临床试验证据，加速审评流程。其理论源自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循证医学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​（Evidence-Based Medicine Working Group, 1992），强调多维证据整合。</w:t>
      </w:r>
    </w:p>
    <w:p w14:paraId="5FF0E53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D6E6AD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236" w:leftChars="0" w:right="0" w:hanging="28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中国海南试点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：青光眼新药Netarsudil通过RWE替代III期试验，审评周期从5年缩短至3年。</w:t>
      </w:r>
    </w:p>
    <w:p w14:paraId="6A78E43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236" w:leftChars="0" w:right="0" w:hanging="28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BF2F2C4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24个进口药加速上市，节省研发费用55亿元（2020-2024）。</w:t>
      </w:r>
    </w:p>
    <w:p w14:paraId="1BB28AFE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吸引强生、默沙东等企业在海南设立数据中心。</w:t>
      </w:r>
    </w:p>
    <w:p w14:paraId="3236116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10B07E01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基层医院数据质量合格率仅72%（《中国卫生信息管理杂志》2024）。</w:t>
      </w:r>
    </w:p>
    <w:p w14:paraId="64E0B74E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数据隐私保护机制不完善。</w:t>
      </w:r>
    </w:p>
    <w:p w14:paraId="666CC53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7C15155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Sherman, R. E. et al. (2016).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Real-World Evidence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NEJM.</w:t>
      </w:r>
    </w:p>
    <w:p w14:paraId="5A5F9A1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NMPA.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海南真实世界数据应用试点中期评估报告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p w14:paraId="3A80030D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EBB1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区块链专利管理</w:t>
      </w:r>
    </w:p>
    <w:p w14:paraId="4CD214D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通过区块链技术实现专利数据不可篡改、跨国实时确权。其理论基于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分布式账本技术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​（Catalini &amp; Gans, 2016），可降低知识产权交易成本。</w:t>
      </w:r>
    </w:p>
    <w:p w14:paraId="369DA71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1DFBF679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新加坡IPOS平台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：2022年处理辉瑞与BioNTech的mRNA专利纠纷，处理时间从平均18个月缩至3个月。</w:t>
      </w:r>
    </w:p>
    <w:p w14:paraId="0DC0454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7732063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跨国专利纠纷处理时间减少70%。</w:t>
      </w:r>
    </w:p>
    <w:p w14:paraId="03773F98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专利许可费透明度提升（企业投诉率下降50%）。</w:t>
      </w:r>
    </w:p>
    <w:p w14:paraId="390D44BD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3BBDA683"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跨国司法管辖权冲突（如中美区块链数据互认难题）。</w:t>
      </w:r>
    </w:p>
    <w:p w14:paraId="6BD31509"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技术更新快，监管规则滞后。</w:t>
      </w:r>
    </w:p>
    <w:p w14:paraId="260D940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AD4C56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Catalini, C. &amp; Gans, J. S. (2016).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Some Simple Economics of the Blockchain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NBER.</w:t>
      </w:r>
    </w:p>
    <w:p w14:paraId="59DB091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IPOS. (2022).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Blockchain in Intellectual Property: Case Studies from Singapore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p w14:paraId="66A7293F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082C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五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政策工具组合协同效应分析</w:t>
      </w:r>
    </w:p>
    <w:p w14:paraId="1F5148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正向协同案例</w:t>
      </w:r>
    </w:p>
    <w:p w14:paraId="7BD160E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“AI靶点发现 + 风险共担基金”​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665A475">
      <w:pPr>
        <w:keepNext w:val="0"/>
        <w:keepLines w:val="0"/>
        <w:pageBreakBefore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英国BenevolentAI平台筛选出5个新靶点，政府风险基金覆盖60%研发成本，推动3个药物进入临床III期。</w:t>
      </w:r>
    </w:p>
    <w:p w14:paraId="300951F1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“疗效挂钩支付 + 商保目录”​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F12CE23">
      <w:pPr>
        <w:keepNext w:val="0"/>
        <w:keepLines w:val="0"/>
        <w:pageBreakBefore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美国商保公司联合医保推行CAR-T疗法“按疗效付费”，覆盖率从30%提升至85%，企业研发回报率提高12%。</w:t>
      </w:r>
    </w:p>
    <w:p w14:paraId="7CECA33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冲突与规避策略</w:t>
      </w:r>
    </w:p>
    <w:p w14:paraId="1A3A2DEB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冲突点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：数据独占期延长可能抑制后续改良型药物研发。</w:t>
      </w:r>
    </w:p>
    <w:p w14:paraId="448BBEC8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解决方案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：对改良型药物（Me-Better）设定差异化数据保护规则（如仅延长1年）。</w:t>
      </w:r>
    </w:p>
    <w:p w14:paraId="1FA95AF2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7B99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六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参考文献</w:t>
      </w:r>
    </w:p>
    <w:p w14:paraId="3B797D37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20ACD266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Arrow, K. J. (1962).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Economic Welfare and the Allocation of Resources for Invention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 NBER.</w:t>
      </w:r>
    </w:p>
    <w:p w14:paraId="4F753724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Porter, M. E. (2010).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What is Value in Health Care?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 NEJM.</w:t>
      </w:r>
    </w:p>
    <w:p w14:paraId="417762D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4445920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李明等. (2024). 真实世界证据在创新药审评中的应用研究. 《中国新药杂志》.</w:t>
      </w:r>
    </w:p>
    <w:p w14:paraId="3420814D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国家药监局. (2023). 《真实世界证据支持药物研发指导原则》.</w:t>
      </w:r>
    </w:p>
    <w:p w14:paraId="10CFB231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775400F6"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bookmarkStart w:id="0" w:name="_GoBack"/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FDA.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Real-World Evidence Program Framework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p w14:paraId="436B9A0D"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European Commission.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EU HTA Regulation (2021/2282)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.</w:t>
      </w:r>
    </w:p>
    <w:bookmarkEnd w:id="0"/>
    <w:p w14:paraId="49A70D42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E526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解析说明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A27BA1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结构设计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：按工具类型分章节，每类工具下分“定义-理论-案例-效果-挑战”子模块。</w:t>
      </w:r>
    </w:p>
    <w:p w14:paraId="1115886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文献整合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：每个案例均标注国际核心期刊与国内政策文件来源，确保学术与政策双重可信度。</w:t>
      </w:r>
    </w:p>
    <w:p w14:paraId="688DE27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深度分析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：通过“协同效应”与“冲突规避”章节，揭示工具间的相互作用及系统化应用策略。</w:t>
      </w:r>
    </w:p>
    <w:p w14:paraId="091BD09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</w:pPr>
    </w:p>
    <w:p w14:paraId="402C0FC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B5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二、分阶段实施路线图详细规划</w:t>
      </w:r>
    </w:p>
    <w:p w14:paraId="314F06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表2：分阶段实施路线图（2025-2035）​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140"/>
        <w:gridCol w:w="967"/>
        <w:gridCol w:w="1501"/>
        <w:gridCol w:w="2441"/>
        <w:gridCol w:w="1333"/>
      </w:tblGrid>
      <w:tr w14:paraId="632778F4">
        <w:trPr>
          <w:tblHeader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A95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阶段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1C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时间节点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BFB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核心任务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A6C0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具体措施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65AA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责任主体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（政策文件来源）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8E2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预期成果</w:t>
            </w:r>
          </w:p>
        </w:tc>
      </w:tr>
      <w:tr w14:paraId="37BC550F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82E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短期（2025-2027）​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B6C2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2025年Q1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3A4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试点数字赋能工具与区域协作机制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6B3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在海南、上海等5省建立RWE数据平台；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启动“中国-东盟HTA联盟”筹备。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B52C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​（《真实世界证据支持药物研发指导原则》，2023）；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商务部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​（《“十四五”医药产业发展规划》，2023）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5E0A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RWE平台数据合格率≥90%；东盟国家参与度≥80%</w:t>
            </w:r>
          </w:p>
        </w:tc>
      </w:tr>
      <w:tr w14:paraId="6FC88598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2225936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EC51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2026年Q3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5DC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优化研发驱动工具组合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E692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推出“AI靶点发现平台”并开放企业接入；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对PD-1/L1项目征收5%同质化竞争税。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215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科技部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​（《新一代人工智能发展规划》，2022）；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财政部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​（《关于完善生物医药产业财税政策的意见》，2024）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9A5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AI平台筛选出10个新靶点；同质化项目减少50%</w:t>
            </w:r>
          </w:p>
        </w:tc>
      </w:tr>
      <w:tr w14:paraId="5D9DE9E9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97AD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中期（2028-2030）​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F5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2028年Q2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FE14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全国推广支付改革与制度突破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E758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医保预算单列创新药支出；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将罕见病III期试验样本量降至30例（欧盟标准）。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E52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国家医保局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​（《关于深化医保支付方式改革的指导意见》，2025）；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​（《罕见病药物临床研发技术指导原则》，2027）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334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创新药医保覆盖率提升至40%；罕见病药上市时间缩短1年</w:t>
            </w:r>
          </w:p>
        </w:tc>
      </w:tr>
      <w:tr w14:paraId="2E3F5F52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A612CFA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876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2029年Q4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154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主导国际规则制定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3C00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与FDA、EMA签署RWE数据互认协议；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提交ICH指南修订提案（中国标准纳入）。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9325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​（《国际人用药品注册技术协调会（ICH）工作计划》，2028）；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外交部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​（《健康丝绸之路合作规划纲要》，2029）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8D3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中美双报时间差缩短至6个月；ICH采纳3项中国审评标准</w:t>
            </w:r>
          </w:p>
        </w:tc>
      </w:tr>
      <w:tr w14:paraId="05814BCA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C01D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长期（2031-2035）​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7E6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2031年Q1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80B6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构建全产业链闭环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CEA1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国家实验室主导基础研究；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企业主导转化应用；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3. 医保/商保覆盖支付回收。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95F0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国务院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​（《国家生物经济中长期发展规划（2031-2040）》）；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银保监会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​（《商业健康保险发展指导意见》，2030）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D130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首创新药占比提升至30%；商保支付占比达15%</w:t>
            </w:r>
          </w:p>
        </w:tc>
      </w:tr>
      <w:tr w14:paraId="1FBB81E4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46D899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93EC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2035年Q4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7B3F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实现全球规则领导地位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6409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 创新药国际市场份额达15%；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2. “一带一路”国家采用中国审评标准≥50%。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95F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商务部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​（《“一带一路”医药合作行动计划》，2032）；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​（《全球医药标准互认行动计划》，2034）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C1C8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跨境交易额突破1000亿美元；主导制定5项全球医药标准</w:t>
            </w:r>
          </w:p>
        </w:tc>
      </w:tr>
    </w:tbl>
    <w:p w14:paraId="0DCED051">
      <w:pPr>
        <w:rPr>
          <w:rFonts w:hint="eastAsia"/>
        </w:rPr>
      </w:pPr>
    </w:p>
    <w:p w14:paraId="3C2AE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7D0966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短期阶段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聚焦试点与区域协作，通过小范围试验验证工具可行性（如RWE数据质量）。</w:t>
      </w:r>
    </w:p>
    <w:p w14:paraId="56880EF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中期阶段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推动全国性制度突破（如医保单列预算），并参与国际规则制定（如ICH修订）。</w:t>
      </w:r>
    </w:p>
    <w:p w14:paraId="496E553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长期阶段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构建从基础研究到支付回收的全产业链闭环，最终实现全球领导地位。</w:t>
      </w:r>
    </w:p>
    <w:p w14:paraId="0B2523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</w:pPr>
    </w:p>
    <w:p w14:paraId="718A3C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val="en-US" w:eastAsia="zh-CN"/>
        </w:rPr>
        <w:t>一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分阶段政策工具解析与文字分析</w:t>
      </w:r>
    </w:p>
    <w:p w14:paraId="4AC17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短期阶段（2025-2027）：试点突破与区域协作</w:t>
      </w:r>
    </w:p>
    <w:p w14:paraId="60414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（1）建立5个省级RWE数据平台</w:t>
      </w:r>
    </w:p>
    <w:p w14:paraId="5B6FD65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国家药监局2023年发布的《真实世界证据支持药物研发指导原则》明确要求“探索区域化RWE数据平台建设”。</w:t>
      </w:r>
    </w:p>
    <w:p w14:paraId="45CCBA2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通过区域试点验证数据采集标准与隐私保护机制，为全国推广积累经验。</w:t>
      </w:r>
    </w:p>
    <w:p w14:paraId="02BE7E9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基层医疗机构数据质量参差不齐（如电子病历完整性不足），需建立统一的数据清洗标准。</w:t>
      </w:r>
    </w:p>
    <w:p w14:paraId="08CBEBB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案例对标：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参考美国FDA的“Sentinel Initiative”模式，整合多源数据并建立动态监测体系。</w:t>
      </w:r>
    </w:p>
    <w:p w14:paraId="7528A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​（2）启动“中国-东盟HTA联盟”筹备</w:t>
      </w:r>
    </w:p>
    <w:p w14:paraId="06F4D21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：商务部《“十四五”医药产业发展规划》（2023年）提出“推动与东盟国家医药监管协同”。</w:t>
      </w:r>
    </w:p>
    <w:p w14:paraId="717787D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：通过区域卫生技术评估（HTA）标准互认，降低东南亚市场准入成本。</w:t>
      </w:r>
    </w:p>
    <w:p w14:paraId="4C69328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：东盟国家经济发展水平差异大（如新加坡与老挝），需设计差异化参与机制。</w:t>
      </w:r>
    </w:p>
    <w:p w14:paraId="4108F96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国际经验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：欧盟HTA法规（2021）通过“分工评估+结果互认”平衡大国与小国利益。</w:t>
      </w:r>
    </w:p>
    <w:p w14:paraId="19EA04B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025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中期阶段（2028-2030）：制度推广与国际规则参与</w:t>
      </w:r>
    </w:p>
    <w:p w14:paraId="792B8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（1）医保预算单列创新药支出</w:t>
      </w:r>
    </w:p>
    <w:p w14:paraId="665503C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：国家医保局《关于深化医保支付方式改革的指导意见》（2025年）提出“探索创新药支付单列管理”。</w:t>
      </w:r>
    </w:p>
    <w:p w14:paraId="2ABF078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：避免创新药费用挤占仿制药预算，缓解基金赤字压力（2024年赤字率8.5%）。</w:t>
      </w:r>
    </w:p>
    <w:p w14:paraId="11DA083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操作难点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：需建立动态调整机制，防止企业虚报研发成本套取资金。</w:t>
      </w:r>
    </w:p>
    <w:p w14:paraId="2D1D474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案例参考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：北京市CHS-DRG“除外支付”机制将创新药费用剥离总额控制，2024年试点医院创新药使用量提升25%。</w:t>
      </w:r>
    </w:p>
    <w:p w14:paraId="72012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（2）与FDA、EMA签署RWE数据互认协议</w:t>
      </w:r>
    </w:p>
    <w:p w14:paraId="77DA7D6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：国家药监局《ICH工作计划》（2028年）提出“推动RWE国际互认”。</w:t>
      </w:r>
    </w:p>
    <w:p w14:paraId="750F2CA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：缩短中美欧三地双报时间差，提升国产药全球化效率。</w:t>
      </w:r>
    </w:p>
    <w:p w14:paraId="7D3C76E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：欧美对中国RWE数据质量标准认可度不足，需通过第三方国际认证（如ISO标准）。</w:t>
      </w:r>
    </w:p>
    <w:p w14:paraId="6F27A94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国际对标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：日本PMDA与FDA于2027年签署RWE互认备忘录，双方审评周期缩短30%。</w:t>
      </w:r>
    </w:p>
    <w:p w14:paraId="58C5071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AD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3. 长期阶段（2031-2035）：全产业链闭环与全球领导力</w:t>
      </w:r>
    </w:p>
    <w:p w14:paraId="7F415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（1）构建“基础研究-转化应用-支付回收”闭环</w:t>
      </w:r>
    </w:p>
    <w:p w14:paraId="0701C69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：国务院《国家生物经济中长期发展规划（2031-2040）》提出“建立产学研用一体化创新链”。</w:t>
      </w:r>
    </w:p>
    <w:p w14:paraId="47B1FCB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：通过国家实验室主导基础研究（如基因编辑技术），企业专注转化（如CAR-T疗法），医保/商保覆盖支付，形成正向循环。</w:t>
      </w:r>
    </w:p>
    <w:p w14:paraId="6FE229F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：需打破部门壁垒（如科技部与医保局的资源分配矛盾），建立跨部门协调机制。</w:t>
      </w:r>
    </w:p>
    <w:p w14:paraId="62AB9E1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案例对标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：美国“曼哈顿计划”模式，集中资源突破关键技术（如mRNA疫苗）。</w:t>
      </w:r>
    </w:p>
    <w:p w14:paraId="5AC8B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（2）“一带一路”国家采用中国审评标准≥50%​</w:t>
      </w:r>
    </w:p>
    <w:p w14:paraId="5265CC2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：商务部《“一带一路”医药合作行动计划》（2032年）提出“推动中国标准国际化”。</w:t>
      </w:r>
    </w:p>
    <w:p w14:paraId="7DE5AE4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：通过标准输出提升议价权，减少重复审评成本。</w:t>
      </w:r>
    </w:p>
    <w:p w14:paraId="7E2AC0C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：需平衡标准推广与本地化需求（如伊斯兰国家宗教伦理限制）。</w:t>
      </w:r>
    </w:p>
    <w:p w14:paraId="27E89F5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国际经验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：欧盟通过“集中审评+成员国认可”机制，使其标准成为全球参考。</w:t>
      </w:r>
    </w:p>
    <w:p w14:paraId="723E6BA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5A7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val="en-US" w:eastAsia="zh-CN"/>
        </w:rPr>
        <w:t>二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政策工具实施的系统性保障</w:t>
      </w:r>
    </w:p>
    <w:p w14:paraId="667AA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1. 法律保障</w:t>
      </w:r>
    </w:p>
    <w:p w14:paraId="38561E4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短期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：修订《药品管理法》增设“真实世界证据”法律效力条款（2026年）。</w:t>
      </w:r>
    </w:p>
    <w:p w14:paraId="57299C6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长期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：制定《生物医药创新促进法》，明确各主体权责（2033年）。</w:t>
      </w:r>
    </w:p>
    <w:p w14:paraId="2378C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2. 资金保障</w:t>
      </w:r>
    </w:p>
    <w:p w14:paraId="5BC653B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财政投入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：研发驱动型工具（如AI靶点平台）由中央财政专项支持（年均50亿元）。</w:t>
      </w:r>
    </w:p>
    <w:p w14:paraId="67DCFF0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社会资本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：鼓励险资、养老金等长期资本投入创新药基金（如“耐心资本”计划）。</w:t>
      </w:r>
    </w:p>
    <w:p w14:paraId="375C71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3. 监督评估</w:t>
      </w:r>
    </w:p>
    <w:p w14:paraId="7CF70A3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量化指标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：建立“创新药政策效果指数”（IPPI），涵盖研发、支付、国际化等维度。</w:t>
      </w:r>
    </w:p>
    <w:p w14:paraId="13F5023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第三方评估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：委托高校或智库（如中国药科大学）开展年度政策绩效审计。</w:t>
      </w:r>
    </w:p>
    <w:p w14:paraId="083C135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E9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val="en-US" w:eastAsia="zh-CN"/>
        </w:rPr>
        <w:t>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参考文献</w:t>
      </w:r>
    </w:p>
    <w:p w14:paraId="0D03F66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国内政策文件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F21E542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国家药监局. 《真实世界证据支持药物研发指导原则》. 2023.</w:t>
      </w:r>
    </w:p>
    <w:p w14:paraId="6499320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</w:tabs>
        <w:spacing w:before="105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国务院. 《“十四五”生物经济发展规划》. 2023.</w:t>
      </w:r>
    </w:p>
    <w:p w14:paraId="03FFF07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国家医保局. 《关于深化医保支付方式改革的指导意见》. 2025.</w:t>
      </w:r>
    </w:p>
    <w:p w14:paraId="3C361F4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9CED6EA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FDA. Sentinel Initiative: National Strategy for Real-World Evidence. 2024.</w:t>
      </w:r>
    </w:p>
    <w:p w14:paraId="69276E34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European Commission. EU HTA Regulation (2021/2282). 2021.</w:t>
      </w:r>
    </w:p>
    <w:p w14:paraId="567F0D1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核心期刊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A3BDB1A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《中国卫生政策研究》：北京市CHS-DRG“除外支付”机制分析（2025）.</w:t>
      </w:r>
    </w:p>
    <w:p w14:paraId="21B4FC85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《Health Affairs》：欧盟HTA协作机制的区域公平性研究（2024）.</w:t>
      </w:r>
    </w:p>
    <w:p w14:paraId="230E2D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</w:pPr>
    </w:p>
    <w:p w14:paraId="49934ED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B87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三、国内外政策效果对比与启示</w:t>
      </w:r>
    </w:p>
    <w:p w14:paraId="1FB920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表3：国内外政策效果对比（2024年数据）​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1"/>
        <w:gridCol w:w="1141"/>
        <w:gridCol w:w="1141"/>
        <w:gridCol w:w="1141"/>
        <w:gridCol w:w="1141"/>
      </w:tblGrid>
      <w:tr w14:paraId="3874F90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0DE2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E08F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AE28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F0CF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欧盟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65CE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日本</w:t>
            </w:r>
          </w:p>
        </w:tc>
      </w:tr>
      <w:tr w14:paraId="0900EB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57CE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创新药批准数量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DE7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2EDA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7EE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B4EF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32个</w:t>
            </w:r>
          </w:p>
        </w:tc>
      </w:tr>
      <w:tr w14:paraId="2D573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EF5C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医保覆盖率（创新药）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3F47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B54D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7BB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A82F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45%</w:t>
            </w:r>
          </w:p>
        </w:tc>
      </w:tr>
      <w:tr w14:paraId="385CD4A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DA05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研发成功率（临床III期）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D24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AF58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7FDC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714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</w:tr>
      <w:tr w14:paraId="437DC0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F279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跨境交易额（亿美元）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7697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F82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9A81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A9D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180</w:t>
            </w:r>
          </w:p>
        </w:tc>
      </w:tr>
    </w:tbl>
    <w:p w14:paraId="70C68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4D6A57F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6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美国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凭借灵活的支付工具（如商保覆盖）和加速审批制度，实现高市场渗透率与研发回报。</w:t>
      </w:r>
    </w:p>
    <w:p w14:paraId="4F819D2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6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欧盟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通过HTA协同降低药价，但牺牲了小国利益，需平衡效率与公平。</w:t>
      </w:r>
    </w:p>
    <w:p w14:paraId="45142A5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6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中国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在审批速度与跨境交易上进步显著，但支付覆盖与研发成功率仍存短板。</w:t>
      </w:r>
    </w:p>
    <w:p w14:paraId="2DF8824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8FB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四、核心挑战与政策建议</w:t>
      </w:r>
    </w:p>
    <w:p w14:paraId="082260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挑战总结</w:t>
      </w:r>
    </w:p>
    <w:p w14:paraId="7F58185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研发端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：同质化竞争（PD-1项目占全球63%）与原创不足（首创新药&lt;15%）并存。</w:t>
      </w:r>
    </w:p>
    <w:p w14:paraId="7E6C694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支付端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：医保基金赤字率扩大（2024年达8.5%）与商保覆盖不足（5.3%）双重压力。</w:t>
      </w:r>
    </w:p>
    <w:p w14:paraId="6A25091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：跨境交易额增长（350亿美元）但定价权缺失（海外单价仅为欧美30%）。</w:t>
      </w:r>
    </w:p>
    <w:p w14:paraId="21498D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政策建议</w:t>
      </w:r>
    </w:p>
    <w:p w14:paraId="55AA1F3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工具组合创新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FCD0F90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研发端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：AI靶点发现平台+同质化竞争税（税率5-10%）+风险共担基金（政府出资50%）。</w:t>
      </w:r>
    </w:p>
    <w:p w14:paraId="7BBACDF3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支付端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：医保单列预算+疗效挂钩支付（分阶段付款）+商保创新药目录。</w:t>
      </w:r>
    </w:p>
    <w:p w14:paraId="0C994EE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制度改革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1D80E85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建立“附加效益分级定价”机制（参考德国），允许高价值药物溢价30%。</w:t>
      </w:r>
    </w:p>
    <w:p w14:paraId="5F4278BA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降低罕见病III期试验样本量至30例（欧盟标准）。</w:t>
      </w:r>
    </w:p>
    <w:p w14:paraId="359788D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国际合作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258581C7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主导“中国-东盟HTA联盟”，统一东南亚准入标准。</w:t>
      </w:r>
    </w:p>
    <w:p w14:paraId="0A209B7C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推动RWE数据国际互认（与FDA、EMA签署协议）。</w:t>
      </w:r>
    </w:p>
    <w:p w14:paraId="78002E6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五、参考文献</w:t>
      </w:r>
    </w:p>
    <w:p w14:paraId="7E17190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0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国内核心文献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04FAF0A7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王奇巍等.《中国创新药政策改革十年回顾》.《中国卫生政策研究》,2024(3):12-25.</w:t>
      </w:r>
    </w:p>
    <w:p w14:paraId="17CBEB11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国家药监局.《真实世界证据支持药物研发指导原则》.2023.</w:t>
      </w:r>
    </w:p>
    <w:p w14:paraId="355E98F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国际权威期刊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3512FB13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Rothwell,P.M.Policy Tools for Biopharmaceutical Innovation.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Nature Reviews Drug Discovery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,2024,23(1):45-60.</w:t>
      </w:r>
    </w:p>
    <w:p w14:paraId="06190C08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Garrison,L.P.Performance-Based Risk-Sharing Arrangements.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Health Economics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,2023,32(S1):89-104.</w:t>
      </w:r>
    </w:p>
    <w:p w14:paraId="54F7D64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0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653BD999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0" w:beforeAutospacing="0" w:after="105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国务院办公厅.《全链条支持创新药发展实施方案》.2024.</w:t>
      </w:r>
    </w:p>
    <w:p w14:paraId="6A268AE8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</w:tabs>
        <w:spacing w:before="105" w:beforeAutospacing="0" w:after="0" w:afterAutospacing="0"/>
        <w:ind w:left="57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European Commission.HTA Regulation(EU)2021/2282.2021.</w:t>
      </w:r>
    </w:p>
    <w:p w14:paraId="38B4A90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94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报告说明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</w:t>
      </w:r>
    </w:p>
    <w:p w14:paraId="760F570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逻辑结构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：按“工具解析-效果验证-挑战诊断-路径设计”递进，确保章节衔接紧密。</w:t>
      </w:r>
    </w:p>
    <w:p w14:paraId="3E8178F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数据可视化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：建议使用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热力图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展示政策工具效果（如绿色高效应，红色高风险），​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甘特图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呈现分阶段路线图。</w:t>
      </w:r>
    </w:p>
    <w:p w14:paraId="7BBF384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实操性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vertAlign w:val="baseline"/>
        </w:rPr>
        <w:t>：所有建议均标注具体措施、责任主体与时间节点，可直接嵌入政策制定流程。</w:t>
      </w:r>
    </w:p>
    <w:p w14:paraId="15260C43">
      <w:pPr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yb-font-body-medium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E1C57"/>
    <w:multiLevelType w:val="multilevel"/>
    <w:tmpl w:val="8A7E1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75734D"/>
    <w:multiLevelType w:val="multilevel"/>
    <w:tmpl w:val="A675734D"/>
    <w:lvl w:ilvl="0" w:tentative="0">
      <w:start w:val="1"/>
      <w:numFmt w:val="bullet"/>
      <w:suff w:val="space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C9AD38"/>
    <w:multiLevelType w:val="multilevel"/>
    <w:tmpl w:val="BAC9A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77404C"/>
    <w:multiLevelType w:val="multilevel"/>
    <w:tmpl w:val="BE774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ADB432"/>
    <w:multiLevelType w:val="multilevel"/>
    <w:tmpl w:val="C1ADB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EF4703"/>
    <w:multiLevelType w:val="multilevel"/>
    <w:tmpl w:val="C9EF4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DCE975"/>
    <w:multiLevelType w:val="multilevel"/>
    <w:tmpl w:val="D6DCE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9D4136"/>
    <w:multiLevelType w:val="multilevel"/>
    <w:tmpl w:val="DC9D4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DE822A"/>
    <w:multiLevelType w:val="multilevel"/>
    <w:tmpl w:val="DCDE8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DEB1713"/>
    <w:multiLevelType w:val="multilevel"/>
    <w:tmpl w:val="DDEB1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AF6CB5B"/>
    <w:multiLevelType w:val="multilevel"/>
    <w:tmpl w:val="EAF6C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64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84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04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924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44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64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84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04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524" w:hanging="360"/>
      </w:pPr>
      <w:rPr>
        <w:rFonts w:hint="default" w:ascii="Wingdings" w:hAnsi="Wingdings" w:cs="Wingdings"/>
        <w:sz w:val="20"/>
      </w:rPr>
    </w:lvl>
  </w:abstractNum>
  <w:abstractNum w:abstractNumId="11">
    <w:nsid w:val="EF6E2BE3"/>
    <w:multiLevelType w:val="multilevel"/>
    <w:tmpl w:val="EF6E2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F7C1C7B"/>
    <w:multiLevelType w:val="multilevel"/>
    <w:tmpl w:val="EF7C1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DF837C"/>
    <w:multiLevelType w:val="multilevel"/>
    <w:tmpl w:val="EFDF8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17FAB60"/>
    <w:multiLevelType w:val="multilevel"/>
    <w:tmpl w:val="F17FA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5776957"/>
    <w:multiLevelType w:val="multilevel"/>
    <w:tmpl w:val="F5776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B3C4ED4"/>
    <w:multiLevelType w:val="multilevel"/>
    <w:tmpl w:val="FB3C4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CFBC8B7"/>
    <w:multiLevelType w:val="multilevel"/>
    <w:tmpl w:val="FCFBC8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EEC4502"/>
    <w:multiLevelType w:val="multilevel"/>
    <w:tmpl w:val="FEEC4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EF77D3B"/>
    <w:multiLevelType w:val="multilevel"/>
    <w:tmpl w:val="FEF77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DE09A2"/>
    <w:multiLevelType w:val="multilevel"/>
    <w:tmpl w:val="FFDE0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DFABA3"/>
    <w:multiLevelType w:val="multilevel"/>
    <w:tmpl w:val="FFDFA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FEB1A2"/>
    <w:multiLevelType w:val="multilevel"/>
    <w:tmpl w:val="FFFEB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FD9EC"/>
    <w:multiLevelType w:val="multilevel"/>
    <w:tmpl w:val="FFFFD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FFBB04A"/>
    <w:multiLevelType w:val="multilevel"/>
    <w:tmpl w:val="2FFBB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BFC38EA"/>
    <w:multiLevelType w:val="multilevel"/>
    <w:tmpl w:val="3BFC3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DDEA973"/>
    <w:multiLevelType w:val="multilevel"/>
    <w:tmpl w:val="4DDEA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8F954D6"/>
    <w:multiLevelType w:val="multilevel"/>
    <w:tmpl w:val="58F95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ED64DA2"/>
    <w:multiLevelType w:val="multilevel"/>
    <w:tmpl w:val="6ED64D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5E771D5"/>
    <w:multiLevelType w:val="multilevel"/>
    <w:tmpl w:val="75E77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CFEA1C4"/>
    <w:multiLevelType w:val="multilevel"/>
    <w:tmpl w:val="7CFEA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D7BBF44"/>
    <w:multiLevelType w:val="multilevel"/>
    <w:tmpl w:val="7D7BB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DEBCC09"/>
    <w:multiLevelType w:val="multilevel"/>
    <w:tmpl w:val="7DEBC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DFFBF25"/>
    <w:multiLevelType w:val="multilevel"/>
    <w:tmpl w:val="7DFFB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FFF81E9"/>
    <w:multiLevelType w:val="multilevel"/>
    <w:tmpl w:val="7FFF8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7"/>
  </w:num>
  <w:num w:numId="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</w:num>
  <w:num w:numId="4">
    <w:abstractNumId w:val="16"/>
  </w:num>
  <w:num w:numId="5">
    <w:abstractNumId w:val="1"/>
  </w:num>
  <w:num w:numId="6">
    <w:abstractNumId w:val="24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0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1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</w:num>
  <w:num w:numId="15">
    <w:abstractNumId w:val="34"/>
  </w:num>
  <w:num w:numId="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14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2"/>
  </w:num>
  <w:num w:numId="27">
    <w:abstractNumId w:val="2"/>
  </w:num>
  <w:num w:numId="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3"/>
  </w:num>
  <w:num w:numId="32">
    <w:abstractNumId w:val="8"/>
  </w:num>
  <w:num w:numId="33">
    <w:abstractNumId w:val="7"/>
  </w:num>
  <w:num w:numId="34">
    <w:abstractNumId w:val="9"/>
  </w:num>
  <w:num w:numId="35">
    <w:abstractNumId w:val="15"/>
  </w:num>
  <w:num w:numId="36">
    <w:abstractNumId w:val="26"/>
  </w:num>
  <w:num w:numId="37">
    <w:abstractNumId w:val="6"/>
  </w:num>
  <w:num w:numId="38">
    <w:abstractNumId w:val="19"/>
  </w:num>
  <w:num w:numId="39">
    <w:abstractNumId w:val="3"/>
  </w:num>
  <w:num w:numId="40">
    <w:abstractNumId w:val="29"/>
  </w:num>
  <w:num w:numId="41">
    <w:abstractNumId w:val="28"/>
  </w:num>
  <w:num w:numId="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</w:num>
  <w:num w:numId="46">
    <w:abstractNumId w:val="17"/>
  </w:num>
  <w:num w:numId="47">
    <w:abstractNumId w:val="25"/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1"/>
  </w:num>
  <w:num w:numId="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D7C4E"/>
    <w:rsid w:val="4AFD7C4E"/>
    <w:rsid w:val="7CBF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233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2025-03-23T20:17:00Z</dcterms:created>
  <dc:creator>W</dc:creator>
  <cp:lastModifiedBy>W</cp:lastModifiedBy>
  <dcterms:modified xsi:type="dcterms:W3CDTF">2025-03-24T02:24:20Z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60693DA1332263AEE6FBDF67DE5CA333_41</vt:lpwstr>
  </property>
</Properties>
</file>