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B0E5E">
      <w:pPr>
        <w:spacing w:line="800" w:lineRule="exact"/>
        <w:jc w:val="right"/>
        <w:rPr>
          <w:rFonts w:hint="eastAsia" w:ascii="仿宋_GB2312" w:hAnsi="微软雅黑" w:eastAsia="仿宋_GB2312" w:cs="Times New Roman"/>
          <w:sz w:val="28"/>
          <w:szCs w:val="28"/>
        </w:rPr>
      </w:pPr>
      <w:bookmarkStart w:id="0" w:name="_Toc205192224"/>
      <w:r>
        <w:rPr>
          <w:rFonts w:hint="eastAsia" w:ascii="仿宋_GB2312" w:hAnsi="微软雅黑" w:eastAsia="仿宋_GB2312" w:cs="Times New Roman"/>
          <w:sz w:val="28"/>
          <w:szCs w:val="28"/>
        </w:rPr>
        <w:t>内部资料</w:t>
      </w:r>
    </w:p>
    <w:p w14:paraId="5AB31CB0">
      <w:pPr>
        <w:jc w:val="center"/>
        <w:rPr>
          <w:rFonts w:hint="eastAsia" w:ascii="微软雅黑" w:hAnsi="微软雅黑" w:eastAsia="微软雅黑" w:cs="Times New Roman"/>
          <w:b/>
          <w:bCs/>
          <w:color w:val="4472C4"/>
          <w:sz w:val="72"/>
          <w:szCs w:val="72"/>
        </w:rPr>
      </w:pPr>
      <w:r>
        <w:rPr>
          <w:rFonts w:hint="eastAsia" w:ascii="微软雅黑" w:hAnsi="微软雅黑" w:eastAsia="微软雅黑" w:cs="Times New Roman"/>
          <w:b/>
          <w:bCs/>
          <w:color w:val="4472C4"/>
          <w:sz w:val="72"/>
          <w:szCs w:val="72"/>
        </w:rPr>
        <w:t>创新药动向简报</w:t>
      </w:r>
    </w:p>
    <w:p w14:paraId="2460858C">
      <w:pPr>
        <w:spacing w:line="360" w:lineRule="auto"/>
        <w:jc w:val="center"/>
        <w:rPr>
          <w:rFonts w:ascii="Times New Roman" w:hAnsi="Times New Roman" w:eastAsia="微软雅黑" w:cs="Times New Roman"/>
          <w:sz w:val="36"/>
          <w:szCs w:val="36"/>
        </w:rPr>
      </w:pPr>
      <w:r>
        <w:rPr>
          <w:rFonts w:hint="eastAsia" w:ascii="Times New Roman" w:hAnsi="Times New Roman" w:eastAsia="微软雅黑" w:cs="Times New Roman"/>
          <w:sz w:val="36"/>
          <w:szCs w:val="36"/>
        </w:rPr>
        <w:t>（202</w:t>
      </w:r>
      <w:r>
        <w:rPr>
          <w:rFonts w:hint="eastAsia" w:ascii="Times New Roman" w:hAnsi="Times New Roman" w:eastAsia="微软雅黑" w:cs="Times New Roman"/>
          <w:sz w:val="36"/>
          <w:szCs w:val="36"/>
          <w:lang w:val="en-US" w:eastAsia="zh-CN"/>
        </w:rPr>
        <w:t>6</w:t>
      </w:r>
      <w:r>
        <w:rPr>
          <w:rFonts w:hint="eastAsia" w:ascii="Times New Roman" w:hAnsi="Times New Roman" w:eastAsia="微软雅黑" w:cs="Times New Roman"/>
          <w:sz w:val="36"/>
          <w:szCs w:val="36"/>
        </w:rPr>
        <w:t>年1月）</w:t>
      </w:r>
    </w:p>
    <w:sdt>
      <w:sdtPr>
        <w:rPr>
          <w:rFonts w:ascii="Times New Roman" w:hAnsi="Times New Roman" w:eastAsia="宋体" w:cs="Times New Roman"/>
          <w:b/>
          <w:sz w:val="21"/>
          <w:szCs w:val="22"/>
          <w:lang w:val="zh-CN"/>
          <w14:ligatures w14:val="none"/>
        </w:rPr>
        <w:id w:val="365109053"/>
        <w:docPartObj>
          <w:docPartGallery w:val="Table of Contents"/>
          <w:docPartUnique/>
        </w:docPartObj>
      </w:sdtPr>
      <w:sdtEndPr>
        <w:rPr>
          <w:rFonts w:eastAsia="仿宋" w:cs="Times New Roman" w:asciiTheme="minorHAnsi" w:hAnsiTheme="minorHAnsi"/>
          <w:b/>
          <w:bCs/>
          <w:sz w:val="21"/>
          <w:szCs w:val="22"/>
          <w:lang w:val="zh-CN"/>
          <w14:ligatures w14:val="none"/>
        </w:rPr>
      </w:sdtEndPr>
      <w:sdtContent>
        <w:p w14:paraId="25F01E22">
          <w:pPr>
            <w:keepNext/>
            <w:keepLines/>
            <w:widowControl/>
            <w:spacing w:before="312" w:beforeLines="100" w:after="312" w:afterLines="100" w:line="600" w:lineRule="exact"/>
            <w:jc w:val="center"/>
            <w:rPr>
              <w:rFonts w:ascii="Times New Roman" w:hAnsi="Times New Roman" w:eastAsia="微软雅黑" w:cs="Times New Roman"/>
              <w:b/>
              <w:color w:val="4472C4"/>
              <w:kern w:val="0"/>
              <w:sz w:val="40"/>
              <w:szCs w:val="40"/>
            </w:rPr>
          </w:pPr>
          <w:r>
            <w:rPr>
              <w:rFonts w:ascii="等线 Light" w:hAnsi="等线 Light" w:eastAsia="黑体" w:cs="Times New Roman"/>
              <w:color w:val="4472C4"/>
              <w:kern w:val="0"/>
              <w:sz w:val="28"/>
              <w:szCs w:val="3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3810</wp:posOffset>
                    </wp:positionV>
                    <wp:extent cx="5273675" cy="0"/>
                    <wp:effectExtent l="0" t="0" r="0" b="0"/>
                    <wp:wrapNone/>
                    <wp:docPr id="1408378867" name="直接连接符 13"/>
                    <wp:cNvGraphicFramePr/>
                    <a:graphic xmlns:a="http://schemas.openxmlformats.org/drawingml/2006/main">
                      <a:graphicData uri="http://schemas.microsoft.com/office/word/2010/wordprocessingShape">
                        <wps:wsp>
                          <wps:cNvCnPr/>
                          <wps:spPr>
                            <a:xfrm>
                              <a:off x="0" y="0"/>
                              <a:ext cx="5273675" cy="0"/>
                            </a:xfrm>
                            <a:prstGeom prst="line">
                              <a:avLst/>
                            </a:prstGeom>
                            <a:noFill/>
                            <a:ln w="25400" cap="flat" cmpd="sng" algn="ctr">
                              <a:solidFill>
                                <a:srgbClr val="4472C4"/>
                              </a:solidFill>
                              <a:prstDash val="solid"/>
                              <a:miter lim="800000"/>
                            </a:ln>
                            <a:effectLst/>
                          </wps:spPr>
                          <wps:bodyPr/>
                        </wps:wsp>
                      </a:graphicData>
                    </a:graphic>
                  </wp:anchor>
                </w:drawing>
              </mc:Choice>
              <mc:Fallback>
                <w:pict>
                  <v:line id="直接连接符 13" o:spid="_x0000_s1026" o:spt="20" style="position:absolute;left:0pt;margin-top:0.3pt;height:0pt;width:415.25pt;mso-position-horizontal:right;mso-position-horizontal-relative:margin;z-index:251659264;mso-width-relative:page;mso-height-relative:page;" filled="f" stroked="t" coordsize="21600,21600" o:gfxdata="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U3UYnRAAAAAgEAAA8AAAAAAAAAAQAgAAAAIgAAAGRycy9kb3ducmV2LnhtbFBLAQIUABQA&#10;AAAIAIdO4kDRV4Kw9wEAAMoDAAAOAAAAAAAAAAEAIAAAACABAABkcnMvZTJvRG9jLnhtbFBLBQYA&#10;AAAABgAGAFkBAACJBQAAAAA=&#10;">
                    <v:fill on="f" focussize="0,0"/>
                    <v:stroke weight="2pt" color="#4472C4" miterlimit="8" joinstyle="miter"/>
                    <v:imagedata o:title=""/>
                    <o:lock v:ext="edit" aspectratio="f"/>
                  </v:line>
                </w:pict>
              </mc:Fallback>
            </mc:AlternateContent>
          </w:r>
          <w:r>
            <w:rPr>
              <w:rFonts w:ascii="Times New Roman" w:hAnsi="Times New Roman" w:eastAsia="微软雅黑" w:cs="Times New Roman"/>
              <w:b/>
              <w:color w:val="4472C4"/>
              <w:kern w:val="0"/>
              <w:sz w:val="40"/>
              <w:szCs w:val="40"/>
              <w:lang w:val="zh-CN"/>
            </w:rPr>
            <w:t>目  录</w:t>
          </w:r>
        </w:p>
        <w:p w14:paraId="49CAF2AA">
          <w:pPr>
            <w:pStyle w:val="14"/>
            <w:tabs>
              <w:tab w:val="right" w:leader="dot" w:pos="8306"/>
            </w:tabs>
          </w:pPr>
          <w:r>
            <w:rPr>
              <w:rStyle w:val="24"/>
              <w:rFonts w:ascii="Times New Roman" w:hAnsi="Times New Roman" w:eastAsia="仿宋"/>
            </w:rPr>
            <w:fldChar w:fldCharType="begin"/>
          </w:r>
          <w:r>
            <w:rPr>
              <w:rStyle w:val="24"/>
              <w:rFonts w:ascii="Times New Roman" w:hAnsi="Times New Roman" w:eastAsia="仿宋"/>
            </w:rPr>
            <w:instrText xml:space="preserve"> TOC \o "1-3" \h \z \u </w:instrText>
          </w:r>
          <w:r>
            <w:rPr>
              <w:rStyle w:val="24"/>
              <w:rFonts w:ascii="Times New Roman" w:hAnsi="Times New Roman" w:eastAsia="仿宋"/>
            </w:rPr>
            <w:fldChar w:fldCharType="separate"/>
          </w:r>
          <w:r>
            <w:rPr>
              <w:rFonts w:ascii="Times New Roman" w:hAnsi="Times New Roman" w:eastAsia="仿宋"/>
            </w:rPr>
            <w:fldChar w:fldCharType="begin"/>
          </w:r>
          <w:r>
            <w:rPr>
              <w:rFonts w:ascii="Times New Roman" w:hAnsi="Times New Roman" w:eastAsia="仿宋"/>
            </w:rPr>
            <w:instrText xml:space="preserve"> HYPERLINK \l _Toc1936504471 </w:instrText>
          </w:r>
          <w:r>
            <w:rPr>
              <w:rFonts w:ascii="Times New Roman" w:hAnsi="Times New Roman" w:eastAsia="仿宋"/>
            </w:rPr>
            <w:fldChar w:fldCharType="separate"/>
          </w:r>
          <w:r>
            <w:rPr>
              <w:rFonts w:hint="eastAsia" w:ascii="Times New Roman" w:hAnsi="Times New Roman" w:eastAsia="黑体" w:cs="Times New Roman"/>
              <w:bCs/>
              <w:szCs w:val="32"/>
            </w:rPr>
            <w:t>技术动向</w:t>
          </w:r>
          <w:r>
            <w:tab/>
          </w:r>
          <w:r>
            <w:fldChar w:fldCharType="begin"/>
          </w:r>
          <w:r>
            <w:instrText xml:space="preserve"> PAGEREF _Toc1936504471 \h </w:instrText>
          </w:r>
          <w:r>
            <w:fldChar w:fldCharType="separate"/>
          </w:r>
          <w:r>
            <w:t>1</w:t>
          </w:r>
          <w:r>
            <w:fldChar w:fldCharType="end"/>
          </w:r>
          <w:r>
            <w:rPr>
              <w:rFonts w:ascii="Times New Roman" w:hAnsi="Times New Roman" w:eastAsia="仿宋"/>
            </w:rPr>
            <w:fldChar w:fldCharType="end"/>
          </w:r>
        </w:p>
        <w:p w14:paraId="2A9B3A88">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_Toc1715973812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碱基编辑技术推动通用型CAR-T细胞治疗白血病取得进展</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_Toc1715973812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2E134B38">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_Toc1813962721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辉瑞BRAFTOVI®联合化疗方案提高特定转移性结直肠癌患者缓解率</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_Toc1813962721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37E555FD">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_Toc1593599035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Tafasitamab联合来那度胺与利妥昔单抗治疗复发或难治性滤泡性淋巴瘤Ⅲ期临床试验取得进展</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_Toc1593599035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95D3623">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_Toc202935861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粪菌移植联合免疫治疗在非小细胞肺癌和黑色素瘤中的II期FMT-LUMINate试验进展</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_Toc202935861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1B5635F2">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_Toc538984391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氟化脂质纳米颗粒在mRNA递送实时追踪与免疫激活时空机制研究中取得进展</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_Toc538984391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30E993EB">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_Toc624636491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生物响应型免疫调节纳米复合物在转移性淋巴结选择性免疫工程中取得新进展</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_Toc624636491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5EB05AFF">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_Toc1365437701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单剂量含非典型密码子减毒活疫苗在广谱β冠状病毒免疫及传播阻断研究中取得进展</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_Toc1365437701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4</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6C150DF7">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_Toc901188865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百时美施贵宝与微软合作推进人工智能驱动的肺癌早期检测</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_Toc901188865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4</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3C61E4CB">
          <w:pPr>
            <w:pStyle w:val="17"/>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_Toc79091764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粪便微生物群移植联合免疫治疗在转移性肾细胞癌中的Ⅰ期PERFORM试验</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_Toc79091764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3E6115BC">
          <w:pPr>
            <w:pStyle w:val="14"/>
            <w:tabs>
              <w:tab w:val="right" w:leader="dot" w:pos="8306"/>
            </w:tabs>
          </w:pPr>
          <w:r>
            <w:rPr>
              <w:rFonts w:ascii="Times New Roman" w:hAnsi="Times New Roman" w:eastAsia="仿宋"/>
            </w:rPr>
            <w:fldChar w:fldCharType="begin"/>
          </w:r>
          <w:r>
            <w:rPr>
              <w:rFonts w:ascii="Times New Roman" w:hAnsi="Times New Roman" w:eastAsia="仿宋"/>
            </w:rPr>
            <w:instrText xml:space="preserve"> HYPERLINK \l _Toc2900055 </w:instrText>
          </w:r>
          <w:r>
            <w:rPr>
              <w:rFonts w:ascii="Times New Roman" w:hAnsi="Times New Roman" w:eastAsia="仿宋"/>
            </w:rPr>
            <w:fldChar w:fldCharType="separate"/>
          </w:r>
          <w:r>
            <w:rPr>
              <w:rFonts w:hint="eastAsia" w:ascii="Times New Roman" w:hAnsi="Times New Roman" w:eastAsia="黑体" w:cs="Times New Roman"/>
              <w:bCs/>
              <w:szCs w:val="32"/>
            </w:rPr>
            <w:t>产品动态</w:t>
          </w:r>
          <w:r>
            <w:tab/>
          </w:r>
          <w:r>
            <w:fldChar w:fldCharType="begin"/>
          </w:r>
          <w:r>
            <w:instrText xml:space="preserve"> PAGEREF _Toc2900055 \h </w:instrText>
          </w:r>
          <w:r>
            <w:fldChar w:fldCharType="separate"/>
          </w:r>
          <w:r>
            <w:t>6</w:t>
          </w:r>
          <w:r>
            <w:fldChar w:fldCharType="end"/>
          </w:r>
          <w:r>
            <w:rPr>
              <w:rFonts w:ascii="Times New Roman" w:hAnsi="Times New Roman" w:eastAsia="仿宋"/>
            </w:rPr>
            <w:fldChar w:fldCharType="end"/>
          </w:r>
        </w:p>
        <w:p w14:paraId="6FD14A0D">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_Toc1496584151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2025年人类药物研究进展</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_Toc1496584151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6</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1AC9B097">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_Toc1761352193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慢性移植物抗宿主病治疗新药</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_Toc1761352193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6</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5699A086">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_Toc2131717503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罕见胸腺激酶2缺乏症首个治疗方法获批</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_Toc2131717503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6</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47C3A3BF">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_Toc1306390020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Nirogacestat hydrobromide获批用于治疗硬纤维瘤</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_Toc1306390020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6BDAB47D">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_Toc624259212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诺华ianalumab获FDA突破性疗法认定用于干燥综合征治疗</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_Toc624259212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18B5BEE4">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_Toc1466960489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赛诺菲Teizeild获欧盟批准用于2型1型糖尿病患者</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_Toc1466960489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4C3EAAD1">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_Toc2092671063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诺和诺德 Wegovy® 口服制剂作为首个且唯一用于成人减肥的口服GLP-1药物在美国广泛上市</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_Toc2092671063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8</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620BDF8B">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_Toc35385275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强生AKEEGA获CHMP积极意见用于治疗BRCA1/2突变的转移性激素敏感性前列腺癌</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_Toc35385275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1987AF63">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_Toc2014830353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EPCORE FL-1 Ⅲ期临床试验在复发或难治性滤泡淋巴瘤治疗中取得进展</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_Toc2014830353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4F1E878E">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_Toc1731596975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礼来sofetabart mipitecan获美国FDA突破性疗法认定用于治疗特定铂耐药卵巢癌患者</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_Toc1731596975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10</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2128B6D5">
          <w:pPr>
            <w:pStyle w:val="17"/>
            <w:tabs>
              <w:tab w:val="right" w:leader="dot" w:pos="8306"/>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_Toc251974681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罕见胸腺激酶2缺乏症首次治疗取得进展</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_Toc251974681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10</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3F0DDC41">
          <w:pPr>
            <w:pStyle w:val="17"/>
            <w:tabs>
              <w:tab w:val="right" w:leader="dot" w:pos="8296"/>
            </w:tabs>
            <w:spacing w:line="360" w:lineRule="auto"/>
            <w:rPr>
              <w:rFonts w:hint="eastAsia" w:eastAsia="仿宋" w:cs="Times New Roman"/>
              <w:b/>
              <w:bCs/>
              <w:sz w:val="22"/>
              <w:szCs w:val="24"/>
              <w:lang w:val="zh-CN"/>
            </w:rPr>
            <w:sectPr>
              <w:footerReference r:id="rId6" w:type="first"/>
              <w:footerReference r:id="rId5" w:type="default"/>
              <w:pgSz w:w="11906" w:h="16838"/>
              <w:pgMar w:top="1440" w:right="1800" w:bottom="1440" w:left="1800" w:header="851" w:footer="992" w:gutter="0"/>
              <w:cols w:space="425" w:num="1"/>
              <w:docGrid w:type="lines" w:linePitch="312" w:charSpace="0"/>
            </w:sectPr>
          </w:pPr>
          <w:r>
            <w:rPr>
              <w:rFonts w:ascii="Times New Roman" w:hAnsi="Times New Roman" w:eastAsia="仿宋"/>
            </w:rPr>
            <w:fldChar w:fldCharType="end"/>
          </w:r>
        </w:p>
      </w:sdtContent>
    </w:sdt>
    <w:p w14:paraId="173B1F8B">
      <w:pPr>
        <w:keepNext/>
        <w:keepLines/>
        <w:spacing w:before="120" w:after="120" w:line="500" w:lineRule="exact"/>
        <w:outlineLvl w:val="0"/>
        <w:rPr>
          <w:rFonts w:ascii="Times New Roman" w:hAnsi="Times New Roman" w:eastAsia="黑体" w:cs="Times New Roman"/>
          <w:b/>
          <w:bCs/>
          <w:color w:val="4472C4"/>
          <w:sz w:val="32"/>
          <w:szCs w:val="32"/>
        </w:rPr>
      </w:pPr>
      <w:bookmarkStart w:id="1" w:name="_Toc1936504471"/>
      <w:r>
        <w:rPr>
          <w:rFonts w:hint="eastAsia" w:ascii="Times New Roman" w:hAnsi="Times New Roman" w:eastAsia="黑体" w:cs="Times New Roman"/>
          <w:b/>
          <w:bCs/>
          <w:color w:val="4472C4"/>
          <w:sz w:val="32"/>
          <w:szCs w:val="32"/>
        </w:rPr>
        <w:t>技术动向</w:t>
      </w:r>
      <w:bookmarkEnd w:id="1"/>
    </w:p>
    <w:bookmarkEnd w:id="0"/>
    <w:p w14:paraId="1F279C5D">
      <w:pPr>
        <w:pStyle w:val="50"/>
      </w:pPr>
      <w:bookmarkStart w:id="2" w:name="_Toc1715973812"/>
      <w:bookmarkStart w:id="3" w:name="OLE_LINK16"/>
      <w:bookmarkStart w:id="4" w:name="_Toc205192241"/>
      <w:bookmarkStart w:id="5" w:name="OLE_LINK1"/>
      <w:r>
        <w:rPr>
          <w:rFonts w:hint="eastAsia"/>
        </w:rPr>
        <w:t>碱基编辑技术推动通用型CAR-T细胞治疗白血病取得进展</w:t>
      </w:r>
      <w:bookmarkEnd w:id="2"/>
    </w:p>
    <w:p w14:paraId="4DA65E8C">
      <w:pPr>
        <w:pStyle w:val="48"/>
      </w:pPr>
      <w:r>
        <w:rPr>
          <w:rFonts w:hint="eastAsia"/>
        </w:rPr>
        <w:t>2026年1月30日，《Nature》发表研究显示</w:t>
      </w:r>
      <w:r>
        <w:rPr>
          <w:rStyle w:val="25"/>
          <w:rFonts w:hint="eastAsia"/>
        </w:rPr>
        <w:footnoteReference w:id="0"/>
      </w:r>
      <w:r>
        <w:rPr>
          <w:rFonts w:hint="eastAsia"/>
        </w:rPr>
        <w:t>，碱基编辑的CAR-T细胞在T细胞急性淋巴细胞白血病患者中展现出治疗潜力。该细胞能特异性破坏白血病T细胞且自身不受损伤，成功诱导患者缓解并为后续干细胞移植创造条件。</w:t>
      </w:r>
    </w:p>
    <w:p w14:paraId="0285F4A2">
      <w:pPr>
        <w:pStyle w:val="50"/>
      </w:pPr>
      <w:bookmarkStart w:id="6" w:name="_Toc1813962721"/>
      <w:r>
        <w:rPr>
          <w:rFonts w:hint="eastAsia"/>
        </w:rPr>
        <w:t>辉瑞BRAFTOVI®联合化疗方案提高特定转移性结直肠癌患者缓解率</w:t>
      </w:r>
      <w:bookmarkEnd w:id="6"/>
    </w:p>
    <w:p w14:paraId="296A18BB">
      <w:pPr>
        <w:pStyle w:val="48"/>
        <w:keepNext w:val="0"/>
        <w:keepLines w:val="0"/>
        <w:pageBreakBefore w:val="0"/>
        <w:widowControl/>
        <w:kinsoku/>
        <w:wordWrap/>
        <w:overflowPunct/>
        <w:topLinePunct w:val="0"/>
        <w:autoSpaceDE/>
        <w:autoSpaceDN/>
        <w:bidi w:val="0"/>
        <w:adjustRightInd/>
        <w:snapToGrid/>
        <w:ind w:left="0" w:leftChars="0" w:firstLine="592" w:firstLineChars="200"/>
        <w:textAlignment w:val="auto"/>
        <w:rPr>
          <w:rFonts w:hint="eastAsia"/>
        </w:rPr>
      </w:pPr>
      <w:r>
        <w:rPr>
          <w:rFonts w:hint="eastAsia"/>
        </w:rPr>
        <w:t>2026年1月10日，辉瑞公司宣布其BRAFTOVI®（encorafenib）联合西妥昔单抗（ERBITUX®）及FOLFIRI化疗方案，在BREAKWATER试验第三队列中用于治疗既往未经治疗的BRAF V600E突变转移性结直肠癌（mCRC）患者，显示出具有临床意义和统计学显著性的疗效改善</w:t>
      </w:r>
      <w:r>
        <w:rPr>
          <w:rStyle w:val="25"/>
          <w:rFonts w:hint="eastAsia"/>
        </w:rPr>
        <w:footnoteReference w:id="1"/>
      </w:r>
      <w:r>
        <w:rPr>
          <w:rFonts w:hint="eastAsia"/>
        </w:rPr>
        <w:t>。经盲态独立中心审查（BICR）评估的确认客观缓解率（ORR）达64.4%，显著优于标准治疗FOLFIRI±贝伐珠单抗的39.2%（比值比=2.76，p=0.001），中位缓解持续时间尚未达到，6个月以上缓解率分别为57.4%和34.5%，总生存期数据描述性分析显示风险比为0.49，安全性特征与已知各药物安全性一致，未发现新的安全信号。该方案目前为研究性用药，而BRAFTOVI联合西妥昔单抗和mFOLFOX6方案已于2024年12月获FDA加速批准用于该适应症，此次结果进一步支持了BRAFTOVI作为该侵袭性癌症标准治疗的潜力，并体现了化疗骨架的灵活性。</w:t>
      </w:r>
    </w:p>
    <w:p w14:paraId="7A02533D">
      <w:pPr>
        <w:pStyle w:val="50"/>
        <w:jc w:val="center"/>
        <w:rPr>
          <w:rFonts w:hint="eastAsia" w:eastAsia="黑体"/>
          <w:lang w:val="en-US" w:eastAsia="zh-CN"/>
        </w:rPr>
      </w:pPr>
      <w:bookmarkStart w:id="7" w:name="_Toc1593599035"/>
      <w:r>
        <w:rPr>
          <w:rFonts w:hint="eastAsia"/>
          <w:lang w:val="en-US" w:eastAsia="zh-CN"/>
        </w:rPr>
        <w:t>Tafasitamab联合来那度胺与利妥昔单抗治疗复发或难治性滤泡性淋巴瘤Ⅲ期临床试验取得进展</w:t>
      </w:r>
      <w:bookmarkEnd w:id="7"/>
    </w:p>
    <w:p w14:paraId="400EBCFC">
      <w:pPr>
        <w:pStyle w:val="48"/>
        <w:rPr>
          <w:rFonts w:hint="eastAsia"/>
        </w:rPr>
      </w:pPr>
      <w:r>
        <w:rPr>
          <w:rFonts w:hint="eastAsia"/>
        </w:rPr>
        <w:t>2026年1月10日，《Lancet》发表了一项关于复发或难治性滤泡性淋巴瘤治疗的III期临床试验（inMIND）结果</w:t>
      </w:r>
      <w:r>
        <w:rPr>
          <w:rStyle w:val="25"/>
          <w:rFonts w:hint="eastAsia"/>
        </w:rPr>
        <w:footnoteReference w:id="2"/>
      </w:r>
      <w:r>
        <w:rPr>
          <w:rFonts w:hint="eastAsia"/>
        </w:rPr>
        <w:t>。该研究评估了在来那度胺联合利妥昔单抗基础上添加CD19靶向Fc增强单克隆抗体tafasitamab的疗效与安全性，共纳入548例患者并随机分配至tafasitamab组（273例）或安慰剂组（275例）。结果显示，tafasitamab组的中位无进展生存期显著延长至22.4个月（安慰剂组为13.9个月），疾病进展、复发或死亡风险降低57%（HR=0.43，p&lt;0.0001），且安全性良好，最常见不良事件为中性粒细胞减少和腹泻。该联合疗法为复发或难治性滤泡性淋巴瘤患者提供了潜在的新标准治疗方案。</w:t>
      </w:r>
    </w:p>
    <w:p w14:paraId="751621A2">
      <w:pPr>
        <w:pStyle w:val="50"/>
      </w:pPr>
      <w:bookmarkStart w:id="8" w:name="_Toc202935861"/>
      <w:r>
        <w:rPr>
          <w:rFonts w:hint="eastAsia"/>
        </w:rPr>
        <w:t>粪菌移植联合免疫治疗在非小细胞肺癌和黑色素瘤中的II期FMT-LUMINate试验进展</w:t>
      </w:r>
      <w:bookmarkEnd w:id="8"/>
    </w:p>
    <w:p w14:paraId="3527B67D">
      <w:pPr>
        <w:pStyle w:val="48"/>
      </w:pPr>
      <w:r>
        <w:rPr>
          <w:rFonts w:hint="eastAsia"/>
        </w:rPr>
        <w:t>2026年1月28日，《Nature》发表FMT-LUMINate试验结果，该 multicenter、open-label的2期试验评估了健康供体粪菌移植（FMT）联合免疫检查点抑制剂（ICI）在非小细胞肺癌（NSCLC）和黑色素瘤患者中的临床活性与安全性。在NSCLC队列（n=20）中，FMT联合抗PD-1疗法的客观缓解率（ORR）达80%（16/20），达到主要终点；黑色素瘤队列（n=20）采用FMT联合抗PD-1+抗CTLA-4双ICI疗法，ORR为75%（15/20）。安全性方面，NSCLC队列无3级及以上不良事件，黑色素瘤队列65%（13/20）患者出现3级及以上不良事件。宏基因组测序显示，应答者在FMT后形成独特肠道菌群结构，与供体-受体相似度或菌株植入无关，且基线有害菌（如Enterocloster citroniae、E. lavalensis、Clostridium innocuum）的显著减少是FMT增效的关键，该发现经三项已发表FMT肿瘤试验验证。动物实验进一步证实，恢复这些丢失的菌种可消除ICI的抗肿瘤效果。研究证实FMT联合ICI的临床活性，并提示清除有害菌群是FMT发挥治疗效益的必要条件。</w:t>
      </w:r>
    </w:p>
    <w:p w14:paraId="03E65A05">
      <w:pPr>
        <w:pStyle w:val="50"/>
        <w:rPr>
          <w:rFonts w:hint="eastAsia"/>
        </w:rPr>
      </w:pPr>
      <w:bookmarkStart w:id="9" w:name="_Toc538984391"/>
      <w:bookmarkStart w:id="10" w:name="OLE_LINK12"/>
      <w:r>
        <w:rPr>
          <w:rFonts w:hint="eastAsia"/>
        </w:rPr>
        <w:t>氟化脂质纳米颗粒在mRNA递送实时追踪与免疫激活时空机制研究中取得进展</w:t>
      </w:r>
      <w:bookmarkEnd w:id="9"/>
    </w:p>
    <w:bookmarkEnd w:id="10"/>
    <w:p w14:paraId="047BA1F0">
      <w:pPr>
        <w:pStyle w:val="48"/>
      </w:pPr>
      <w:r>
        <w:rPr>
          <w:rFonts w:hint="eastAsia"/>
        </w:rPr>
        <w:t>2026年1月2日，PNAS发表研究</w:t>
      </w:r>
      <w:r>
        <w:rPr>
          <w:rStyle w:val="25"/>
          <w:rFonts w:hint="eastAsia"/>
        </w:rPr>
        <w:footnoteReference w:id="3"/>
      </w:r>
      <w:r>
        <w:rPr>
          <w:rFonts w:hint="eastAsia"/>
        </w:rPr>
        <w:t>，报道了氟化脂质纳米颗粒（FLNPs）在mRNA疫苗递送领域的新进展。该FLNPs可通过19F磁共振波谱/成像（NMR/MRI）实现mRNA体内 biodistribution 和表达的实时追踪，同时保留与临床LNPs相当的蛋白表达能力，并将肝脏蓄积减少94.6%。研究通过整合氟信号定量与mRNA翻译及抗原呈递的空间分析，建立了载体定位、抗原表达动力学与免疫细胞 trafficking 之间的直接关联，为mRNA疫苗的精准递送和非侵入性追踪提供了有力工具，有望推动下一代mRNA疫苗的机制研究和合理设计。</w:t>
      </w:r>
    </w:p>
    <w:p w14:paraId="34AEA0FC">
      <w:pPr>
        <w:pStyle w:val="50"/>
        <w:rPr>
          <w:rFonts w:hint="eastAsia" w:eastAsia="黑体"/>
          <w:lang w:val="en-US" w:eastAsia="zh-CN"/>
        </w:rPr>
      </w:pPr>
      <w:bookmarkStart w:id="11" w:name="_Toc624636491"/>
      <w:r>
        <w:rPr>
          <w:rFonts w:hint="eastAsia"/>
          <w:lang w:val="en-US" w:eastAsia="zh-CN"/>
        </w:rPr>
        <w:t>生物响应型免疫调节纳米复合物在转移性淋巴结选择性免疫工程中取得新进展</w:t>
      </w:r>
      <w:bookmarkEnd w:id="11"/>
    </w:p>
    <w:p w14:paraId="5EABC2FD">
      <w:pPr>
        <w:pStyle w:val="48"/>
      </w:pPr>
      <w:r>
        <w:rPr>
          <w:rFonts w:hint="eastAsia"/>
        </w:rPr>
        <w:t>2026年1月20日，《PNAS》发表研究</w:t>
      </w:r>
      <w:r>
        <w:rPr>
          <w:rStyle w:val="25"/>
          <w:rFonts w:hint="eastAsia"/>
        </w:rPr>
        <w:footnoteReference w:id="4"/>
      </w:r>
      <w:r>
        <w:rPr>
          <w:rFonts w:hint="eastAsia"/>
        </w:rPr>
        <w:t>，报道了一种生物响应性淋巴结靶向免疫调节剂纳米复合物的研发。该复合物通过趋化因子受体7修饰实现淋巴结靶向，并响应转移性淋巴结细胞外基质中升高的谷胱甘肽选择性释放抗PD-1抗体。在两种小鼠模型中，该纳米复合物可选择性激活转移性淋巴结内T细胞介导的抗肿瘤免疫应答，有效抑制肿瘤生长并延长动物生存期。其模块化设计能便捷整合具有显著全身毒性的其他免疫治疗药物，有望减少完全淋巴结清扫的必要性，为多种癌症患者提供新的治疗选择。</w:t>
      </w:r>
    </w:p>
    <w:p w14:paraId="41E41203">
      <w:pPr>
        <w:pStyle w:val="50"/>
        <w:rPr>
          <w:rFonts w:hint="eastAsia" w:eastAsia="黑体"/>
          <w:lang w:val="en-US" w:eastAsia="zh-CN"/>
        </w:rPr>
      </w:pPr>
      <w:bookmarkStart w:id="12" w:name="_Toc1365437701"/>
      <w:r>
        <w:rPr>
          <w:rFonts w:hint="eastAsia"/>
          <w:lang w:val="en-US" w:eastAsia="zh-CN"/>
        </w:rPr>
        <w:t>单剂量含非典型密码子减毒活疫苗在广谱β冠状病毒免疫及传播阻断研究中取得进展</w:t>
      </w:r>
      <w:bookmarkEnd w:id="12"/>
    </w:p>
    <w:p w14:paraId="73DD4677">
      <w:pPr>
        <w:pStyle w:val="48"/>
        <w:rPr>
          <w:rFonts w:hint="eastAsia"/>
        </w:rPr>
      </w:pPr>
      <w:r>
        <w:rPr>
          <w:rFonts w:hint="eastAsia"/>
        </w:rPr>
        <w:t>2026年1月23日，《PNAS》发表研究</w:t>
      </w:r>
      <w:r>
        <w:rPr>
          <w:rStyle w:val="25"/>
          <w:rFonts w:hint="eastAsia"/>
        </w:rPr>
        <w:footnoteReference w:id="5"/>
      </w:r>
      <w:r>
        <w:rPr>
          <w:rFonts w:hint="eastAsia"/>
        </w:rPr>
        <w:t>，报道了一种通过改变SARS-CoV-2基因组密码子使用偏好研发的减毒活广谱冠状病毒疫苗（cb1）。该疫苗在保持氨基酸序列保守性的同时降低了毒力，单次鼻内接种可诱导强大的中和抗体和T细胞应答，在动物模型中实现完全保护并能预防病毒向未接种接触者传播。值得注意的是，cb1不仅对多种SARS-CoV-2关切变异株具有交叉保护作用，还对SARS-CoV-1和hCoV-OC43等更具差异性的冠状病毒有效，其免疫广度超越现有疫苗，为开发具有广泛、持久黏膜免疫效果的下一代COVID-19疫苗提供了潜力，有望减少频繁更新的需求。</w:t>
      </w:r>
    </w:p>
    <w:p w14:paraId="7B46D7AE">
      <w:pPr>
        <w:pStyle w:val="50"/>
        <w:rPr>
          <w:rFonts w:hint="eastAsia" w:eastAsia="黑体"/>
          <w:lang w:val="en-US" w:eastAsia="zh-CN"/>
        </w:rPr>
      </w:pPr>
      <w:bookmarkStart w:id="13" w:name="_Toc901188865"/>
      <w:r>
        <w:rPr>
          <w:rFonts w:hint="eastAsia"/>
          <w:lang w:val="en-US" w:eastAsia="zh-CN"/>
        </w:rPr>
        <w:t>百时美施贵宝与微软合作推进人工智能驱动的肺癌早期检测</w:t>
      </w:r>
      <w:bookmarkEnd w:id="13"/>
    </w:p>
    <w:p w14:paraId="37092547">
      <w:pPr>
        <w:pStyle w:val="48"/>
        <w:rPr>
          <w:rFonts w:hint="eastAsia"/>
        </w:rPr>
      </w:pPr>
      <w:r>
        <w:rPr>
          <w:rFonts w:hint="eastAsia"/>
        </w:rPr>
        <w:t>2026年1月20日，百时美施贵宝（BMS）宣布与微软合作推进AI驱动肺癌早期检测</w:t>
      </w:r>
      <w:r>
        <w:rPr>
          <w:rStyle w:val="25"/>
          <w:rFonts w:hint="eastAsia"/>
        </w:rPr>
        <w:footnoteReference w:id="6"/>
      </w:r>
      <w:r>
        <w:rPr>
          <w:rFonts w:hint="eastAsia"/>
        </w:rPr>
        <w:t>。双方将FDA批准的放射学AI算法部署于微软Precision Imaging Network，自动分析X光和CT图像识别肺结节，助力放射科医生发现早期肺癌患者；针对美国每年约22.7万新发肺癌病例及超半数偶发结节患者失访问题，通过工作流管理工具追踪患者全程诊疗；重点覆盖农村医院和社区诊所等医疗资源不足社区，促进早期诊断和公平医疗。该合作结合微软可扩展放射学解决方案与BMS肿瘤学专业知识，旨在提高非小细胞肺癌识别效率并引导患者进入精准治疗路径。</w:t>
      </w:r>
    </w:p>
    <w:p w14:paraId="546A47D5">
      <w:pPr>
        <w:pStyle w:val="50"/>
        <w:rPr>
          <w:rFonts w:hint="eastAsia"/>
          <w:lang w:val="en-US" w:eastAsia="zh-CN"/>
        </w:rPr>
      </w:pPr>
      <w:bookmarkStart w:id="14" w:name="_Toc79091764"/>
      <w:r>
        <w:rPr>
          <w:rFonts w:hint="eastAsia"/>
          <w:lang w:val="en-US" w:eastAsia="zh-CN"/>
        </w:rPr>
        <w:t>粪便微生物群移植联合免疫治疗在转移性肾细胞癌中的Ⅰ期PERFORM试验</w:t>
      </w:r>
      <w:bookmarkEnd w:id="14"/>
    </w:p>
    <w:p w14:paraId="5193C626">
      <w:pPr>
        <w:pStyle w:val="48"/>
        <w:rPr>
          <w:rFonts w:hint="eastAsia"/>
        </w:rPr>
      </w:pPr>
      <w:r>
        <w:rPr>
          <w:rFonts w:hint="eastAsia"/>
        </w:rPr>
        <w:t>2026年1月28日，《Nature》发表的一项1期临床试验结果显示</w:t>
      </w:r>
      <w:r>
        <w:rPr>
          <w:rStyle w:val="25"/>
          <w:rFonts w:hint="eastAsia"/>
        </w:rPr>
        <w:footnoteReference w:id="7"/>
      </w:r>
      <w:r>
        <w:rPr>
          <w:rFonts w:hint="eastAsia"/>
        </w:rPr>
        <w:t>，健康供体粪菌移植（FMT，LND101）联合免疫检查点抑制剂（ICIs）在转移性肾细胞癌（mRCC）初治患者中具有良好的安全性。该研究纳入20例患者，主要终点为免疫相关不良事件（irAEs）的发生率和严重程度，50%（10/20）的患者出现3级irAEs，无严重FMT相关毒性或4/5级irAEs。在可评估患者中，客观缓解率为50%（9/18），包括2例完全缓解（11%）。研究发现，肠道菌群α多样性改善及具有抗炎特性的菌群和代谢功能的持久植入与毒性降低和疗效改善相关；而发生3级irAEs的患者表现出Copri Segatella的扩张及促炎相关供体来源微生物酶水平升高。这些结果表明，功能性肠道菌群移植有望优化ICIs治疗mRCC的疗效并减少毒性。</w:t>
      </w:r>
    </w:p>
    <w:p w14:paraId="74E5C4E9">
      <w:pPr>
        <w:pStyle w:val="48"/>
        <w:rPr>
          <w:rFonts w:hint="eastAsia"/>
        </w:rPr>
      </w:pPr>
    </w:p>
    <w:bookmarkEnd w:id="3"/>
    <w:p w14:paraId="6E80B54C">
      <w:pPr>
        <w:keepNext/>
        <w:keepLines/>
        <w:spacing w:before="120" w:after="120" w:line="500" w:lineRule="exact"/>
        <w:outlineLvl w:val="0"/>
        <w:rPr>
          <w:rFonts w:ascii="Times New Roman" w:hAnsi="Times New Roman" w:eastAsia="黑体" w:cs="Times New Roman"/>
          <w:b/>
          <w:bCs/>
          <w:color w:val="4472C4"/>
          <w:sz w:val="32"/>
          <w:szCs w:val="32"/>
        </w:rPr>
      </w:pPr>
      <w:bookmarkStart w:id="15" w:name="_Toc2900055"/>
      <w:r>
        <w:rPr>
          <w:rFonts w:hint="eastAsia" w:ascii="Times New Roman" w:hAnsi="Times New Roman" w:eastAsia="黑体" w:cs="Times New Roman"/>
          <w:b/>
          <w:bCs/>
          <w:color w:val="4472C4"/>
          <w:sz w:val="32"/>
          <w:szCs w:val="32"/>
        </w:rPr>
        <w:t>产品动态</w:t>
      </w:r>
      <w:bookmarkEnd w:id="4"/>
      <w:bookmarkEnd w:id="15"/>
    </w:p>
    <w:p w14:paraId="07335269">
      <w:pPr>
        <w:pStyle w:val="50"/>
        <w:rPr>
          <w:rFonts w:hint="eastAsia" w:eastAsia="黑体"/>
          <w:lang w:val="en-US" w:eastAsia="zh-CN"/>
        </w:rPr>
      </w:pPr>
      <w:bookmarkStart w:id="16" w:name="_Toc1496584151"/>
      <w:bookmarkStart w:id="17" w:name="_Hlk215566765"/>
      <w:r>
        <w:rPr>
          <w:rFonts w:hint="eastAsia"/>
          <w:lang w:val="en-US" w:eastAsia="zh-CN"/>
        </w:rPr>
        <w:t>2025年人类药物研究进展</w:t>
      </w:r>
      <w:bookmarkEnd w:id="16"/>
    </w:p>
    <w:p w14:paraId="610B8BE3">
      <w:pPr>
        <w:pStyle w:val="48"/>
        <w:rPr>
          <w:rFonts w:hint="eastAsia"/>
        </w:rPr>
      </w:pPr>
      <w:r>
        <w:rPr>
          <w:rFonts w:hint="eastAsia"/>
        </w:rPr>
        <w:t>2026年1月15日，EMA发布信息显示</w:t>
      </w:r>
      <w:r>
        <w:rPr>
          <w:rStyle w:val="25"/>
          <w:rFonts w:hint="eastAsia"/>
        </w:rPr>
        <w:footnoteReference w:id="8"/>
      </w:r>
      <w:r>
        <w:rPr>
          <w:rFonts w:hint="eastAsia"/>
        </w:rPr>
        <w:t>，2025年其共推荐104种药品用于上市授权，其中38种含有此前未在欧盟获批的新活性物质。这些创新药物对公共健康意义重大，包括首个治疗非囊性纤维化支气管扩张症的药物、首个延缓儿童和成人1型糖尿病3期发病的同类首创疗法，以及首个治疗产后抑郁症的口服药物。</w:t>
      </w:r>
    </w:p>
    <w:p w14:paraId="28A9C849">
      <w:pPr>
        <w:pStyle w:val="50"/>
        <w:rPr>
          <w:rFonts w:hint="eastAsia" w:eastAsia="黑体"/>
          <w:lang w:val="en-US" w:eastAsia="zh-CN"/>
        </w:rPr>
      </w:pPr>
      <w:bookmarkStart w:id="18" w:name="_Toc1761352193"/>
      <w:r>
        <w:rPr>
          <w:rFonts w:hint="eastAsia"/>
          <w:lang w:val="en-US" w:eastAsia="zh-CN"/>
        </w:rPr>
        <w:t>慢性移植物抗宿主病治疗新药</w:t>
      </w:r>
      <w:bookmarkEnd w:id="18"/>
    </w:p>
    <w:p w14:paraId="3CEA4BED">
      <w:pPr>
        <w:pStyle w:val="48"/>
        <w:rPr>
          <w:rFonts w:hint="eastAsia"/>
        </w:rPr>
      </w:pPr>
      <w:r>
        <w:rPr>
          <w:rFonts w:hint="eastAsia"/>
        </w:rPr>
        <w:t>2026年1月30日，欧洲药品管理局（EMA）建议授予Rezurock（belumosudil）有条件上市许可</w:t>
      </w:r>
      <w:r>
        <w:rPr>
          <w:rStyle w:val="25"/>
          <w:rFonts w:hint="eastAsia"/>
        </w:rPr>
        <w:footnoteReference w:id="9"/>
      </w:r>
      <w:r>
        <w:rPr>
          <w:rFonts w:hint="eastAsia"/>
        </w:rPr>
        <w:t>，用于治疗成人及12岁以上体重至少40公斤的慢性移植物抗宿主病（GvHD）患者。该药物适用于其他治疗选择临床获益有限、不适用或已用尽的情况。</w:t>
      </w:r>
    </w:p>
    <w:p w14:paraId="3A6F4539">
      <w:pPr>
        <w:pStyle w:val="48"/>
      </w:pPr>
    </w:p>
    <w:p w14:paraId="28D0BE8E">
      <w:pPr>
        <w:pStyle w:val="50"/>
        <w:rPr>
          <w:rFonts w:hint="eastAsia" w:eastAsia="黑体"/>
          <w:lang w:val="en-US" w:eastAsia="zh-CN"/>
        </w:rPr>
      </w:pPr>
      <w:bookmarkStart w:id="19" w:name="_Toc2131717503"/>
      <w:r>
        <w:rPr>
          <w:rFonts w:hint="eastAsia"/>
          <w:lang w:val="en-US" w:eastAsia="zh-CN"/>
        </w:rPr>
        <w:t>罕见胸腺激酶2缺乏症首个治疗方法获批</w:t>
      </w:r>
      <w:bookmarkEnd w:id="19"/>
    </w:p>
    <w:p w14:paraId="21DE44E2">
      <w:pPr>
        <w:pStyle w:val="48"/>
        <w:rPr>
          <w:rFonts w:hint="eastAsia"/>
        </w:rPr>
      </w:pPr>
      <w:r>
        <w:rPr>
          <w:rFonts w:hint="eastAsia"/>
        </w:rPr>
        <w:t>2026年1月30日，EMA建议在欧盟为Kygevvi（doxecitine和doxribtimine）授予上市许可</w:t>
      </w:r>
      <w:r>
        <w:rPr>
          <w:rStyle w:val="25"/>
          <w:rFonts w:hint="eastAsia"/>
        </w:rPr>
        <w:footnoteReference w:id="10"/>
      </w:r>
      <w:r>
        <w:rPr>
          <w:rFonts w:hint="eastAsia"/>
        </w:rPr>
        <w:t>，该药物适用于经基因确认的胸苷激酶2缺乏症（TK2d）且疾病在12岁或之前开始的患者。</w:t>
      </w:r>
    </w:p>
    <w:p w14:paraId="1E055938">
      <w:pPr>
        <w:pStyle w:val="50"/>
        <w:rPr>
          <w:rFonts w:hint="eastAsia" w:eastAsia="黑体"/>
          <w:lang w:val="en-US" w:eastAsia="zh-CN"/>
        </w:rPr>
      </w:pPr>
      <w:bookmarkStart w:id="20" w:name="_Toc1306390020"/>
      <w:r>
        <w:rPr>
          <w:rFonts w:hint="eastAsia"/>
          <w:lang w:val="en-US" w:eastAsia="zh-CN"/>
        </w:rPr>
        <w:t>Nirogacestat hydrobromide获批用于治疗硬纤维瘤</w:t>
      </w:r>
      <w:bookmarkEnd w:id="20"/>
    </w:p>
    <w:p w14:paraId="20023009">
      <w:pPr>
        <w:pStyle w:val="48"/>
        <w:wordWrap w:val="0"/>
        <w:rPr>
          <w:rFonts w:hint="eastAsia"/>
        </w:rPr>
      </w:pPr>
      <w:r>
        <w:rPr>
          <w:rFonts w:hint="eastAsia"/>
        </w:rPr>
        <w:t>2026年1月7日，英国药品和医疗产品监管局（MHRA）</w:t>
      </w:r>
      <w:r>
        <w:rPr>
          <w:rStyle w:val="25"/>
          <w:rFonts w:hint="eastAsia"/>
        </w:rPr>
        <w:footnoteReference w:id="11"/>
      </w:r>
      <w:r>
        <w:rPr>
          <w:rFonts w:hint="eastAsia"/>
        </w:rPr>
        <w:t>批准Nirogacestat hydrobromide（Ogsiveo）用于治疗成人进展性韧带样纤维瘤。该药物的获批为进展性韧带样纤维瘤成人患者提供了新的治疗选择。</w:t>
      </w:r>
    </w:p>
    <w:p w14:paraId="766D8EC1">
      <w:pPr>
        <w:pStyle w:val="50"/>
        <w:rPr>
          <w:rFonts w:hint="eastAsia" w:eastAsia="黑体"/>
          <w:lang w:val="en-US" w:eastAsia="zh-CN"/>
        </w:rPr>
      </w:pPr>
      <w:bookmarkStart w:id="21" w:name="_Toc624259212"/>
      <w:r>
        <w:rPr>
          <w:rFonts w:hint="eastAsia"/>
          <w:lang w:val="en-US" w:eastAsia="zh-CN"/>
        </w:rPr>
        <w:t>诺华ianalumab获FDA突破性疗法认定用于干燥综合征治疗</w:t>
      </w:r>
      <w:bookmarkEnd w:id="21"/>
    </w:p>
    <w:p w14:paraId="581A9390">
      <w:pPr>
        <w:pStyle w:val="48"/>
        <w:rPr>
          <w:rFonts w:hint="eastAsia"/>
        </w:rPr>
      </w:pPr>
      <w:r>
        <w:rPr>
          <w:rFonts w:hint="eastAsia"/>
        </w:rPr>
        <w:t>2026年1月16日，诺华宣布美国食品药品监督管理局（FDA）授予ianalumab治疗干燥综合征的突破性疗法认定</w:t>
      </w:r>
      <w:r>
        <w:rPr>
          <w:rStyle w:val="25"/>
          <w:rFonts w:hint="eastAsia"/>
        </w:rPr>
        <w:footnoteReference w:id="12"/>
      </w:r>
      <w:r>
        <w:rPr>
          <w:rFonts w:hint="eastAsia"/>
        </w:rPr>
        <w:t>。干燥综合征是第二大常见的风湿性自身免疫疾病。ianalumab是一种全人源单克隆抗体，具有新颖的双重作用机制，通过BAFF-R阻断来耗竭B细胞并抑制其活化与存活。诺华计划于2026年初开始在全球提交ianalumab的监管批准申请，若获批，它将成为首个针对干燥综合征患者的靶向治疗药物。</w:t>
      </w:r>
    </w:p>
    <w:p w14:paraId="1B3867E0">
      <w:pPr>
        <w:pStyle w:val="50"/>
        <w:rPr>
          <w:rFonts w:hint="eastAsia" w:eastAsia="黑体"/>
          <w:lang w:val="en-US" w:eastAsia="zh-CN"/>
        </w:rPr>
      </w:pPr>
      <w:bookmarkStart w:id="22" w:name="_Toc1466960489"/>
      <w:r>
        <w:rPr>
          <w:rFonts w:hint="eastAsia"/>
          <w:lang w:val="en-US" w:eastAsia="zh-CN"/>
        </w:rPr>
        <w:t>赛诺菲Teizeild获欧盟批准用于2型1型糖尿病患者</w:t>
      </w:r>
      <w:bookmarkEnd w:id="22"/>
    </w:p>
    <w:p w14:paraId="331A7924">
      <w:pPr>
        <w:pStyle w:val="48"/>
        <w:rPr>
          <w:rFonts w:hint="eastAsia"/>
        </w:rPr>
      </w:pPr>
      <w:r>
        <w:rPr>
          <w:rFonts w:hint="eastAsia"/>
        </w:rPr>
        <w:t>2026年1月12日，赛诺菲宣布Teizeild（teplizumab）获欧盟委员会批准</w:t>
      </w:r>
      <w:r>
        <w:rPr>
          <w:rStyle w:val="25"/>
          <w:rFonts w:hint="eastAsia"/>
        </w:rPr>
        <w:footnoteReference w:id="13"/>
      </w:r>
      <w:r>
        <w:rPr>
          <w:rFonts w:hint="eastAsia"/>
        </w:rPr>
        <w:t>，用于延缓8岁及以上2期1型糖尿病（T1D）成人和儿童患者进展至3期T1D。这是欧盟首个获批的T1D疾病修饰疗法，其批准基于TN-10 2期研究（NCT01030861）结果：与安慰剂相比，Teizeild能将3期T1D发病中位时间延迟2年，且治疗组患者维持2期T1D的比例（57%）接近安慰剂组（28%）的两倍。安全性方面，最常见不良事件为血液或骨髓相关（75%出现短暂性淋巴细胞减少）和皮肤相关（36%出现皮疹），与既往研究一致。Teizeild（欧盟外称Tzield）已在美国、英国、中国等多国获批相同适应症。基于此次批准，赛诺菲暂不推进其在新诊断3期T1D的第二项适应症申请，后续计划仍在评估中，其他地区监管审查持续进行。</w:t>
      </w:r>
    </w:p>
    <w:p w14:paraId="2027411B">
      <w:pPr>
        <w:pStyle w:val="50"/>
        <w:rPr>
          <w:rFonts w:hint="eastAsia" w:eastAsia="黑体"/>
          <w:lang w:val="en-US" w:eastAsia="zh-CN"/>
        </w:rPr>
      </w:pPr>
      <w:bookmarkStart w:id="23" w:name="_Toc2092671063"/>
      <w:r>
        <w:rPr>
          <w:rFonts w:hint="eastAsia"/>
          <w:lang w:val="en-US" w:eastAsia="zh-CN"/>
        </w:rPr>
        <w:t>诺和诺德 Wegovy® 口服制剂作为首个且唯一用于成人减肥的口服GLP-1药物在美国广泛上市</w:t>
      </w:r>
      <w:bookmarkEnd w:id="23"/>
    </w:p>
    <w:p w14:paraId="40C30E21">
      <w:pPr>
        <w:pStyle w:val="48"/>
        <w:rPr>
          <w:rFonts w:hint="eastAsia"/>
        </w:rPr>
      </w:pPr>
      <w:r>
        <w:rPr>
          <w:rFonts w:hint="eastAsia"/>
        </w:rPr>
        <w:t>2026年1月5日，诺和诺德宣布Wegovy®口服片正式上市</w:t>
      </w:r>
      <w:r>
        <w:rPr>
          <w:rStyle w:val="25"/>
          <w:rFonts w:hint="eastAsia"/>
        </w:rPr>
        <w:footnoteReference w:id="14"/>
      </w:r>
      <w:r>
        <w:rPr>
          <w:rFonts w:hint="eastAsia"/>
        </w:rPr>
        <w:t>，这是首款GLP-1类减肥药口服制剂。该药物于2025年12月22日获批，适用于成人肥胖症患者或超重且伴有体重相关 medical 问题的人群，需配合低热量饮食和增加体力活动以实现减重并维持体重。在III期临床试验中，若所有患者坚持治疗，Wegovy®口服片平均减重约17%（16.6%），显著高于安慰剂组的约3%（2.7%）；即便不考虑患者坚持治疗情况，其平均减重仍达约14%（13.6%），而安慰剂组为约2%（2.4%）。作为每日一次的口服制剂，Wegovy®为患者提供了便捷的日常用药选择，其上市有望改变体重管理领域的现有格局，并致力于确保药物的可负担性与可及性。</w:t>
      </w:r>
    </w:p>
    <w:p w14:paraId="5C075FB0">
      <w:pPr>
        <w:pStyle w:val="50"/>
        <w:rPr>
          <w:rFonts w:hint="eastAsia" w:eastAsia="黑体"/>
          <w:lang w:val="en-US" w:eastAsia="zh-CN"/>
        </w:rPr>
      </w:pPr>
      <w:bookmarkStart w:id="24" w:name="_Toc35385275"/>
      <w:r>
        <w:rPr>
          <w:rFonts w:hint="eastAsia"/>
          <w:lang w:val="en-US" w:eastAsia="zh-CN"/>
        </w:rPr>
        <w:t>强生AKEEGA获CHMP积极意见用于治疗BRCA1/2突变的转移性激素敏感性前列腺癌</w:t>
      </w:r>
      <w:bookmarkEnd w:id="24"/>
    </w:p>
    <w:p w14:paraId="6FACF6F9">
      <w:pPr>
        <w:pStyle w:val="48"/>
        <w:rPr>
          <w:rFonts w:hint="eastAsia" w:eastAsia="黑体"/>
          <w:lang w:eastAsia="zh-CN"/>
        </w:rPr>
      </w:pPr>
      <w:r>
        <w:rPr>
          <w:rFonts w:hint="eastAsia"/>
        </w:rPr>
        <w:t>2026年1月30日，强生发布消息称</w:t>
      </w:r>
      <w:r>
        <w:rPr>
          <w:rStyle w:val="25"/>
          <w:rFonts w:hint="eastAsia"/>
        </w:rPr>
        <w:footnoteReference w:id="15"/>
      </w:r>
      <w:r>
        <w:rPr>
          <w:rFonts w:hint="eastAsia"/>
        </w:rPr>
        <w:t>，AMPLITUDE临床试验结果显示，尼拉帕利联合醋酸阿比特龙方案对比标准治疗，在转移性去势敏感性前列腺癌（mHSPC）治疗中展现出疾病进展延迟和总体生存改善的早期趋势。该试验是首个评估HRR基因改变的mHSPC患者潜在疗法的研究，其积极结果支持尼拉帕利为基础的联合方案成为BRCA突变患者的新标准治疗。</w:t>
      </w:r>
    </w:p>
    <w:p w14:paraId="624B7147">
      <w:pPr>
        <w:pStyle w:val="50"/>
        <w:rPr>
          <w:rFonts w:hint="eastAsia" w:eastAsia="黑体"/>
          <w:lang w:val="en-US" w:eastAsia="zh-CN"/>
        </w:rPr>
      </w:pPr>
      <w:bookmarkStart w:id="25" w:name="_Toc2014830353"/>
      <w:r>
        <w:rPr>
          <w:rFonts w:hint="eastAsia"/>
          <w:lang w:val="en-US" w:eastAsia="zh-CN"/>
        </w:rPr>
        <w:t>EPCORE FL-1 Ⅲ期临床试验在复发或难治性滤泡淋巴瘤治疗中取得进展</w:t>
      </w:r>
      <w:bookmarkEnd w:id="25"/>
    </w:p>
    <w:p w14:paraId="1B3AA70A">
      <w:pPr>
        <w:pStyle w:val="48"/>
        <w:rPr>
          <w:rFonts w:hint="eastAsia"/>
        </w:rPr>
      </w:pPr>
      <w:r>
        <w:rPr>
          <w:rFonts w:hint="eastAsia"/>
        </w:rPr>
        <w:t>2026年1月10日，《Lancet》发表了EPCORE FL-1 III期临床试验结果</w:t>
      </w:r>
      <w:r>
        <w:rPr>
          <w:rStyle w:val="25"/>
          <w:rFonts w:hint="eastAsia"/>
        </w:rPr>
        <w:footnoteReference w:id="16"/>
      </w:r>
      <w:r>
        <w:rPr>
          <w:rFonts w:hint="eastAsia"/>
        </w:rPr>
        <w:t>，该试验评估了epcoritamab联合来那度胺和利妥昔单抗（R2）方案对比R2方案在至少接受过一线 chemoimmunotherapy 治疗的复发或难治性滤泡性淋巴瘤患者中的疗效与安全性。结果显示，epcoritamab联合R2方案在总缓解率（95% vs 79%）和无进展生存期（16个月无进展生存率85.5% vs 40.2%，风险比0.21）方面均显著优于R2方案。虽然epcoritamab联合R2组3级及以上不良事件发生率更高（90% vs 68%），但不良反应可控，未发现新的安全问题。该研究结果表明，epcoritamab联合R2方案有望成为复发或难治性滤泡性淋巴瘤二线及后续治疗的新标准。</w:t>
      </w:r>
    </w:p>
    <w:p w14:paraId="35992204">
      <w:pPr>
        <w:pStyle w:val="50"/>
        <w:rPr>
          <w:rFonts w:hint="eastAsia" w:eastAsia="黑体"/>
          <w:lang w:val="en-US" w:eastAsia="zh-CN"/>
        </w:rPr>
      </w:pPr>
      <w:bookmarkStart w:id="26" w:name="_Toc1731596975"/>
      <w:r>
        <w:rPr>
          <w:rFonts w:hint="eastAsia"/>
          <w:lang w:val="en-US" w:eastAsia="zh-CN"/>
        </w:rPr>
        <w:t>礼来sofetabart mipitecan获美国FDA突破性疗法认定用于治疗特定铂耐药卵巢癌患者</w:t>
      </w:r>
      <w:bookmarkEnd w:id="26"/>
    </w:p>
    <w:bookmarkEnd w:id="5"/>
    <w:bookmarkEnd w:id="17"/>
    <w:p w14:paraId="363FC8BA">
      <w:pPr>
        <w:pStyle w:val="48"/>
        <w:rPr>
          <w:rFonts w:hint="eastAsia"/>
        </w:rPr>
      </w:pPr>
      <w:r>
        <w:rPr>
          <w:rFonts w:hint="eastAsia"/>
        </w:rPr>
        <w:t>2026年1月20日，礼来公司宣布其新型叶酸受体α（FRα）抗体偶联药物（ADC）sofetabart mipitecan获FDA突破性疗法认定</w:t>
      </w:r>
      <w:r>
        <w:rPr>
          <w:rStyle w:val="25"/>
          <w:rFonts w:hint="eastAsia"/>
        </w:rPr>
        <w:footnoteReference w:id="17"/>
      </w:r>
      <w:r>
        <w:rPr>
          <w:rFonts w:hint="eastAsia"/>
        </w:rPr>
        <w:t>，用于治疗既往接受过贝伐珠单抗和mirvetuximab soravtansine的铂耐药上皮性卵巢癌、输卵管癌或原发性腹膜癌成人患者。该药物采用专有PSARlink™连接子技术和依沙替康载荷，1期研究显示在各剂量水平和所有FRα表达水平患者中均见缓解，包括既往mirvetuximab soravtansine进展患者，且耐受性良好，间质性肺病、周围神经病变和脱发发生率低，无显著眼部毒性。目前已启动3期FRAmework-01研究，与ENGOT、GOG基金会和APGOT合作开展。</w:t>
      </w:r>
    </w:p>
    <w:p w14:paraId="0D83752D">
      <w:pPr>
        <w:pStyle w:val="50"/>
        <w:rPr>
          <w:rFonts w:hint="eastAsia" w:eastAsia="黑体"/>
          <w:lang w:val="en-US" w:eastAsia="zh-CN"/>
        </w:rPr>
      </w:pPr>
      <w:bookmarkStart w:id="27" w:name="_Toc251974681"/>
      <w:r>
        <w:rPr>
          <w:rFonts w:hint="eastAsia"/>
          <w:lang w:val="en-US" w:eastAsia="zh-CN"/>
        </w:rPr>
        <w:t>罕见胸腺激酶2缺乏症首次治疗取得进展</w:t>
      </w:r>
      <w:bookmarkEnd w:id="27"/>
    </w:p>
    <w:p w14:paraId="7CE555D5">
      <w:pPr>
        <w:pStyle w:val="50"/>
        <w:keepNext/>
        <w:keepLines/>
        <w:pageBreakBefore w:val="0"/>
        <w:widowControl w:val="0"/>
        <w:kinsoku/>
        <w:wordWrap/>
        <w:overflowPunct/>
        <w:topLinePunct w:val="0"/>
        <w:autoSpaceDE/>
        <w:autoSpaceDN/>
        <w:bidi w:val="0"/>
        <w:adjustRightInd/>
        <w:snapToGrid/>
        <w:spacing w:before="0" w:after="0" w:line="500" w:lineRule="exact"/>
        <w:ind w:firstLine="592" w:firstLineChars="200"/>
        <w:jc w:val="both"/>
        <w:textAlignment w:val="auto"/>
        <w:rPr>
          <w:rFonts w:hint="eastAsia"/>
        </w:rPr>
      </w:pPr>
      <w:bookmarkStart w:id="28" w:name="_Toc31593924"/>
      <w:bookmarkStart w:id="29" w:name="_Toc100711683"/>
      <w:r>
        <w:rPr>
          <w:rFonts w:hint="eastAsia" w:ascii="Times New Roman" w:hAnsi="Times New Roman" w:eastAsia="仿宋" w:cs="Times New Roman"/>
          <w:b w:val="0"/>
          <w:bCs w:val="0"/>
          <w:color w:val="222222"/>
          <w:spacing w:val="8"/>
          <w:kern w:val="0"/>
          <w:sz w:val="28"/>
          <w:szCs w:val="28"/>
          <w:lang w:val="en-US" w:eastAsia="zh-CN" w:bidi="ar-SA"/>
          <w14:ligatures w14:val="none"/>
        </w:rPr>
        <w:t>2026年1月30日，欧洲药品管理局发布《Kygevvi上市许可建议》</w:t>
      </w:r>
      <w:r>
        <w:rPr>
          <w:rStyle w:val="25"/>
          <w:rFonts w:hint="eastAsia" w:ascii="Times New Roman" w:hAnsi="Times New Roman" w:eastAsia="仿宋" w:cs="Times New Roman"/>
          <w:b w:val="0"/>
          <w:bCs w:val="0"/>
          <w:color w:val="222222"/>
          <w:spacing w:val="8"/>
          <w:kern w:val="0"/>
          <w:sz w:val="28"/>
          <w:szCs w:val="28"/>
          <w:lang w:val="en-US" w:eastAsia="zh-CN" w:bidi="ar-SA"/>
          <w14:ligatures w14:val="none"/>
        </w:rPr>
        <w:footnoteReference w:id="18"/>
      </w:r>
      <w:r>
        <w:rPr>
          <w:rFonts w:hint="eastAsia" w:ascii="Times New Roman" w:hAnsi="Times New Roman" w:eastAsia="仿宋" w:cs="Times New Roman"/>
          <w:b w:val="0"/>
          <w:bCs w:val="0"/>
          <w:color w:val="222222"/>
          <w:spacing w:val="8"/>
          <w:kern w:val="0"/>
          <w:sz w:val="28"/>
          <w:szCs w:val="28"/>
          <w:lang w:val="en-US" w:eastAsia="zh-CN" w:bidi="ar-SA"/>
          <w14:ligatures w14:val="none"/>
        </w:rPr>
        <w:t>，建议授予Kygevvi（doxecitine和doxribtimine）上市许可，用于治疗12岁及以下发病的遗传性TK2d患者。该药物是TK2d首个获批治疗药物，TK2d是一种罕见危及生命的遗传性疾病，发病率低于1/100万，此前无授权治疗药物。2期单臂研究显示84%患者治疗后恢复一个或多个运动里程碑，最常见不良事件为腹泻、呕吐和腹痛。该药物通过改善线粒体DNA的产生和维持，补偿TK2酶活性降低，获EMA PRIME计划支持，以"特殊情况"程序推荐，需开展新研究确认长期疗效和安全性。</w:t>
      </w:r>
      <w:bookmarkEnd w:id="28"/>
      <w:bookmarkEnd w:id="29"/>
    </w:p>
    <w:sectPr>
      <w:footerReference r:id="rId7"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2E64B">
    <w:pPr>
      <w:pStyle w:val="12"/>
      <w:ind w:firstLine="56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516768"/>
      <w:docPartObj>
        <w:docPartGallery w:val="autotext"/>
      </w:docPartObj>
    </w:sdtPr>
    <w:sdtEndPr>
      <w:rPr>
        <w:rFonts w:ascii="Times New Roman" w:hAnsi="Times New Roman" w:cs="Times New Roman"/>
      </w:rPr>
    </w:sdtEndPr>
    <w:sdtContent>
      <w:p w14:paraId="6875D62F">
        <w:pPr>
          <w:pStyle w:val="12"/>
          <w:spacing w:after="0"/>
          <w:ind w:firstLine="56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78A11986">
    <w:pPr>
      <w:pStyle w:val="12"/>
      <w:spacing w:after="0"/>
      <w:jc w:val="right"/>
      <w:rPr>
        <w:rFonts w:hint="eastAsia"/>
      </w:rPr>
    </w:pPr>
    <w:r>
      <w:rPr>
        <w:rFonts w:hint="eastAsia"/>
        <w:sz w:val="21"/>
        <w:szCs w:val="21"/>
      </w:rPr>
      <w:t>中国科学院科技战略咨询研究院创新药政策课题组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EndPr>
      <w:rPr>
        <w:rFonts w:ascii="Times New Roman" w:hAnsi="Times New Roman" w:cs="Times New Roman"/>
      </w:rPr>
    </w:sdtEndPr>
    <w:sdtContent>
      <w:p w14:paraId="59F60960">
        <w:pPr>
          <w:pStyle w:val="12"/>
          <w:spacing w:after="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0B290922">
    <w:pPr>
      <w:pStyle w:val="12"/>
      <w:spacing w:after="0"/>
      <w:jc w:val="right"/>
      <w:rPr>
        <w:rFonts w:hint="eastAsia" w:ascii="仿宋_GB2312" w:eastAsia="仿宋_GB2312"/>
      </w:rPr>
    </w:pPr>
    <w:r>
      <w:rPr>
        <w:rFonts w:hint="eastAsia" w:ascii="仿宋_GB2312" w:eastAsia="仿宋_GB2312"/>
      </w:rPr>
      <w:t>中国科学院科技战略咨询研究院创新药政策课题组</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8">
    <w:p>
      <w:pPr>
        <w:spacing w:before="0" w:after="0" w:line="278" w:lineRule="auto"/>
      </w:pPr>
      <w:r>
        <w:separator/>
      </w:r>
    </w:p>
  </w:footnote>
  <w:footnote w:type="continuationSeparator" w:id="39">
    <w:p>
      <w:pPr>
        <w:spacing w:before="0" w:after="0" w:line="278" w:lineRule="auto"/>
      </w:pPr>
      <w:r>
        <w:continuationSeparator/>
      </w:r>
    </w:p>
  </w:footnote>
  <w:footnote w:id="0">
    <w:p w14:paraId="3A9FDA0F">
      <w:pPr>
        <w:pStyle w:val="16"/>
        <w:snapToGrid w:val="0"/>
        <w:rPr>
          <w:rFonts w:hint="eastAsia"/>
        </w:rPr>
      </w:pPr>
      <w:r>
        <w:rPr>
          <w:rStyle w:val="25"/>
          <w:rFonts w:hint="eastAsia" w:ascii="Times New Roman" w:hAnsi="Times New Roman" w:eastAsia="宋体" w:cs="Times New Roman"/>
        </w:rPr>
        <w:footnoteRef/>
      </w:r>
      <w:r>
        <w:rPr>
          <w:rStyle w:val="25"/>
          <w:rFonts w:hint="eastAsia" w:ascii="Times New Roman" w:hAnsi="Times New Roman" w:eastAsia="宋体" w:cs="Times New Roman"/>
        </w:rPr>
        <w:t xml:space="preserve"> </w:t>
      </w:r>
      <w:r>
        <w:rPr>
          <w:rFonts w:hint="eastAsia"/>
        </w:rPr>
        <w:t>https://www.nature.com/articles/d41591-026-00004-8</w:t>
      </w:r>
    </w:p>
  </w:footnote>
  <w:footnote w:id="1">
    <w:p w14:paraId="0AF1F03C">
      <w:pPr>
        <w:pStyle w:val="16"/>
        <w:snapToGrid w:val="0"/>
        <w:rPr>
          <w:rFonts w:hint="eastAsia"/>
        </w:rPr>
      </w:pPr>
      <w:r>
        <w:rPr>
          <w:rStyle w:val="25"/>
          <w:rFonts w:hint="eastAsia" w:ascii="Times New Roman" w:hAnsi="Times New Roman" w:eastAsia="宋体" w:cs="Times New Roman"/>
        </w:rPr>
        <w:footnoteRef/>
      </w:r>
      <w:r>
        <w:rPr>
          <w:rStyle w:val="25"/>
          <w:rFonts w:hint="eastAsia" w:ascii="Times New Roman" w:hAnsi="Times New Roman" w:eastAsia="宋体" w:cs="Times New Roman"/>
          <w:lang w:val="en-US" w:eastAsia="zh-CN"/>
        </w:rPr>
        <w:t xml:space="preserve"> </w:t>
      </w:r>
      <w:r>
        <w:rPr>
          <w:rFonts w:hint="eastAsia"/>
        </w:rPr>
        <w:t>https://www.pfizer.com/news/press-release/press-release-detail/pfizers-braftovir-regimen-additional-chemotherapy-backbone</w:t>
      </w:r>
      <w:bookmarkStart w:id="30" w:name="_GoBack"/>
      <w:bookmarkEnd w:id="30"/>
    </w:p>
  </w:footnote>
  <w:footnote w:id="2">
    <w:p w14:paraId="4F1C1C4F">
      <w:pPr>
        <w:pStyle w:val="16"/>
        <w:snapToGrid w:val="0"/>
      </w:pPr>
      <w:r>
        <w:rPr>
          <w:rStyle w:val="25"/>
        </w:rPr>
        <w:footnoteRef/>
      </w:r>
      <w:r>
        <w:t xml:space="preserve"> </w:t>
      </w:r>
      <w:r>
        <w:rPr>
          <w:rFonts w:hint="eastAsia"/>
        </w:rPr>
        <w:t>https://www.thelancet.com/journals/lancet/article/PIIS0140-6736(25)01778-7/abstract</w:t>
      </w:r>
    </w:p>
  </w:footnote>
  <w:footnote w:id="3">
    <w:p w14:paraId="21F5D885">
      <w:pPr>
        <w:pStyle w:val="16"/>
        <w:snapToGrid w:val="0"/>
      </w:pPr>
      <w:r>
        <w:rPr>
          <w:rStyle w:val="25"/>
        </w:rPr>
        <w:footnoteRef/>
      </w:r>
      <w:r>
        <w:t xml:space="preserve"> </w:t>
      </w:r>
      <w:r>
        <w:rPr>
          <w:rFonts w:hint="eastAsia"/>
        </w:rPr>
        <w:t>https://www.nature.com/articles/s41591-025-04186-5</w:t>
      </w:r>
    </w:p>
  </w:footnote>
  <w:footnote w:id="4">
    <w:p w14:paraId="3F24FAE4">
      <w:pPr>
        <w:pStyle w:val="16"/>
        <w:snapToGrid w:val="0"/>
      </w:pPr>
      <w:r>
        <w:rPr>
          <w:rStyle w:val="25"/>
        </w:rPr>
        <w:footnoteRef/>
      </w:r>
      <w:r>
        <w:t xml:space="preserve"> </w:t>
      </w:r>
      <w:r>
        <w:rPr>
          <w:rFonts w:hint="eastAsia"/>
        </w:rPr>
        <w:t>https://www.pnas.org/doi/10.1073/pnas.2519625123</w:t>
      </w:r>
    </w:p>
  </w:footnote>
  <w:footnote w:id="5">
    <w:p w14:paraId="10F92D19">
      <w:pPr>
        <w:pStyle w:val="16"/>
        <w:snapToGrid w:val="0"/>
        <w:rPr>
          <w:rFonts w:hint="eastAsia"/>
        </w:rPr>
      </w:pPr>
      <w:r>
        <w:rPr>
          <w:rStyle w:val="25"/>
        </w:rPr>
        <w:footnoteRef/>
      </w:r>
      <w:r>
        <w:t xml:space="preserve"> </w:t>
      </w:r>
      <w:r>
        <w:rPr>
          <w:rFonts w:hint="eastAsia"/>
        </w:rPr>
        <w:t>https://www.pnas.org/doi/10.1073/pnas.2518645123</w:t>
      </w:r>
    </w:p>
  </w:footnote>
  <w:footnote w:id="6">
    <w:p w14:paraId="0BF38068">
      <w:pPr>
        <w:pStyle w:val="16"/>
        <w:snapToGrid w:val="0"/>
      </w:pPr>
      <w:r>
        <w:rPr>
          <w:rStyle w:val="25"/>
        </w:rPr>
        <w:footnoteRef/>
      </w:r>
      <w:r>
        <w:t xml:space="preserve"> </w:t>
      </w:r>
      <w:r>
        <w:rPr>
          <w:rFonts w:hint="eastAsia"/>
        </w:rPr>
        <w:t>https://news.bms.com/news/corporate-financial/2026/Bristol-Myers-Squibb-Announces-Collaboration-with-Microsoft-to-Advance-AI-Driven-Early-Detection-of-Lung-Cancer/default.aspx</w:t>
      </w:r>
    </w:p>
  </w:footnote>
  <w:footnote w:id="7">
    <w:p w14:paraId="31C95863">
      <w:pPr>
        <w:pStyle w:val="16"/>
        <w:snapToGrid w:val="0"/>
      </w:pPr>
      <w:r>
        <w:rPr>
          <w:rStyle w:val="25"/>
        </w:rPr>
        <w:footnoteRef/>
      </w:r>
      <w:r>
        <w:t xml:space="preserve"> </w:t>
      </w:r>
      <w:r>
        <w:rPr>
          <w:rFonts w:hint="eastAsia"/>
        </w:rPr>
        <w:t>https://www.nature.com/articles/s41591-025-04183-8</w:t>
      </w:r>
    </w:p>
  </w:footnote>
  <w:footnote w:id="8">
    <w:p w14:paraId="5EB29492">
      <w:pPr>
        <w:pStyle w:val="16"/>
        <w:snapToGrid w:val="0"/>
      </w:pPr>
      <w:r>
        <w:rPr>
          <w:rStyle w:val="25"/>
        </w:rPr>
        <w:footnoteRef/>
      </w:r>
      <w:r>
        <w:t xml:space="preserve"> </w:t>
      </w:r>
      <w:r>
        <w:rPr>
          <w:rFonts w:hint="eastAsia"/>
        </w:rPr>
        <w:t>https://www.ema.europa.eu/en/news/human-medicines-2025</w:t>
      </w:r>
    </w:p>
  </w:footnote>
  <w:footnote w:id="9">
    <w:p w14:paraId="4198E4F8">
      <w:pPr>
        <w:pStyle w:val="16"/>
        <w:snapToGrid w:val="0"/>
      </w:pPr>
      <w:r>
        <w:rPr>
          <w:rStyle w:val="25"/>
        </w:rPr>
        <w:footnoteRef/>
      </w:r>
      <w:r>
        <w:t xml:space="preserve"> </w:t>
      </w:r>
      <w:r>
        <w:rPr>
          <w:rFonts w:hint="eastAsia"/>
        </w:rPr>
        <w:t>https://www.ema.europa.eu/en/news/new-medicine-treat-chronic-graft-versus-host-disease</w:t>
      </w:r>
    </w:p>
  </w:footnote>
  <w:footnote w:id="10">
    <w:p w14:paraId="755713C4">
      <w:pPr>
        <w:pStyle w:val="16"/>
        <w:snapToGrid w:val="0"/>
      </w:pPr>
      <w:r>
        <w:rPr>
          <w:rStyle w:val="25"/>
        </w:rPr>
        <w:footnoteRef/>
      </w:r>
      <w:r>
        <w:t xml:space="preserve"> </w:t>
      </w:r>
      <w:r>
        <w:rPr>
          <w:rFonts w:hint="eastAsia"/>
        </w:rPr>
        <w:t>https://www.ema.europa.eu/en/news/first-treatment-rare-thymidine-kinase-2-deficiency</w:t>
      </w:r>
    </w:p>
  </w:footnote>
  <w:footnote w:id="11">
    <w:p w14:paraId="515782A9">
      <w:pPr>
        <w:pStyle w:val="16"/>
        <w:snapToGrid w:val="0"/>
      </w:pPr>
      <w:r>
        <w:rPr>
          <w:rStyle w:val="25"/>
        </w:rPr>
        <w:footnoteRef/>
      </w:r>
      <w:r>
        <w:t xml:space="preserve"> </w:t>
      </w:r>
      <w:r>
        <w:rPr>
          <w:rFonts w:hint="eastAsia"/>
        </w:rPr>
        <w:t>https://www.gov.uk/government/news/nirogacestat-hydrobromide-approved-to-treat-desmoid-tumours</w:t>
      </w:r>
    </w:p>
  </w:footnote>
  <w:footnote w:id="12">
    <w:p w14:paraId="04BA7C4F">
      <w:pPr>
        <w:pStyle w:val="16"/>
        <w:snapToGrid w:val="0"/>
      </w:pPr>
      <w:r>
        <w:rPr>
          <w:rStyle w:val="25"/>
        </w:rPr>
        <w:footnoteRef/>
      </w:r>
      <w:r>
        <w:t xml:space="preserve"> </w:t>
      </w:r>
      <w:r>
        <w:rPr>
          <w:rFonts w:hint="eastAsia"/>
        </w:rPr>
        <w:t>https://www.novartis.com/news/media-releases/novartis-ianalumab-receives-fda-breakthrough-therapy-designation-sjogrens-disease</w:t>
      </w:r>
    </w:p>
  </w:footnote>
  <w:footnote w:id="13">
    <w:p w14:paraId="769CE62B">
      <w:pPr>
        <w:pStyle w:val="16"/>
        <w:snapToGrid w:val="0"/>
      </w:pPr>
      <w:r>
        <w:rPr>
          <w:rStyle w:val="25"/>
        </w:rPr>
        <w:footnoteRef/>
      </w:r>
      <w:r>
        <w:t xml:space="preserve"> </w:t>
      </w:r>
      <w:r>
        <w:rPr>
          <w:rFonts w:hint="eastAsia"/>
        </w:rPr>
        <w:t>https://www.sanofi.com/en/media-room/press-releases/2026/2026-01-12-06-00-00-3216525</w:t>
      </w:r>
    </w:p>
  </w:footnote>
  <w:footnote w:id="14">
    <w:p w14:paraId="23258E75">
      <w:pPr>
        <w:pStyle w:val="16"/>
        <w:snapToGrid w:val="0"/>
      </w:pPr>
      <w:r>
        <w:rPr>
          <w:rStyle w:val="25"/>
        </w:rPr>
        <w:footnoteRef/>
      </w:r>
      <w:r>
        <w:t xml:space="preserve"> </w:t>
      </w:r>
      <w:r>
        <w:rPr>
          <w:rFonts w:hint="eastAsia"/>
        </w:rPr>
        <w:t>https://www.novonordisk.com/content/nncorp/global/en/news-and-media/news-and-ir-materials/news-details.html?id=916475</w:t>
      </w:r>
    </w:p>
  </w:footnote>
  <w:footnote w:id="15">
    <w:p w14:paraId="2EA0878C">
      <w:pPr>
        <w:pStyle w:val="16"/>
        <w:snapToGrid w:val="0"/>
      </w:pPr>
      <w:r>
        <w:rPr>
          <w:rStyle w:val="25"/>
        </w:rPr>
        <w:footnoteRef/>
      </w:r>
      <w:r>
        <w:t xml:space="preserve"> </w:t>
      </w:r>
      <w:r>
        <w:rPr>
          <w:rFonts w:hint="eastAsia"/>
        </w:rPr>
        <w:t>https://www.jnj.com/media-center/press-releases/johnson-johnson-receives-chmp-positive-opinion-for-akeega-niraparib-and-abiraterone-acetate-dual-action-tablet-for-the-treatment-of-patients-with-metastatic-hormone-sensitive-prostate-cancer-mhspc-with-brca1-2-mutations</w:t>
      </w:r>
    </w:p>
  </w:footnote>
  <w:footnote w:id="16">
    <w:p w14:paraId="226DCAC6">
      <w:pPr>
        <w:pStyle w:val="16"/>
        <w:snapToGrid w:val="0"/>
      </w:pPr>
      <w:r>
        <w:rPr>
          <w:rStyle w:val="25"/>
        </w:rPr>
        <w:footnoteRef/>
      </w:r>
      <w:r>
        <w:t xml:space="preserve"> </w:t>
      </w:r>
      <w:r>
        <w:rPr>
          <w:rFonts w:hint="eastAsia"/>
        </w:rPr>
        <w:t>https://www.thelancet.com/journals/lancet/article/PIIS0140-6736(25)02360-8/fulltext</w:t>
      </w:r>
    </w:p>
  </w:footnote>
  <w:footnote w:id="17">
    <w:p w14:paraId="341BE660">
      <w:pPr>
        <w:pStyle w:val="16"/>
        <w:snapToGrid w:val="0"/>
      </w:pPr>
      <w:r>
        <w:rPr>
          <w:rStyle w:val="25"/>
        </w:rPr>
        <w:footnoteRef/>
      </w:r>
      <w:r>
        <w:t xml:space="preserve"> </w:t>
      </w:r>
      <w:r>
        <w:rPr>
          <w:rFonts w:hint="eastAsia"/>
        </w:rPr>
        <w:t>https://investor.lilly.com/news-releases/news-release-details/lillys-sofetabart-mipitecan-receives-us-fdas-breakthrough</w:t>
      </w:r>
    </w:p>
  </w:footnote>
  <w:footnote w:id="18">
    <w:p w14:paraId="29434D4D">
      <w:pPr>
        <w:pStyle w:val="16"/>
        <w:snapToGrid w:val="0"/>
      </w:pPr>
      <w:r>
        <w:rPr>
          <w:rStyle w:val="25"/>
        </w:rPr>
        <w:footnoteRef/>
      </w:r>
      <w:r>
        <w:t xml:space="preserve"> </w:t>
      </w:r>
      <w:r>
        <w:rPr>
          <w:rFonts w:hint="eastAsia"/>
        </w:rPr>
        <w:t>https://www.ema.europa.eu/en/news/first-treatment-rare-thymidine-kinase-2-deficiency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38"/>
    <w:footnote w:id="39"/>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9D3"/>
    <w:rsid w:val="00001975"/>
    <w:rsid w:val="00006CAB"/>
    <w:rsid w:val="00012A99"/>
    <w:rsid w:val="00017E77"/>
    <w:rsid w:val="000342E3"/>
    <w:rsid w:val="00041494"/>
    <w:rsid w:val="00052734"/>
    <w:rsid w:val="000639D3"/>
    <w:rsid w:val="00064F12"/>
    <w:rsid w:val="00071FE7"/>
    <w:rsid w:val="000733F0"/>
    <w:rsid w:val="00081546"/>
    <w:rsid w:val="00081BA2"/>
    <w:rsid w:val="00095DAD"/>
    <w:rsid w:val="000B2A70"/>
    <w:rsid w:val="000C07F2"/>
    <w:rsid w:val="000D515B"/>
    <w:rsid w:val="000E0365"/>
    <w:rsid w:val="000E7151"/>
    <w:rsid w:val="000F2319"/>
    <w:rsid w:val="000F50F2"/>
    <w:rsid w:val="00106420"/>
    <w:rsid w:val="0011414D"/>
    <w:rsid w:val="00123544"/>
    <w:rsid w:val="00163E3E"/>
    <w:rsid w:val="001819D5"/>
    <w:rsid w:val="001A11E7"/>
    <w:rsid w:val="001A413A"/>
    <w:rsid w:val="001B1C19"/>
    <w:rsid w:val="001C3552"/>
    <w:rsid w:val="001D46A9"/>
    <w:rsid w:val="001E1042"/>
    <w:rsid w:val="001F0E55"/>
    <w:rsid w:val="002260E7"/>
    <w:rsid w:val="00232404"/>
    <w:rsid w:val="00234239"/>
    <w:rsid w:val="0024170B"/>
    <w:rsid w:val="00243831"/>
    <w:rsid w:val="00260A52"/>
    <w:rsid w:val="00260E99"/>
    <w:rsid w:val="002669C4"/>
    <w:rsid w:val="0029166C"/>
    <w:rsid w:val="00297A27"/>
    <w:rsid w:val="002C2696"/>
    <w:rsid w:val="002D74EE"/>
    <w:rsid w:val="002E4CDB"/>
    <w:rsid w:val="002E6451"/>
    <w:rsid w:val="002E67E5"/>
    <w:rsid w:val="002F57E7"/>
    <w:rsid w:val="003050D5"/>
    <w:rsid w:val="00321037"/>
    <w:rsid w:val="00322898"/>
    <w:rsid w:val="00322D27"/>
    <w:rsid w:val="00330A9F"/>
    <w:rsid w:val="003345E1"/>
    <w:rsid w:val="003360E7"/>
    <w:rsid w:val="00357CEF"/>
    <w:rsid w:val="00372CE5"/>
    <w:rsid w:val="00374958"/>
    <w:rsid w:val="003777A5"/>
    <w:rsid w:val="003C7EAD"/>
    <w:rsid w:val="003D4958"/>
    <w:rsid w:val="003D729B"/>
    <w:rsid w:val="003E11A4"/>
    <w:rsid w:val="003E52FB"/>
    <w:rsid w:val="003F1613"/>
    <w:rsid w:val="0040192D"/>
    <w:rsid w:val="0047435F"/>
    <w:rsid w:val="004749DB"/>
    <w:rsid w:val="00490E0E"/>
    <w:rsid w:val="004A7209"/>
    <w:rsid w:val="004E5D8A"/>
    <w:rsid w:val="00515C56"/>
    <w:rsid w:val="005633FE"/>
    <w:rsid w:val="00567E17"/>
    <w:rsid w:val="00574108"/>
    <w:rsid w:val="0058243A"/>
    <w:rsid w:val="005931C2"/>
    <w:rsid w:val="00595A76"/>
    <w:rsid w:val="005C1B7B"/>
    <w:rsid w:val="005E5698"/>
    <w:rsid w:val="00600652"/>
    <w:rsid w:val="00604DC5"/>
    <w:rsid w:val="00607F5D"/>
    <w:rsid w:val="0061041B"/>
    <w:rsid w:val="006358B1"/>
    <w:rsid w:val="006434F4"/>
    <w:rsid w:val="006535CE"/>
    <w:rsid w:val="006806AE"/>
    <w:rsid w:val="006A64EF"/>
    <w:rsid w:val="006A7D80"/>
    <w:rsid w:val="006B29CB"/>
    <w:rsid w:val="006B6ED4"/>
    <w:rsid w:val="006C1807"/>
    <w:rsid w:val="006C6E0D"/>
    <w:rsid w:val="006E4AFB"/>
    <w:rsid w:val="006F7C3E"/>
    <w:rsid w:val="00704F08"/>
    <w:rsid w:val="00710919"/>
    <w:rsid w:val="0071525F"/>
    <w:rsid w:val="00721E1B"/>
    <w:rsid w:val="00746939"/>
    <w:rsid w:val="00765139"/>
    <w:rsid w:val="007809FB"/>
    <w:rsid w:val="00780AAC"/>
    <w:rsid w:val="00783E60"/>
    <w:rsid w:val="00797994"/>
    <w:rsid w:val="007B4F74"/>
    <w:rsid w:val="007C6FEB"/>
    <w:rsid w:val="007E3A3A"/>
    <w:rsid w:val="008011A2"/>
    <w:rsid w:val="0080366D"/>
    <w:rsid w:val="0080745D"/>
    <w:rsid w:val="00814716"/>
    <w:rsid w:val="0083345E"/>
    <w:rsid w:val="00852208"/>
    <w:rsid w:val="008633C3"/>
    <w:rsid w:val="00885F19"/>
    <w:rsid w:val="008956E7"/>
    <w:rsid w:val="00896369"/>
    <w:rsid w:val="008A4CE4"/>
    <w:rsid w:val="008C0CFB"/>
    <w:rsid w:val="008C2680"/>
    <w:rsid w:val="008D1090"/>
    <w:rsid w:val="008D1752"/>
    <w:rsid w:val="008E0457"/>
    <w:rsid w:val="008E1E53"/>
    <w:rsid w:val="008F6708"/>
    <w:rsid w:val="009023F1"/>
    <w:rsid w:val="00907528"/>
    <w:rsid w:val="0093724C"/>
    <w:rsid w:val="00961DF7"/>
    <w:rsid w:val="00984937"/>
    <w:rsid w:val="009A4637"/>
    <w:rsid w:val="009A5794"/>
    <w:rsid w:val="009A7E2C"/>
    <w:rsid w:val="009B4978"/>
    <w:rsid w:val="009C52DC"/>
    <w:rsid w:val="009C5D22"/>
    <w:rsid w:val="009E2338"/>
    <w:rsid w:val="009E5B39"/>
    <w:rsid w:val="009E641E"/>
    <w:rsid w:val="009F07E8"/>
    <w:rsid w:val="009F1133"/>
    <w:rsid w:val="00A16891"/>
    <w:rsid w:val="00A44D7D"/>
    <w:rsid w:val="00A44F02"/>
    <w:rsid w:val="00A458C4"/>
    <w:rsid w:val="00A552EB"/>
    <w:rsid w:val="00A72845"/>
    <w:rsid w:val="00A74469"/>
    <w:rsid w:val="00A760D6"/>
    <w:rsid w:val="00A86231"/>
    <w:rsid w:val="00A8748C"/>
    <w:rsid w:val="00AA2039"/>
    <w:rsid w:val="00AC2EB6"/>
    <w:rsid w:val="00AF083D"/>
    <w:rsid w:val="00AF4866"/>
    <w:rsid w:val="00AF5A27"/>
    <w:rsid w:val="00AF796E"/>
    <w:rsid w:val="00B07014"/>
    <w:rsid w:val="00B15075"/>
    <w:rsid w:val="00B237DA"/>
    <w:rsid w:val="00B2720F"/>
    <w:rsid w:val="00B364A7"/>
    <w:rsid w:val="00B37048"/>
    <w:rsid w:val="00B44D9F"/>
    <w:rsid w:val="00B6009A"/>
    <w:rsid w:val="00B707B6"/>
    <w:rsid w:val="00B71C74"/>
    <w:rsid w:val="00B71FDF"/>
    <w:rsid w:val="00B87695"/>
    <w:rsid w:val="00BC6272"/>
    <w:rsid w:val="00BD4666"/>
    <w:rsid w:val="00BE1BF3"/>
    <w:rsid w:val="00BF2C64"/>
    <w:rsid w:val="00C01D63"/>
    <w:rsid w:val="00C044BC"/>
    <w:rsid w:val="00C17C36"/>
    <w:rsid w:val="00C223A7"/>
    <w:rsid w:val="00C35185"/>
    <w:rsid w:val="00C36F9C"/>
    <w:rsid w:val="00C53C80"/>
    <w:rsid w:val="00C570BF"/>
    <w:rsid w:val="00C631B9"/>
    <w:rsid w:val="00C63C56"/>
    <w:rsid w:val="00C77D51"/>
    <w:rsid w:val="00C952B4"/>
    <w:rsid w:val="00C95D32"/>
    <w:rsid w:val="00C95F48"/>
    <w:rsid w:val="00C972CA"/>
    <w:rsid w:val="00CB10A3"/>
    <w:rsid w:val="00CB129A"/>
    <w:rsid w:val="00CD416D"/>
    <w:rsid w:val="00CE1245"/>
    <w:rsid w:val="00CE4490"/>
    <w:rsid w:val="00CF05BA"/>
    <w:rsid w:val="00CF1C08"/>
    <w:rsid w:val="00CF5817"/>
    <w:rsid w:val="00D01A56"/>
    <w:rsid w:val="00D06DBA"/>
    <w:rsid w:val="00D110EC"/>
    <w:rsid w:val="00D3636B"/>
    <w:rsid w:val="00D42C0B"/>
    <w:rsid w:val="00D47767"/>
    <w:rsid w:val="00D674DF"/>
    <w:rsid w:val="00D774D1"/>
    <w:rsid w:val="00D80615"/>
    <w:rsid w:val="00D8691E"/>
    <w:rsid w:val="00DA082D"/>
    <w:rsid w:val="00DA3A1D"/>
    <w:rsid w:val="00DB01D9"/>
    <w:rsid w:val="00DB24F1"/>
    <w:rsid w:val="00DC48F5"/>
    <w:rsid w:val="00DE1015"/>
    <w:rsid w:val="00DE3CAF"/>
    <w:rsid w:val="00DE571C"/>
    <w:rsid w:val="00DE7B9A"/>
    <w:rsid w:val="00DF7913"/>
    <w:rsid w:val="00E03807"/>
    <w:rsid w:val="00E206A1"/>
    <w:rsid w:val="00E313A7"/>
    <w:rsid w:val="00E34CA3"/>
    <w:rsid w:val="00E648E5"/>
    <w:rsid w:val="00EB79F1"/>
    <w:rsid w:val="00EC0359"/>
    <w:rsid w:val="00EC23B0"/>
    <w:rsid w:val="00ED500F"/>
    <w:rsid w:val="00EE127D"/>
    <w:rsid w:val="00F0134C"/>
    <w:rsid w:val="00F04000"/>
    <w:rsid w:val="00F34002"/>
    <w:rsid w:val="00F4105F"/>
    <w:rsid w:val="00F81898"/>
    <w:rsid w:val="00F952CE"/>
    <w:rsid w:val="00FA6D75"/>
    <w:rsid w:val="00FB2587"/>
    <w:rsid w:val="00FB6996"/>
    <w:rsid w:val="00FC2485"/>
    <w:rsid w:val="00FD2DA7"/>
    <w:rsid w:val="00FD73EA"/>
    <w:rsid w:val="00FD76C1"/>
    <w:rsid w:val="00FE3EF0"/>
    <w:rsid w:val="00FE700D"/>
    <w:rsid w:val="00FF0FF1"/>
    <w:rsid w:val="37BEAA81"/>
    <w:rsid w:val="47FFBE69"/>
    <w:rsid w:val="7EFA7EB0"/>
    <w:rsid w:val="BD7E9E7B"/>
    <w:rsid w:val="F59E3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6"/>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8"/>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9"/>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30"/>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31"/>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Date"/>
    <w:basedOn w:val="1"/>
    <w:next w:val="1"/>
    <w:link w:val="47"/>
    <w:semiHidden/>
    <w:unhideWhenUsed/>
    <w:uiPriority w:val="99"/>
    <w:pPr>
      <w:ind w:left="100" w:leftChars="2500"/>
    </w:pPr>
  </w:style>
  <w:style w:type="paragraph" w:styleId="12">
    <w:name w:val="footer"/>
    <w:basedOn w:val="1"/>
    <w:link w:val="45"/>
    <w:unhideWhenUsed/>
    <w:uiPriority w:val="99"/>
    <w:pPr>
      <w:tabs>
        <w:tab w:val="center" w:pos="4153"/>
        <w:tab w:val="right" w:pos="8306"/>
      </w:tabs>
      <w:snapToGrid w:val="0"/>
      <w:spacing w:line="240" w:lineRule="auto"/>
    </w:pPr>
    <w:rPr>
      <w:sz w:val="18"/>
      <w:szCs w:val="18"/>
    </w:rPr>
  </w:style>
  <w:style w:type="paragraph" w:styleId="13">
    <w:name w:val="header"/>
    <w:basedOn w:val="1"/>
    <w:link w:val="44"/>
    <w:unhideWhenUsed/>
    <w:uiPriority w:val="99"/>
    <w:pPr>
      <w:tabs>
        <w:tab w:val="center" w:pos="4153"/>
        <w:tab w:val="right" w:pos="8306"/>
      </w:tabs>
      <w:snapToGrid w:val="0"/>
      <w:spacing w:line="240" w:lineRule="auto"/>
      <w:jc w:val="center"/>
    </w:pPr>
    <w:rPr>
      <w:sz w:val="18"/>
      <w:szCs w:val="18"/>
    </w:rPr>
  </w:style>
  <w:style w:type="paragraph" w:styleId="14">
    <w:name w:val="toc 1"/>
    <w:basedOn w:val="1"/>
    <w:next w:val="1"/>
    <w:autoRedefine/>
    <w:unhideWhenUsed/>
    <w:uiPriority w:val="39"/>
    <w:pPr>
      <w:spacing w:after="0" w:line="240" w:lineRule="auto"/>
      <w:jc w:val="both"/>
    </w:pPr>
    <w:rPr>
      <w:sz w:val="21"/>
      <w:szCs w:val="22"/>
      <w14:ligatures w14:val="none"/>
    </w:rPr>
  </w:style>
  <w:style w:type="paragraph" w:styleId="15">
    <w:name w:val="Subtitle"/>
    <w:basedOn w:val="1"/>
    <w:next w:val="1"/>
    <w:link w:val="3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footnote text"/>
    <w:basedOn w:val="1"/>
    <w:link w:val="53"/>
    <w:unhideWhenUsed/>
    <w:qFormat/>
    <w:uiPriority w:val="99"/>
    <w:pPr>
      <w:snapToGrid w:val="0"/>
    </w:pPr>
    <w:rPr>
      <w:sz w:val="18"/>
      <w:szCs w:val="18"/>
    </w:rPr>
  </w:style>
  <w:style w:type="paragraph" w:styleId="17">
    <w:name w:val="toc 2"/>
    <w:basedOn w:val="1"/>
    <w:next w:val="1"/>
    <w:autoRedefine/>
    <w:unhideWhenUsed/>
    <w:uiPriority w:val="39"/>
    <w:pPr>
      <w:spacing w:after="0" w:line="240" w:lineRule="auto"/>
      <w:ind w:left="420" w:leftChars="200"/>
      <w:jc w:val="both"/>
    </w:pPr>
    <w:rPr>
      <w:sz w:val="21"/>
      <w:szCs w:val="22"/>
      <w14:ligatures w14:val="none"/>
    </w:rPr>
  </w:style>
  <w:style w:type="paragraph" w:styleId="18">
    <w:name w:val="Normal (Web)"/>
    <w:basedOn w:val="1"/>
    <w:semiHidden/>
    <w:unhideWhenUsed/>
    <w:uiPriority w:val="99"/>
    <w:rPr>
      <w:rFonts w:ascii="Times New Roman" w:hAnsi="Times New Roman" w:cs="Times New Roman"/>
      <w:sz w:val="24"/>
    </w:rPr>
  </w:style>
  <w:style w:type="paragraph" w:styleId="19">
    <w:name w:val="Title"/>
    <w:basedOn w:val="1"/>
    <w:next w:val="1"/>
    <w:link w:val="3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2">
    <w:name w:val="Strong"/>
    <w:basedOn w:val="21"/>
    <w:qFormat/>
    <w:uiPriority w:val="22"/>
    <w:rPr>
      <w:b/>
      <w:bCs/>
    </w:rPr>
  </w:style>
  <w:style w:type="character" w:styleId="23">
    <w:name w:val="FollowedHyperlink"/>
    <w:basedOn w:val="21"/>
    <w:semiHidden/>
    <w:unhideWhenUsed/>
    <w:uiPriority w:val="99"/>
    <w:rPr>
      <w:color w:val="954F72" w:themeColor="followedHyperlink"/>
      <w:u w:val="single"/>
      <w14:textFill>
        <w14:solidFill>
          <w14:schemeClr w14:val="folHlink"/>
        </w14:solidFill>
      </w14:textFill>
    </w:rPr>
  </w:style>
  <w:style w:type="character" w:styleId="24">
    <w:name w:val="Hyperlink"/>
    <w:basedOn w:val="21"/>
    <w:unhideWhenUsed/>
    <w:qFormat/>
    <w:uiPriority w:val="99"/>
    <w:rPr>
      <w:color w:val="0563C1" w:themeColor="hyperlink"/>
      <w:u w:val="single"/>
      <w14:textFill>
        <w14:solidFill>
          <w14:schemeClr w14:val="hlink"/>
        </w14:solidFill>
      </w14:textFill>
    </w:rPr>
  </w:style>
  <w:style w:type="character" w:styleId="25">
    <w:name w:val="footnote reference"/>
    <w:basedOn w:val="21"/>
    <w:unhideWhenUsed/>
    <w:qFormat/>
    <w:uiPriority w:val="99"/>
    <w:rPr>
      <w:vertAlign w:val="superscript"/>
    </w:rPr>
  </w:style>
  <w:style w:type="character" w:customStyle="1" w:styleId="26">
    <w:name w:val="标题 1 字符"/>
    <w:basedOn w:val="21"/>
    <w:link w:val="2"/>
    <w:uiPriority w:val="9"/>
    <w:rPr>
      <w:rFonts w:asciiTheme="majorHAnsi" w:hAnsiTheme="majorHAnsi" w:eastAsiaTheme="majorEastAsia" w:cstheme="majorBidi"/>
      <w:color w:val="2F5597" w:themeColor="accent1" w:themeShade="BF"/>
      <w:sz w:val="48"/>
      <w:szCs w:val="48"/>
    </w:rPr>
  </w:style>
  <w:style w:type="character" w:customStyle="1" w:styleId="27">
    <w:name w:val="标题 2 字符"/>
    <w:basedOn w:val="21"/>
    <w:link w:val="3"/>
    <w:uiPriority w:val="9"/>
    <w:rPr>
      <w:rFonts w:asciiTheme="majorHAnsi" w:hAnsiTheme="majorHAnsi" w:eastAsiaTheme="majorEastAsia" w:cstheme="majorBidi"/>
      <w:color w:val="2F5597" w:themeColor="accent1" w:themeShade="BF"/>
      <w:sz w:val="40"/>
      <w:szCs w:val="40"/>
    </w:rPr>
  </w:style>
  <w:style w:type="character" w:customStyle="1" w:styleId="28">
    <w:name w:val="标题 3 字符"/>
    <w:basedOn w:val="21"/>
    <w:link w:val="4"/>
    <w:semiHidden/>
    <w:uiPriority w:val="9"/>
    <w:rPr>
      <w:rFonts w:asciiTheme="majorHAnsi" w:hAnsiTheme="majorHAnsi" w:eastAsiaTheme="majorEastAsia" w:cstheme="majorBidi"/>
      <w:color w:val="2F5597" w:themeColor="accent1" w:themeShade="BF"/>
      <w:sz w:val="32"/>
      <w:szCs w:val="32"/>
    </w:rPr>
  </w:style>
  <w:style w:type="character" w:customStyle="1" w:styleId="29">
    <w:name w:val="标题 4 字符"/>
    <w:basedOn w:val="21"/>
    <w:link w:val="5"/>
    <w:semiHidden/>
    <w:uiPriority w:val="9"/>
    <w:rPr>
      <w:rFonts w:cstheme="majorBidi"/>
      <w:color w:val="2F5597" w:themeColor="accent1" w:themeShade="BF"/>
      <w:sz w:val="28"/>
      <w:szCs w:val="28"/>
    </w:rPr>
  </w:style>
  <w:style w:type="character" w:customStyle="1" w:styleId="30">
    <w:name w:val="标题 5 字符"/>
    <w:basedOn w:val="21"/>
    <w:link w:val="6"/>
    <w:semiHidden/>
    <w:uiPriority w:val="9"/>
    <w:rPr>
      <w:rFonts w:cstheme="majorBidi"/>
      <w:color w:val="2F5597" w:themeColor="accent1" w:themeShade="BF"/>
      <w:sz w:val="24"/>
    </w:rPr>
  </w:style>
  <w:style w:type="character" w:customStyle="1" w:styleId="31">
    <w:name w:val="标题 6 字符"/>
    <w:basedOn w:val="21"/>
    <w:link w:val="7"/>
    <w:semiHidden/>
    <w:uiPriority w:val="9"/>
    <w:rPr>
      <w:rFonts w:cstheme="majorBidi"/>
      <w:b/>
      <w:bCs/>
      <w:color w:val="2F5597" w:themeColor="accent1" w:themeShade="BF"/>
    </w:rPr>
  </w:style>
  <w:style w:type="character" w:customStyle="1" w:styleId="32">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3">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4">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标题 字符"/>
    <w:basedOn w:val="21"/>
    <w:link w:val="19"/>
    <w:uiPriority w:val="10"/>
    <w:rPr>
      <w:rFonts w:asciiTheme="majorHAnsi" w:hAnsiTheme="majorHAnsi" w:eastAsiaTheme="majorEastAsia" w:cstheme="majorBidi"/>
      <w:spacing w:val="-10"/>
      <w:kern w:val="28"/>
      <w:sz w:val="56"/>
      <w:szCs w:val="56"/>
    </w:rPr>
  </w:style>
  <w:style w:type="character" w:customStyle="1" w:styleId="36">
    <w:name w:val="副标题 字符"/>
    <w:basedOn w:val="21"/>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引用 字符"/>
    <w:basedOn w:val="21"/>
    <w:link w:val="37"/>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2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明显引用 字符"/>
    <w:basedOn w:val="21"/>
    <w:link w:val="41"/>
    <w:uiPriority w:val="30"/>
    <w:rPr>
      <w:i/>
      <w:iCs/>
      <w:color w:val="2F5597" w:themeColor="accent1" w:themeShade="BF"/>
    </w:rPr>
  </w:style>
  <w:style w:type="character" w:customStyle="1" w:styleId="43">
    <w:name w:val="Intense Reference"/>
    <w:basedOn w:val="21"/>
    <w:qFormat/>
    <w:uiPriority w:val="32"/>
    <w:rPr>
      <w:b/>
      <w:bCs/>
      <w:smallCaps/>
      <w:color w:val="2F5597" w:themeColor="accent1" w:themeShade="BF"/>
      <w:spacing w:val="5"/>
    </w:rPr>
  </w:style>
  <w:style w:type="character" w:customStyle="1" w:styleId="44">
    <w:name w:val="页眉 字符"/>
    <w:basedOn w:val="21"/>
    <w:link w:val="13"/>
    <w:uiPriority w:val="99"/>
    <w:rPr>
      <w:sz w:val="18"/>
      <w:szCs w:val="18"/>
    </w:rPr>
  </w:style>
  <w:style w:type="character" w:customStyle="1" w:styleId="45">
    <w:name w:val="页脚 字符"/>
    <w:basedOn w:val="21"/>
    <w:link w:val="12"/>
    <w:uiPriority w:val="99"/>
    <w:rPr>
      <w:sz w:val="18"/>
      <w:szCs w:val="18"/>
    </w:rPr>
  </w:style>
  <w:style w:type="character" w:customStyle="1" w:styleId="46">
    <w:name w:val="Unresolved Mention"/>
    <w:basedOn w:val="21"/>
    <w:semiHidden/>
    <w:unhideWhenUsed/>
    <w:uiPriority w:val="99"/>
    <w:rPr>
      <w:color w:val="605E5C"/>
      <w:shd w:val="clear" w:color="auto" w:fill="E1DFDD"/>
    </w:rPr>
  </w:style>
  <w:style w:type="character" w:customStyle="1" w:styleId="47">
    <w:name w:val="日期 字符"/>
    <w:basedOn w:val="21"/>
    <w:link w:val="11"/>
    <w:semiHidden/>
    <w:uiPriority w:val="99"/>
  </w:style>
  <w:style w:type="paragraph" w:customStyle="1" w:styleId="48">
    <w:name w:val="创新药简报"/>
    <w:basedOn w:val="1"/>
    <w:link w:val="49"/>
    <w:qFormat/>
    <w:uiPriority w:val="0"/>
    <w:pPr>
      <w:widowControl/>
      <w:shd w:val="clear" w:color="auto" w:fill="FFFFFF"/>
      <w:spacing w:after="0" w:line="500" w:lineRule="exact"/>
      <w:ind w:firstLine="592" w:firstLineChars="200"/>
      <w:jc w:val="both"/>
    </w:pPr>
    <w:rPr>
      <w:rFonts w:ascii="Times New Roman" w:hAnsi="Times New Roman" w:eastAsia="仿宋" w:cs="Times New Roman"/>
      <w:color w:val="222222"/>
      <w:spacing w:val="8"/>
      <w:kern w:val="0"/>
      <w:sz w:val="28"/>
      <w:szCs w:val="28"/>
      <w14:ligatures w14:val="none"/>
    </w:rPr>
  </w:style>
  <w:style w:type="character" w:customStyle="1" w:styleId="49">
    <w:name w:val="创新药简报 字符"/>
    <w:basedOn w:val="21"/>
    <w:link w:val="48"/>
    <w:uiPriority w:val="0"/>
    <w:rPr>
      <w:rFonts w:ascii="Times New Roman" w:hAnsi="Times New Roman" w:eastAsia="仿宋" w:cs="Times New Roman"/>
      <w:color w:val="222222"/>
      <w:spacing w:val="8"/>
      <w:kern w:val="0"/>
      <w:sz w:val="28"/>
      <w:szCs w:val="28"/>
      <w:shd w:val="clear" w:color="auto" w:fill="FFFFFF"/>
      <w14:ligatures w14:val="none"/>
    </w:rPr>
  </w:style>
  <w:style w:type="paragraph" w:customStyle="1" w:styleId="50">
    <w:name w:val="创新药标题"/>
    <w:basedOn w:val="1"/>
    <w:link w:val="51"/>
    <w:qFormat/>
    <w:uiPriority w:val="0"/>
    <w:pPr>
      <w:keepNext/>
      <w:keepLines/>
      <w:spacing w:before="260" w:after="260" w:line="415" w:lineRule="auto"/>
      <w:jc w:val="center"/>
      <w:outlineLvl w:val="1"/>
    </w:pPr>
    <w:rPr>
      <w:rFonts w:ascii="Times New Roman" w:hAnsi="Times New Roman" w:eastAsia="黑体" w:cs="Times New Roman"/>
      <w:b/>
      <w:bCs/>
      <w:sz w:val="32"/>
      <w:szCs w:val="32"/>
      <w14:ligatures w14:val="none"/>
    </w:rPr>
  </w:style>
  <w:style w:type="character" w:customStyle="1" w:styleId="51">
    <w:name w:val="创新药标题 字符"/>
    <w:basedOn w:val="21"/>
    <w:link w:val="50"/>
    <w:uiPriority w:val="0"/>
    <w:rPr>
      <w:rFonts w:ascii="Times New Roman" w:hAnsi="Times New Roman" w:eastAsia="黑体" w:cs="Times New Roman"/>
      <w:b/>
      <w:bCs/>
      <w:sz w:val="32"/>
      <w:szCs w:val="32"/>
      <w14:ligatures w14:val="none"/>
    </w:rPr>
  </w:style>
  <w:style w:type="paragraph" w:customStyle="1" w:styleId="52">
    <w:name w:val="ds-markdown-paragraph"/>
    <w:basedOn w:val="1"/>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53">
    <w:name w:val="脚注文本 字符"/>
    <w:basedOn w:val="21"/>
    <w:link w:val="16"/>
    <w:qFormat/>
    <w:uiPriority w:val="99"/>
    <w:rPr>
      <w:sz w:val="18"/>
      <w:szCs w:val="18"/>
    </w:rPr>
  </w:style>
  <w:style w:type="paragraph" w:customStyle="1" w:styleId="54">
    <w:name w:val="发-生物标题"/>
    <w:basedOn w:val="4"/>
    <w:link w:val="55"/>
    <w:qFormat/>
    <w:uiPriority w:val="0"/>
    <w:pPr>
      <w:spacing w:before="260" w:after="260" w:line="415" w:lineRule="auto"/>
      <w:jc w:val="center"/>
    </w:pPr>
    <w:rPr>
      <w:rFonts w:ascii="Times New Roman" w:hAnsi="Times New Roman" w:eastAsia="黑体" w:cs="Times New Roman"/>
      <w:b/>
      <w:bCs/>
      <w14:ligatures w14:val="none"/>
    </w:rPr>
  </w:style>
  <w:style w:type="character" w:customStyle="1" w:styleId="55">
    <w:name w:val="发-生物标题 字符"/>
    <w:basedOn w:val="28"/>
    <w:link w:val="54"/>
    <w:uiPriority w:val="0"/>
    <w:rPr>
      <w:rFonts w:ascii="Times New Roman" w:hAnsi="Times New Roman" w:eastAsia="黑体" w:cs="Times New Roman"/>
      <w:b/>
      <w:bCs/>
      <w:color w:val="2F5597" w:themeColor="accent1" w:themeShade="BF"/>
      <w:sz w:val="32"/>
      <w:szCs w:val="32"/>
      <w14:ligatures w14:val="none"/>
    </w:rPr>
  </w:style>
  <w:style w:type="paragraph" w:customStyle="1" w:styleId="56">
    <w:name w:val="发改委生物"/>
    <w:basedOn w:val="18"/>
    <w:link w:val="57"/>
    <w:qFormat/>
    <w:uiPriority w:val="0"/>
    <w:pPr>
      <w:widowControl/>
      <w:shd w:val="clear" w:color="auto" w:fill="FFFFFF"/>
      <w:spacing w:after="0" w:line="500" w:lineRule="exact"/>
      <w:ind w:firstLine="200" w:firstLineChars="200"/>
      <w:jc w:val="both"/>
    </w:pPr>
    <w:rPr>
      <w:rFonts w:eastAsia="仿宋"/>
      <w:color w:val="222222"/>
      <w:spacing w:val="8"/>
      <w:kern w:val="0"/>
      <w:sz w:val="28"/>
      <w:szCs w:val="28"/>
      <w14:ligatures w14:val="none"/>
    </w:rPr>
  </w:style>
  <w:style w:type="character" w:customStyle="1" w:styleId="57">
    <w:name w:val="发改委生物 字符"/>
    <w:basedOn w:val="21"/>
    <w:link w:val="56"/>
    <w:uiPriority w:val="0"/>
    <w:rPr>
      <w:rFonts w:ascii="Times New Roman" w:hAnsi="Times New Roman" w:eastAsia="仿宋" w:cs="Times New Roman"/>
      <w:color w:val="222222"/>
      <w:spacing w:val="8"/>
      <w:kern w:val="0"/>
      <w:sz w:val="28"/>
      <w:szCs w:val="28"/>
      <w:shd w:val="clear" w:color="auto" w:fill="FFFFFF"/>
      <w14:ligatures w14:val="none"/>
    </w:rPr>
  </w:style>
  <w:style w:type="paragraph" w:customStyle="1" w:styleId="58">
    <w:name w:val="Revision"/>
    <w:hidden/>
    <w:semiHidden/>
    <w:uiPriority w:val="99"/>
    <w:pPr>
      <w:spacing w:after="0" w:line="240" w:lineRule="auto"/>
    </w:pPr>
    <w:rPr>
      <w:rFonts w:asciiTheme="minorHAnsi" w:hAnsiTheme="minorHAnsi" w:eastAsiaTheme="minorEastAsia" w:cstheme="minorBidi"/>
      <w:kern w:val="2"/>
      <w:sz w:val="22"/>
      <w:szCs w:val="24"/>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396361-2AE8-445B-A58A-6E08D655C644}">
  <ds:schemaRefs/>
</ds:datastoreItem>
</file>

<file path=docProps/app.xml><?xml version="1.0" encoding="utf-8"?>
<Properties xmlns="http://schemas.openxmlformats.org/officeDocument/2006/extended-properties" xmlns:vt="http://schemas.openxmlformats.org/officeDocument/2006/docPropsVTypes">
  <Template>Normal</Template>
  <Pages>12</Pages>
  <Words>2532</Words>
  <Characters>3192</Characters>
  <Lines>122</Lines>
  <Paragraphs>78</Paragraphs>
  <TotalTime>2</TotalTime>
  <ScaleCrop>false</ScaleCrop>
  <LinksUpToDate>false</LinksUpToDate>
  <CharactersWithSpaces>5646</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2025-08-31T17:23:00Z</dcterms:created>
  <dc:creator>丽雪 邹</dc:creator>
  <cp:lastModifiedBy>WPS_1633742157</cp:lastModifiedBy>
  <cp:lastPrinted>2025-11-04T16:45:00Z</cp:lastPrinted>
  <dcterms:modified xsi:type="dcterms:W3CDTF">2026-02-13T18:21:32Z</dcterms:modified>
  <cp:revision>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F9F57C4316B3314D4C9B8E698D031038_43</vt:lpwstr>
  </property>
</Properties>
</file>