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8B0E5E">
      <w:pPr>
        <w:spacing w:line="800" w:lineRule="exact"/>
        <w:jc w:val="right"/>
        <w:rPr>
          <w:rFonts w:hint="eastAsia" w:ascii="仿宋_GB2312" w:hAnsi="微软雅黑" w:eastAsia="仿宋_GB2312" w:cs="Times New Roman"/>
          <w:sz w:val="28"/>
          <w:szCs w:val="28"/>
        </w:rPr>
      </w:pPr>
      <w:bookmarkStart w:id="0" w:name="_Toc205192224"/>
      <w:r>
        <w:rPr>
          <w:rFonts w:hint="eastAsia" w:ascii="仿宋_GB2312" w:hAnsi="微软雅黑" w:eastAsia="仿宋_GB2312" w:cs="Times New Roman"/>
          <w:sz w:val="28"/>
          <w:szCs w:val="28"/>
        </w:rPr>
        <w:t>内部资料</w:t>
      </w:r>
    </w:p>
    <w:p w14:paraId="5AB31CB0">
      <w:pPr>
        <w:jc w:val="center"/>
        <w:rPr>
          <w:rFonts w:hint="eastAsia" w:ascii="微软雅黑" w:hAnsi="微软雅黑" w:eastAsia="微软雅黑" w:cs="Times New Roman"/>
          <w:b/>
          <w:bCs/>
          <w:color w:val="4472C4"/>
          <w:sz w:val="72"/>
          <w:szCs w:val="72"/>
        </w:rPr>
      </w:pPr>
      <w:r>
        <w:rPr>
          <w:rFonts w:hint="eastAsia" w:ascii="微软雅黑" w:hAnsi="微软雅黑" w:eastAsia="微软雅黑" w:cs="Times New Roman"/>
          <w:b/>
          <w:bCs/>
          <w:color w:val="4472C4"/>
          <w:sz w:val="72"/>
          <w:szCs w:val="72"/>
        </w:rPr>
        <w:t>创新药动向简报</w:t>
      </w:r>
    </w:p>
    <w:p w14:paraId="2460858C">
      <w:pPr>
        <w:spacing w:line="360" w:lineRule="auto"/>
        <w:jc w:val="center"/>
        <w:rPr>
          <w:rFonts w:ascii="Times New Roman" w:hAnsi="Times New Roman" w:eastAsia="微软雅黑" w:cs="Times New Roman"/>
          <w:sz w:val="36"/>
          <w:szCs w:val="36"/>
        </w:rPr>
      </w:pPr>
      <w:r>
        <w:rPr>
          <w:rFonts w:hint="eastAsia" w:ascii="Times New Roman" w:hAnsi="Times New Roman" w:eastAsia="微软雅黑" w:cs="Times New Roman"/>
          <w:sz w:val="36"/>
          <w:szCs w:val="36"/>
        </w:rPr>
        <w:t>（202</w:t>
      </w:r>
      <w:r>
        <w:rPr>
          <w:rFonts w:hint="eastAsia" w:ascii="Times New Roman" w:hAnsi="Times New Roman" w:eastAsia="微软雅黑" w:cs="Times New Roman"/>
          <w:sz w:val="36"/>
          <w:szCs w:val="36"/>
          <w:lang w:val="en-US" w:eastAsia="zh-CN"/>
        </w:rPr>
        <w:t>6</w:t>
      </w:r>
      <w:r>
        <w:rPr>
          <w:rFonts w:hint="eastAsia" w:ascii="Times New Roman" w:hAnsi="Times New Roman" w:eastAsia="微软雅黑" w:cs="Times New Roman"/>
          <w:sz w:val="36"/>
          <w:szCs w:val="36"/>
        </w:rPr>
        <w:t>年3月）</w:t>
      </w:r>
    </w:p>
    <w:sdt>
      <w:sdtPr>
        <w:rPr>
          <w:rFonts w:ascii="Times New Roman" w:hAnsi="Times New Roman" w:eastAsia="宋体" w:cs="Times New Roman"/>
          <w:b/>
          <w:sz w:val="21"/>
          <w:szCs w:val="22"/>
          <w:lang w:val="zh-CN"/>
          <w14:ligatures w14:val="none"/>
        </w:rPr>
        <w:id w:val="365109053"/>
        <w:docPartObj>
          <w:docPartGallery w:val="Table of Contents"/>
          <w:docPartUnique/>
        </w:docPartObj>
      </w:sdtPr>
      <w:sdtEndPr>
        <w:rPr>
          <w:rFonts w:eastAsia="仿宋" w:cs="Times New Roman" w:asciiTheme="minorHAnsi" w:hAnsiTheme="minorHAnsi"/>
          <w:b/>
          <w:bCs/>
          <w:sz w:val="21"/>
          <w:szCs w:val="22"/>
          <w:lang w:val="zh-CN"/>
          <w14:ligatures w14:val="none"/>
        </w:rPr>
      </w:sdtEndPr>
      <w:sdtContent>
        <w:p w14:paraId="25F01E22">
          <w:pPr>
            <w:keepNext/>
            <w:keepLines/>
            <w:widowControl/>
            <w:spacing w:before="312" w:beforeLines="100" w:after="312" w:afterLines="100" w:line="600" w:lineRule="exact"/>
            <w:jc w:val="center"/>
            <w:rPr>
              <w:rFonts w:ascii="Times New Roman" w:hAnsi="Times New Roman" w:eastAsia="微软雅黑" w:cs="Times New Roman"/>
              <w:b/>
              <w:color w:val="4472C4"/>
              <w:kern w:val="0"/>
              <w:sz w:val="40"/>
              <w:szCs w:val="40"/>
            </w:rPr>
          </w:pPr>
          <w:r>
            <w:rPr>
              <w:rFonts w:ascii="等线 Light" w:hAnsi="等线 Light" w:eastAsia="黑体" w:cs="Times New Roman"/>
              <w:color w:val="4472C4"/>
              <w:kern w:val="0"/>
              <w:sz w:val="28"/>
              <w:szCs w:val="32"/>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3810</wp:posOffset>
                    </wp:positionV>
                    <wp:extent cx="5273675" cy="0"/>
                    <wp:effectExtent l="0" t="0" r="0" b="0"/>
                    <wp:wrapNone/>
                    <wp:docPr id="1408378867" name="直接连接符 13"/>
                    <wp:cNvGraphicFramePr/>
                    <a:graphic xmlns:a="http://schemas.openxmlformats.org/drawingml/2006/main">
                      <a:graphicData uri="http://schemas.microsoft.com/office/word/2010/wordprocessingShape">
                        <wps:wsp>
                          <wps:cNvCnPr/>
                          <wps:spPr>
                            <a:xfrm>
                              <a:off x="0" y="0"/>
                              <a:ext cx="5273675" cy="0"/>
                            </a:xfrm>
                            <a:prstGeom prst="line">
                              <a:avLst/>
                            </a:prstGeom>
                            <a:noFill/>
                            <a:ln w="25400" cap="flat" cmpd="sng" algn="ctr">
                              <a:solidFill>
                                <a:srgbClr val="4472C4"/>
                              </a:solidFill>
                              <a:prstDash val="solid"/>
                              <a:miter lim="800000"/>
                            </a:ln>
                            <a:effectLst/>
                          </wps:spPr>
                          <wps:bodyPr/>
                        </wps:wsp>
                      </a:graphicData>
                    </a:graphic>
                  </wp:anchor>
                </w:drawing>
              </mc:Choice>
              <mc:Fallback>
                <w:pict>
                  <v:line id="直接连接符 13" o:spid="_x0000_s1026" o:spt="20" style="position:absolute;left:0pt;margin-top:0.3pt;height:0pt;width:415.25pt;mso-position-horizontal:right;mso-position-horizontal-relative:margin;z-index:251659264;mso-width-relative:page;mso-height-relative:page;" filled="f" stroked="t" coordsize="21600,21600" o:gfxdata="UEsDBAoAAAAAAIdO4kAAAAAAAAAAAAAAAAAEAAAAZHJzL1BLAwQUAAAACACHTuJAlTdRidEAAAAC AQAADwAAAGRycy9kb3ducmV2LnhtbE2PzU7DMBCE70i8g7VI3KhdUKsqjdMD/4JLKTyAE2+TqPE6 ijdN4enZnuA4mtHMN/nmFDp1xCG1kSzMZwYUUhV9S7WFr8+nmxWoxI686yKhhW9MsCkuL3KX+TjR Bx53XCspoZQ5Cw1zn2mdqgaDS7PYI4m3j0NwLHKotR/cJOWh07fGLHVwLclC43q8b7A67MYgu4v3 MvjD81v98jCNPb9uH3/i1trrq7lZg2I88V8YzviCDoUwlXEkn1RnQY6whSUo8VZ3ZgGqPEtd5Po/ evELUEsDBBQAAAAIAIdO4kDRV4Kw9wEAAMoDAAAOAAAAZHJzL2Uyb0RvYy54bWytUzuO2zAQ7QPk DgT7WPLfECxvYWPTBImBJAegKUoiwB84XMu+RC4QIF1SpUyf22T3GBlSWmez22yxKqgZDvmG7/Fx fXXSihyFB2lNScejnBJhuK2kaUr6+dP1mxUlEJipmLJGlPQsgF5tXr9ad64QE9taVQlPEMRA0bmS tiG4IsuAt0IzGFknDBZr6zULmPomqzzrEF2rbJLni6yzvnLecgGAs7u+SAdE/xxAW9eSi53lN1qY 0KN6oVhAStBKB3STTlvXgocPdQ0iEFVSZBrSiE0wPsQx26xZ0XjmWsmHI7DnHOERJ82kwaYXqB0L jNx4+QRKS+4t2DqMuNVZTyQpgizG+SNtPrbMicQFpQZ3ER1eDpa/P+49kRU6YZavpsvVarGkxDCN N3/79defL9/vfn/D8fbnDzKeRrk6BwXu2pq9HzJwex+5n2qv4x9ZkVOS+HyRWJwC4Tg5nyyni+Wc En5fy/5tdB7CW2E1iUFJlTSRPSvY8R0EbIZL75fEaWOvpVLpBpUhXUkn81mOF8sZ2rJGO2CoHVID 01DCVIN+58EnSLBKVnF7BALfHLbKkyNDl8xmy8l2Fpliu/+Wxd47Bm2/LpV6/2gZ8EkoqUu6yuM3 7FYmootkw4FBVK/XK0YHW52TjFnM8IpT08GO0UMPc4wfPsHNX1BLAwQKAAAAAACHTuJAAAAAAAAA AAAAAAAABgAAAF9yZWxzL1BLAwQUAAAACACHTuJAihRmPNEAAACUAQAACwAAAF9yZWxzLy5yZWxz pZDBasMwDIbvg72D0X1xmsMYo04vo9Br6R7A2IpjGltGMtn69vMOg2X0tqN+oe8T//7wmRa1Ikuk bGDX9aAwO/IxBwPvl+PTCyipNnu7UEYDNxQ4jI8P+zMutrYjmWMR1ShZDMy1lletxc2YrHRUMLfN RJxsbSMHXay72oB66Ptnzb8ZMG6Y6uQN8MkPoC630sx/2Ck6JqGpdo6SpmmK7h5VB7Zlju7INuEb uUazHLAa8CwaB2pZ134EfV+/+6fe00c+47rVfoeM649Xb7ocvwBQSwMEFAAAAAgAh07iQH7m5SD3 AAAA4QEAABMAAABbQ29udGVudF9UeXBlc10ueG1slZFBTsMwEEX3SNzB8hYlTrtACCXpgrRLQKgc YGRPEotkbHlMaG+Pk7YbRJFY2jP/vye73BzGQUwY2Dqq5CovpEDSzljqKvm+32UPUnAEMjA4wkoe keWmvr0p90ePLFKauJJ9jP5RKdY9jsC580hp0rowQkzH0CkP+gM6VOuiuFfaUUSKWZw7ZF022MLn EMX2kK5PJgEHluLptDizKgneD1ZDTKZqIvODkp0JeUouO9xbz3dJQ6pfCfPkOuCce0lPE6xB8Qoh PsOYNJQJrIz7ooBT/nfJbDly5trWasybwE2KveF0sbrWjmvXOP3f8u2SunSr5YPqb1BLAQIUABQA AAAIAIdO4kB+5uUg9wAAAOEBAAATAAAAAAAAAAEAIAAAAGEEAABbQ29udGVudF9UeXBlc10ueG1s UEsBAhQACgAAAAAAh07iQAAAAAAAAAAAAAAAAAYAAAAAAAAAAAAQAAAAQwMAAF9yZWxzL1BLAQIU ABQAAAAIAIdO4kCKFGY80QAAAJQBAAALAAAAAAAAAAEAIAAAAGcDAABfcmVscy8ucmVsc1BLAQIU AAoAAAAAAIdO4kAAAAAAAAAAAAAAAAAEAAAAAAAAAAAAEAAAAAAAAABkcnMvUEsBAhQAFAAAAAgA h07iQJU3UYnRAAAAAgEAAA8AAAAAAAAAAQAgAAAAIgAAAGRycy9kb3ducmV2LnhtbFBLAQIUABQA AAAIAIdO4kDRV4Kw9wEAAMoDAAAOAAAAAAAAAAEAIAAAACABAABkcnMvZTJvRG9jLnhtbFBLBQYA AAAABgAGAFkBAACJBQAAAAA= ">
                    <v:fill on="f" focussize="0,0"/>
                    <v:stroke weight="2pt" color="#4472C4" miterlimit="8" joinstyle="miter"/>
                    <v:imagedata o:title=""/>
                    <o:lock v:ext="edit" aspectratio="f"/>
                  </v:line>
                </w:pict>
              </mc:Fallback>
            </mc:AlternateContent>
          </w:r>
          <w:r>
            <w:rPr>
              <w:rFonts w:ascii="Times New Roman" w:hAnsi="Times New Roman" w:eastAsia="微软雅黑" w:cs="Times New Roman"/>
              <w:b/>
              <w:color w:val="4472C4"/>
              <w:kern w:val="0"/>
              <w:sz w:val="40"/>
              <w:szCs w:val="40"/>
              <w:lang w:val="zh-CN"/>
            </w:rPr>
            <w:t>目  录</w:t>
          </w:r>
        </w:p>
        <w:p>
          <w:pPr>
            <w:pStyle w:val="14"/>
            <w:tabs>
              <w:tab w:val="right" w:leader="dot" w:pos="8306"/>
            </w:tabs>
          </w:pPr>
          <w:r>
            <w:rPr>
              <w:rFonts w:ascii="Times New Roman" w:hAnsi="Times New Roman" w:eastAsia="仿宋"/>
            </w:rPr>
            <w:fldChar w:fldCharType="begin" w:dirty="true"/>
            <w:instrText xml:space="preserve"> HYPERLINK \l _Toc3000100 </w:instrText>
            <w:fldChar w:fldCharType="separate"/>
          </w:r>
          <w:r>
            <w:rPr>
              <w:rFonts w:hint="eastAsia" w:ascii="Times New Roman" w:hAnsi="Times New Roman" w:eastAsia="黑体" w:cs="Times New Roman"/>
              <w:bCs/>
              <w:szCs w:val="32"/>
            </w:rPr>
            <w:t>技术动向</w:t>
          </w:r>
          <w:r>
            <w:tab/>
            <w:fldChar w:fldCharType="begin" w:dirty="true"/>
            <w:instrText xml:space="preserve"> PAGEREF _Toc3000100 \h </w:instrText>
            <w:fldChar w:fldCharType="separate"/>
            <w:t>1</w:t>
            <w:fldChar w:fldCharType="end"/>
          </w:r>
          <w:r>
            <w:rPr>
              <w:rFonts w:ascii="Times New Roman" w:hAnsi="Times New Roman" w:eastAsia="仿宋"/>
            </w:rPr>
            <w:fldChar w:fldCharType="end"/>
          </w:r>
        </w:p>
        <w:p>
          <w:pPr>
            <w:pStyle w:val="17"/>
            <w:tabs>
              <w:tab w:val="right" w:leader="dot" w:pos="8306"/>
            </w:tabs>
            <w:rPr>
              <w:rFonts w:hint="eastAsia" w:ascii="仿宋_GB2312" w:hAnsi="仿宋_GB2312" w:eastAsia="仿宋_GB2312" w:cs="仿宋_GB2312"/>
            </w:rPr>
          </w:pPr>
          <w:r>
            <w:rPr>
              <w:rFonts w:hint="eastAsia" w:ascii="仿宋_GB2312" w:hAnsi="仿宋_GB2312" w:eastAsia="仿宋_GB2312" w:cs="仿宋_GB2312"/>
            </w:rPr>
            <w:fldChar w:fldCharType="begin" w:dirty="true"/>
            <w:instrText xml:space="preserve"> HYPERLINK \l _Toc3000001 </w:instrText>
            <w:fldChar w:fldCharType="separate"/>
            <w:t>受体介导内溶酶体再循环嵌合体平台动态重塑肿瘤免疫网络推进癌症免疫治疗</w:t>
            <w:tab/>
            <w:fldChar w:fldCharType="begin" w:dirty="true"/>
            <w:instrText xml:space="preserve"> PAGEREF _Toc3000001 \h </w:instrText>
            <w:fldChar w:fldCharType="separate"/>
            <w:t>1</w:t>
            <w:fldChar w:fldCharType="end"/>
            <w:fldChar w:fldCharType="end"/>
          </w:r>
        </w:p>
        <w:p>
          <w:pPr>
            <w:pStyle w:val="17"/>
            <w:tabs>
              <w:tab w:val="right" w:leader="dot" w:pos="8306"/>
            </w:tabs>
            <w:rPr>
              <w:rFonts w:hint="eastAsia" w:ascii="仿宋_GB2312" w:hAnsi="仿宋_GB2312" w:eastAsia="仿宋_GB2312" w:cs="仿宋_GB2312"/>
            </w:rPr>
          </w:pPr>
          <w:r>
            <w:rPr>
              <w:rFonts w:hint="eastAsia" w:ascii="仿宋_GB2312" w:hAnsi="仿宋_GB2312" w:eastAsia="仿宋_GB2312" w:cs="仿宋_GB2312"/>
            </w:rPr>
            <w:fldChar w:fldCharType="begin" w:dirty="true"/>
            <w:instrText xml:space="preserve"> HYPERLINK \l _Toc3000002 </w:instrText>
            <w:fldChar w:fldCharType="separate"/>
            <w:t>纳米粒子劫持颅骨免疫细胞实现中枢神经系统药物递送及卒中治疗取得进展</w:t>
            <w:tab/>
            <w:fldChar w:fldCharType="begin" w:dirty="true"/>
            <w:instrText xml:space="preserve"> PAGEREF _Toc3000002 \h </w:instrText>
            <w:fldChar w:fldCharType="separate"/>
            <w:t>1</w:t>
            <w:fldChar w:fldCharType="end"/>
            <w:fldChar w:fldCharType="end"/>
          </w:r>
        </w:p>
        <w:p>
          <w:pPr>
            <w:pStyle w:val="17"/>
            <w:tabs>
              <w:tab w:val="right" w:leader="dot" w:pos="8306"/>
            </w:tabs>
            <w:rPr>
              <w:rFonts w:hint="eastAsia" w:ascii="仿宋_GB2312" w:hAnsi="仿宋_GB2312" w:eastAsia="仿宋_GB2312" w:cs="仿宋_GB2312"/>
            </w:rPr>
          </w:pPr>
          <w:r>
            <w:rPr>
              <w:rFonts w:hint="eastAsia" w:ascii="仿宋_GB2312" w:hAnsi="仿宋_GB2312" w:eastAsia="仿宋_GB2312" w:cs="仿宋_GB2312"/>
            </w:rPr>
            <w:fldChar w:fldCharType="begin" w:dirty="true"/>
            <w:instrText xml:space="preserve"> HYPERLINK \l _Toc3000003 </w:instrText>
            <w:fldChar w:fldCharType="separate"/>
            <w:t>脑膜血管阻断增强抗胶质母细胞瘤免疫</w:t>
            <w:tab/>
            <w:fldChar w:fldCharType="begin" w:dirty="true"/>
            <w:instrText xml:space="preserve"> PAGEREF _Toc3000003 \h </w:instrText>
            <w:fldChar w:fldCharType="separate"/>
            <w:t>2</w:t>
            <w:fldChar w:fldCharType="end"/>
            <w:fldChar w:fldCharType="end"/>
          </w:r>
        </w:p>
        <w:p>
          <w:pPr>
            <w:pStyle w:val="17"/>
            <w:tabs>
              <w:tab w:val="right" w:leader="dot" w:pos="8306"/>
            </w:tabs>
            <w:rPr>
              <w:rFonts w:hint="eastAsia" w:ascii="仿宋_GB2312" w:hAnsi="仿宋_GB2312" w:eastAsia="仿宋_GB2312" w:cs="仿宋_GB2312"/>
            </w:rPr>
          </w:pPr>
          <w:r>
            <w:rPr>
              <w:rFonts w:hint="eastAsia" w:ascii="仿宋_GB2312" w:hAnsi="仿宋_GB2312" w:eastAsia="仿宋_GB2312" w:cs="仿宋_GB2312"/>
            </w:rPr>
            <w:fldChar w:fldCharType="begin" w:dirty="true"/>
            <w:instrText xml:space="preserve"> HYPERLINK \l _Toc3000004 </w:instrText>
            <w:fldChar w:fldCharType="separate"/>
            <w:t>罗氏启动NVIDIA AI工厂加速新疗法与诊断方案研发</w:t>
            <w:tab/>
            <w:fldChar w:fldCharType="begin" w:dirty="true"/>
            <w:instrText xml:space="preserve"> PAGEREF _Toc3000004 \h </w:instrText>
            <w:fldChar w:fldCharType="separate"/>
            <w:t>2</w:t>
            <w:fldChar w:fldCharType="end"/>
            <w:fldChar w:fldCharType="end"/>
          </w:r>
        </w:p>
        <w:p>
          <w:pPr>
            <w:pStyle w:val="17"/>
            <w:tabs>
              <w:tab w:val="right" w:leader="dot" w:pos="8306"/>
            </w:tabs>
            <w:rPr>
              <w:rFonts w:hint="eastAsia" w:ascii="仿宋_GB2312" w:hAnsi="仿宋_GB2312" w:eastAsia="仿宋_GB2312" w:cs="仿宋_GB2312"/>
            </w:rPr>
          </w:pPr>
          <w:r>
            <w:rPr>
              <w:rFonts w:hint="eastAsia" w:ascii="仿宋_GB2312" w:hAnsi="仿宋_GB2312" w:eastAsia="仿宋_GB2312" w:cs="仿宋_GB2312"/>
            </w:rPr>
            <w:fldChar w:fldCharType="begin" w:dirty="true"/>
            <w:instrText xml:space="preserve"> HYPERLINK \l _Toc3000005 </w:instrText>
            <w:fldChar w:fldCharType="separate"/>
            <w:t>合成SIGLEC9嵌合开关受体增强CAR巨噬细胞抗胶质母细胞瘤疗效</w:t>
            <w:tab/>
            <w:fldChar w:fldCharType="begin" w:dirty="true"/>
            <w:instrText xml:space="preserve"> PAGEREF _Toc3000005 \h </w:instrText>
            <w:fldChar w:fldCharType="separate"/>
            <w:t>3</w:t>
            <w:fldChar w:fldCharType="end"/>
            <w:fldChar w:fldCharType="end"/>
          </w:r>
        </w:p>
        <w:p>
          <w:pPr>
            <w:pStyle w:val="17"/>
            <w:tabs>
              <w:tab w:val="right" w:leader="dot" w:pos="8306"/>
            </w:tabs>
            <w:rPr>
              <w:rFonts w:hint="eastAsia" w:ascii="仿宋_GB2312" w:hAnsi="仿宋_GB2312" w:eastAsia="仿宋_GB2312" w:cs="仿宋_GB2312"/>
            </w:rPr>
          </w:pPr>
          <w:r>
            <w:rPr>
              <w:rFonts w:hint="eastAsia" w:ascii="仿宋_GB2312" w:hAnsi="仿宋_GB2312" w:eastAsia="仿宋_GB2312" w:cs="仿宋_GB2312"/>
            </w:rPr>
            <w:fldChar w:fldCharType="begin" w:dirty="true"/>
            <w:instrText xml:space="preserve"> HYPERLINK \l _Toc3000006 </w:instrText>
            <w:fldChar w:fldCharType="separate"/>
            <w:t>通过catch-bond工程化改造克服T细胞对肿瘤自身抗原的耐受</w:t>
            <w:tab/>
            <w:fldChar w:fldCharType="begin" w:dirty="true"/>
            <w:instrText xml:space="preserve"> PAGEREF _Toc3000006 \h </w:instrText>
            <w:fldChar w:fldCharType="separate"/>
            <w:t>3</w:t>
            <w:fldChar w:fldCharType="end"/>
            <w:fldChar w:fldCharType="end"/>
          </w:r>
        </w:p>
        <w:p>
          <w:pPr>
            <w:pStyle w:val="17"/>
            <w:tabs>
              <w:tab w:val="right" w:leader="dot" w:pos="8306"/>
            </w:tabs>
            <w:rPr>
              <w:rFonts w:hint="eastAsia" w:ascii="仿宋_GB2312" w:hAnsi="仿宋_GB2312" w:eastAsia="仿宋_GB2312" w:cs="仿宋_GB2312"/>
            </w:rPr>
          </w:pPr>
          <w:r>
            <w:rPr>
              <w:rFonts w:hint="eastAsia" w:ascii="仿宋_GB2312" w:hAnsi="仿宋_GB2312" w:eastAsia="仿宋_GB2312" w:cs="仿宋_GB2312"/>
            </w:rPr>
            <w:fldChar w:fldCharType="begin" w:dirty="true"/>
            <w:instrText xml:space="preserve"> HYPERLINK \l _Toc3000007 </w:instrText>
            <w:fldChar w:fldCharType="separate"/>
            <w:t>细菌与癌细胞的空间相互作用决定分化的肿瘤免疫</w:t>
            <w:tab/>
            <w:fldChar w:fldCharType="begin" w:dirty="true"/>
            <w:instrText xml:space="preserve"> PAGEREF _Toc3000007 \h </w:instrText>
            <w:fldChar w:fldCharType="separate"/>
            <w:t>4</w:t>
            <w:fldChar w:fldCharType="end"/>
            <w:fldChar w:fldCharType="end"/>
          </w:r>
        </w:p>
        <w:p>
          <w:pPr>
            <w:pStyle w:val="17"/>
            <w:tabs>
              <w:tab w:val="right" w:leader="dot" w:pos="8306"/>
            </w:tabs>
            <w:rPr>
              <w:rFonts w:hint="eastAsia" w:ascii="仿宋_GB2312" w:hAnsi="仿宋_GB2312" w:eastAsia="仿宋_GB2312" w:cs="仿宋_GB2312"/>
            </w:rPr>
          </w:pPr>
          <w:r>
            <w:rPr>
              <w:rFonts w:hint="eastAsia" w:ascii="仿宋_GB2312" w:hAnsi="仿宋_GB2312" w:eastAsia="仿宋_GB2312" w:cs="仿宋_GB2312"/>
            </w:rPr>
            <w:fldChar w:fldCharType="begin" w:dirty="true"/>
            <w:instrText xml:space="preserve"> HYPERLINK \l _Toc3000008 </w:instrText>
            <w:fldChar w:fldCharType="separate"/>
            <w:t>帕博利珠单抗联合奥拉帕利在同源重组缺陷转移性胰腺癌中的2期POLAR试验进展</w:t>
            <w:tab/>
            <w:fldChar w:fldCharType="begin" w:dirty="true"/>
            <w:instrText xml:space="preserve"> PAGEREF _Toc3000008 \h </w:instrText>
            <w:fldChar w:fldCharType="separate"/>
            <w:t>4</w:t>
            <w:fldChar w:fldCharType="end"/>
            <w:fldChar w:fldCharType="end"/>
          </w:r>
        </w:p>
        <w:p>
          <w:pPr>
            <w:pStyle w:val="17"/>
            <w:tabs>
              <w:tab w:val="right" w:leader="dot" w:pos="8306"/>
            </w:tabs>
            <w:rPr>
              <w:rFonts w:hint="eastAsia" w:ascii="仿宋_GB2312" w:hAnsi="仿宋_GB2312" w:eastAsia="仿宋_GB2312" w:cs="仿宋_GB2312"/>
            </w:rPr>
          </w:pPr>
          <w:r>
            <w:rPr>
              <w:rFonts w:hint="eastAsia" w:ascii="仿宋_GB2312" w:hAnsi="仿宋_GB2312" w:eastAsia="仿宋_GB2312" w:cs="仿宋_GB2312"/>
            </w:rPr>
            <w:fldChar w:fldCharType="begin" w:dirty="true"/>
            <w:instrText xml:space="preserve"> HYPERLINK \l _Toc3000009 </w:instrText>
            <w:fldChar w:fldCharType="separate"/>
            <w:t>罗氏人类生物学研究所新建筑启用推动人类模型系统药物研发</w:t>
            <w:tab/>
            <w:fldChar w:fldCharType="begin" w:dirty="true"/>
            <w:instrText xml:space="preserve"> PAGEREF _Toc3000009 \h </w:instrText>
            <w:fldChar w:fldCharType="separate"/>
            <w:t>5</w:t>
            <w:fldChar w:fldCharType="end"/>
            <w:fldChar w:fldCharType="end"/>
          </w:r>
        </w:p>
        <w:p>
          <w:pPr>
            <w:pStyle w:val="17"/>
            <w:tabs>
              <w:tab w:val="right" w:leader="dot" w:pos="8306"/>
            </w:tabs>
            <w:rPr>
              <w:rFonts w:hint="eastAsia" w:ascii="仿宋_GB2312" w:hAnsi="仿宋_GB2312" w:eastAsia="仿宋_GB2312" w:cs="仿宋_GB2312"/>
            </w:rPr>
          </w:pPr>
          <w:r>
            <w:rPr>
              <w:rFonts w:hint="eastAsia" w:ascii="仿宋_GB2312" w:hAnsi="仿宋_GB2312" w:eastAsia="仿宋_GB2312" w:cs="仿宋_GB2312"/>
            </w:rPr>
            <w:fldChar w:fldCharType="begin" w:dirty="true"/>
            <w:instrText xml:space="preserve"> HYPERLINK \l _Toc3000010 </w:instrText>
            <w:fldChar w:fldCharType="separate"/>
            <w:t>诺华拟收购Excellergy加码新一代抗IgE创新疗法</w:t>
            <w:tab/>
            <w:fldChar w:fldCharType="begin" w:dirty="true"/>
            <w:instrText xml:space="preserve"> PAGEREF _Toc3000010 \h </w:instrText>
            <w:fldChar w:fldCharType="separate"/>
            <w:t>6</w:t>
            <w:fldChar w:fldCharType="end"/>
            <w:fldChar w:fldCharType="end"/>
          </w:r>
        </w:p>
        <w:p>
          <w:pPr>
            <w:pStyle w:val="14"/>
            <w:tabs>
              <w:tab w:val="right" w:leader="dot" w:pos="8306"/>
            </w:tabs>
          </w:pPr>
          <w:r>
            <w:rPr>
              <w:rFonts w:ascii="Times New Roman" w:hAnsi="Times New Roman" w:eastAsia="仿宋"/>
            </w:rPr>
            <w:fldChar w:fldCharType="begin" w:dirty="true"/>
            <w:instrText xml:space="preserve"> HYPERLINK \l _Toc3000200 </w:instrText>
            <w:fldChar w:fldCharType="separate"/>
          </w:r>
          <w:r>
            <w:rPr>
              <w:rFonts w:hint="eastAsia" w:ascii="Times New Roman" w:hAnsi="Times New Roman" w:eastAsia="黑体" w:cs="Times New Roman"/>
              <w:bCs/>
              <w:szCs w:val="32"/>
            </w:rPr>
            <w:t>产品动态</w:t>
          </w:r>
          <w:r>
            <w:tab/>
            <w:fldChar w:fldCharType="begin" w:dirty="true"/>
            <w:instrText xml:space="preserve"> PAGEREF _Toc3000200 \h </w:instrText>
            <w:fldChar w:fldCharType="separate"/>
            <w:t>6</w:t>
            <w:fldChar w:fldCharType="end"/>
          </w:r>
          <w:r>
            <w:rPr>
              <w:rFonts w:ascii="Times New Roman" w:hAnsi="Times New Roman" w:eastAsia="仿宋"/>
            </w:rPr>
            <w:fldChar w:fldCharType="end"/>
          </w:r>
        </w:p>
        <w:p>
          <w:pPr>
            <w:pStyle w:val="17"/>
            <w:tabs>
              <w:tab w:val="right" w:leader="dot" w:pos="8306"/>
            </w:tabs>
            <w:rPr>
              <w:rFonts w:hint="eastAsia" w:ascii="仿宋_GB2312" w:hAnsi="仿宋_GB2312" w:eastAsia="仿宋_GB2312" w:cs="仿宋_GB2312"/>
            </w:rPr>
          </w:pPr>
          <w:r>
            <w:rPr>
              <w:rFonts w:hint="eastAsia" w:ascii="仿宋_GB2312" w:hAnsi="仿宋_GB2312" w:eastAsia="仿宋_GB2312" w:cs="仿宋_GB2312"/>
            </w:rPr>
            <w:fldChar w:fldCharType="begin" w:dirty="true"/>
            <w:instrText xml:space="preserve"> HYPERLINK \l _Toc3000011 </w:instrText>
            <w:fldChar w:fldCharType="separate"/>
            <w:t>BMS Sotyktu®（deucravacitinib）获美国FDA批准用于治疗成人活动性银屑病关节炎</w:t>
            <w:tab/>
            <w:fldChar w:fldCharType="begin" w:dirty="true"/>
            <w:instrText xml:space="preserve"> PAGEREF _Toc3000011 \h </w:instrText>
            <w:fldChar w:fldCharType="separate"/>
            <w:t>6</w:t>
            <w:fldChar w:fldCharType="end"/>
            <w:fldChar w:fldCharType="end"/>
          </w:r>
        </w:p>
        <w:p>
          <w:pPr>
            <w:pStyle w:val="17"/>
            <w:tabs>
              <w:tab w:val="right" w:leader="dot" w:pos="8306"/>
            </w:tabs>
            <w:rPr>
              <w:rFonts w:hint="eastAsia" w:ascii="仿宋_GB2312" w:hAnsi="仿宋_GB2312" w:eastAsia="仿宋_GB2312" w:cs="仿宋_GB2312"/>
            </w:rPr>
          </w:pPr>
          <w:r>
            <w:rPr>
              <w:rFonts w:hint="eastAsia" w:ascii="仿宋_GB2312" w:hAnsi="仿宋_GB2312" w:eastAsia="仿宋_GB2312" w:cs="仿宋_GB2312"/>
            </w:rPr>
            <w:fldChar w:fldCharType="begin" w:dirty="true"/>
            <w:instrText xml:space="preserve"> HYPERLINK \l _Toc3000012 </w:instrText>
            <w:fldChar w:fldCharType="separate"/>
            <w:t>阿斯利康与第一三共Enhertu在美国新辅助治疗后HER2阳性早期乳腺癌适应症获优先审评</w:t>
            <w:tab/>
            <w:fldChar w:fldCharType="begin" w:dirty="true"/>
            <w:instrText xml:space="preserve"> PAGEREF _Toc3000012 \h </w:instrText>
            <w:fldChar w:fldCharType="separate"/>
            <w:t>7</w:t>
            <w:fldChar w:fldCharType="end"/>
            <w:fldChar w:fldCharType="end"/>
          </w:r>
        </w:p>
        <w:p>
          <w:pPr>
            <w:pStyle w:val="17"/>
            <w:tabs>
              <w:tab w:val="right" w:leader="dot" w:pos="8306"/>
            </w:tabs>
            <w:rPr>
              <w:rFonts w:hint="eastAsia" w:ascii="仿宋_GB2312" w:hAnsi="仿宋_GB2312" w:eastAsia="仿宋_GB2312" w:cs="仿宋_GB2312"/>
            </w:rPr>
          </w:pPr>
          <w:r>
            <w:rPr>
              <w:rFonts w:hint="eastAsia" w:ascii="仿宋_GB2312" w:hAnsi="仿宋_GB2312" w:eastAsia="仿宋_GB2312" w:cs="仿宋_GB2312"/>
            </w:rPr>
            <w:fldChar w:fldCharType="begin" w:dirty="true"/>
            <w:instrText xml:space="preserve"> HYPERLINK \l _Toc3000013 </w:instrText>
            <w:fldChar w:fldCharType="separate"/>
            <w:t>BMS口服mezigdomide在复发/难治性多发性骨髓瘤SUCCESSOR-2 3期研究中取得积极中期结果</w:t>
            <w:tab/>
            <w:fldChar w:fldCharType="begin" w:dirty="true"/>
            <w:instrText xml:space="preserve"> PAGEREF _Toc3000013 \h </w:instrText>
            <w:fldChar w:fldCharType="separate"/>
            <w:t>8</w:t>
            <w:fldChar w:fldCharType="end"/>
            <w:fldChar w:fldCharType="end"/>
          </w:r>
        </w:p>
        <w:p>
          <w:pPr>
            <w:pStyle w:val="17"/>
            <w:tabs>
              <w:tab w:val="right" w:leader="dot" w:pos="8306"/>
            </w:tabs>
            <w:rPr>
              <w:rFonts w:hint="eastAsia" w:ascii="仿宋_GB2312" w:hAnsi="仿宋_GB2312" w:eastAsia="仿宋_GB2312" w:cs="仿宋_GB2312"/>
            </w:rPr>
          </w:pPr>
          <w:r>
            <w:rPr>
              <w:rFonts w:hint="eastAsia" w:ascii="仿宋_GB2312" w:hAnsi="仿宋_GB2312" w:eastAsia="仿宋_GB2312" w:cs="仿宋_GB2312"/>
            </w:rPr>
            <w:fldChar w:fldCharType="begin" w:dirty="true"/>
            <w:instrText xml:space="preserve"> HYPERLINK \l _Toc3000014 </w:instrText>
            <w:fldChar w:fldCharType="separate"/>
            <w:t>赛诺菲venglustat获美国FDA突破性疗法认定用于3型戈谢病神经系统表现</w:t>
            <w:tab/>
            <w:fldChar w:fldCharType="begin" w:dirty="true"/>
            <w:instrText xml:space="preserve"> PAGEREF _Toc3000014 \h </w:instrText>
            <w:fldChar w:fldCharType="separate"/>
            <w:t>8</w:t>
            <w:fldChar w:fldCharType="end"/>
            <w:fldChar w:fldCharType="end"/>
          </w:r>
        </w:p>
        <w:p>
          <w:pPr>
            <w:pStyle w:val="17"/>
            <w:tabs>
              <w:tab w:val="right" w:leader="dot" w:pos="8306"/>
            </w:tabs>
            <w:rPr>
              <w:rFonts w:hint="eastAsia" w:ascii="仿宋_GB2312" w:hAnsi="仿宋_GB2312" w:eastAsia="仿宋_GB2312" w:cs="仿宋_GB2312"/>
            </w:rPr>
          </w:pPr>
          <w:r>
            <w:rPr>
              <w:rFonts w:hint="eastAsia" w:ascii="仿宋_GB2312" w:hAnsi="仿宋_GB2312" w:eastAsia="仿宋_GB2312" w:cs="仿宋_GB2312"/>
            </w:rPr>
            <w:fldChar w:fldCharType="begin" w:dirty="true"/>
            <w:instrText xml:space="preserve"> HYPERLINK \l _Toc3000015 </w:instrText>
            <w:fldChar w:fldCharType="separate"/>
            <w:t>礼来三重激动剂retatrutide在2型糖尿病首项3期TRANSCEND-T2D-1试验中显著改善A1C及体重</w:t>
            <w:tab/>
            <w:fldChar w:fldCharType="begin" w:dirty="true"/>
            <w:instrText xml:space="preserve"> PAGEREF _Toc3000015 \h </w:instrText>
            <w:fldChar w:fldCharType="separate"/>
            <w:t>9</w:t>
            <w:fldChar w:fldCharType="end"/>
            <w:fldChar w:fldCharType="end"/>
          </w:r>
        </w:p>
        <w:p>
          <w:pPr>
            <w:pStyle w:val="17"/>
            <w:tabs>
              <w:tab w:val="right" w:leader="dot" w:pos="8306"/>
            </w:tabs>
            <w:rPr>
              <w:rFonts w:hint="eastAsia" w:ascii="仿宋_GB2312" w:hAnsi="仿宋_GB2312" w:eastAsia="仿宋_GB2312" w:cs="仿宋_GB2312"/>
            </w:rPr>
          </w:pPr>
          <w:r>
            <w:rPr>
              <w:rFonts w:hint="eastAsia" w:ascii="仿宋_GB2312" w:hAnsi="仿宋_GB2312" w:eastAsia="仿宋_GB2312" w:cs="仿宋_GB2312"/>
            </w:rPr>
            <w:fldChar w:fldCharType="begin" w:dirty="true"/>
            <w:instrText xml:space="preserve"> HYPERLINK \l _Toc3000016 </w:instrText>
            <w:fldChar w:fldCharType="separate"/>
            <w:t>BMS Opdivo®（nivolumab）在经典霍奇金淋巴瘤治疗领域获美国FDA和欧盟委员会扩大批准</w:t>
            <w:tab/>
            <w:fldChar w:fldCharType="begin" w:dirty="true"/>
            <w:instrText xml:space="preserve"> PAGEREF _Toc3000016 \h </w:instrText>
            <w:fldChar w:fldCharType="separate"/>
            <w:t>10</w:t>
            <w:fldChar w:fldCharType="end"/>
            <w:fldChar w:fldCharType="end"/>
          </w:r>
        </w:p>
        <w:p>
          <w:pPr>
            <w:pStyle w:val="17"/>
            <w:tabs>
              <w:tab w:val="right" w:leader="dot" w:pos="8306"/>
            </w:tabs>
            <w:rPr>
              <w:rFonts w:hint="eastAsia" w:ascii="仿宋_GB2312" w:hAnsi="仿宋_GB2312" w:eastAsia="仿宋_GB2312" w:cs="仿宋_GB2312"/>
            </w:rPr>
          </w:pPr>
          <w:r>
            <w:rPr>
              <w:rFonts w:hint="eastAsia" w:ascii="仿宋_GB2312" w:hAnsi="仿宋_GB2312" w:eastAsia="仿宋_GB2312" w:cs="仿宋_GB2312"/>
            </w:rPr>
            <w:fldChar w:fldCharType="begin" w:dirty="true"/>
            <w:instrText xml:space="preserve"> HYPERLINK \l _Toc3000017 </w:instrText>
            <w:fldChar w:fldCharType="separate"/>
            <w:t>诺和诺德Awiqli®获美国FDA批准成为首个且唯一每周一次基础胰岛素</w:t>
            <w:tab/>
            <w:fldChar w:fldCharType="begin" w:dirty="true"/>
            <w:instrText xml:space="preserve"> PAGEREF _Toc3000017 \h </w:instrText>
            <w:fldChar w:fldCharType="separate"/>
            <w:t>10</w:t>
            <w:fldChar w:fldCharType="end"/>
            <w:fldChar w:fldCharType="end"/>
          </w:r>
        </w:p>
        <w:p>
          <w:pPr>
            <w:pStyle w:val="17"/>
            <w:tabs>
              <w:tab w:val="right" w:leader="dot" w:pos="8306"/>
            </w:tabs>
            <w:rPr>
              <w:rFonts w:hint="eastAsia" w:ascii="仿宋_GB2312" w:hAnsi="仿宋_GB2312" w:eastAsia="仿宋_GB2312" w:cs="仿宋_GB2312"/>
            </w:rPr>
          </w:pPr>
          <w:r>
            <w:rPr>
              <w:rFonts w:hint="eastAsia" w:ascii="仿宋_GB2312" w:hAnsi="仿宋_GB2312" w:eastAsia="仿宋_GB2312" w:cs="仿宋_GB2312"/>
            </w:rPr>
            <w:fldChar w:fldCharType="begin" w:dirty="true"/>
            <w:instrText xml:space="preserve"> HYPERLINK \l _Toc3000018 </w:instrText>
            <w:fldChar w:fldCharType="separate"/>
            <w:t>阿斯利康Tozorakimab在OBERON与TITANIA两项COPD 3期研究中达到主要终点</w:t>
            <w:tab/>
            <w:fldChar w:fldCharType="begin" w:dirty="true"/>
            <w:instrText xml:space="preserve"> PAGEREF _Toc3000018 \h </w:instrText>
            <w:fldChar w:fldCharType="separate"/>
            <w:t>11</w:t>
            <w:fldChar w:fldCharType="end"/>
            <w:fldChar w:fldCharType="end"/>
          </w:r>
        </w:p>
        <w:p>
          <w:pPr>
            <w:pStyle w:val="17"/>
            <w:tabs>
              <w:tab w:val="right" w:leader="dot" w:pos="8306"/>
            </w:tabs>
            <w:rPr>
              <w:rFonts w:hint="eastAsia" w:ascii="仿宋_GB2312" w:hAnsi="仿宋_GB2312" w:eastAsia="仿宋_GB2312" w:cs="仿宋_GB2312"/>
            </w:rPr>
          </w:pPr>
          <w:r>
            <w:rPr>
              <w:rFonts w:hint="eastAsia" w:ascii="仿宋_GB2312" w:hAnsi="仿宋_GB2312" w:eastAsia="仿宋_GB2312" w:cs="仿宋_GB2312"/>
            </w:rPr>
            <w:fldChar w:fldCharType="begin" w:dirty="true"/>
            <w:instrText xml:space="preserve"> HYPERLINK \l _Toc3000019 </w:instrText>
            <w:fldChar w:fldCharType="separate"/>
            <w:t>礼来Taltz®联合Zepbound®在伴肥胖银屑病关节炎患者3b期研究中展现显著疗效</w:t>
            <w:tab/>
            <w:fldChar w:fldCharType="begin" w:dirty="true"/>
            <w:instrText xml:space="preserve"> PAGEREF _Toc3000019 \h </w:instrText>
            <w:fldChar w:fldCharType="separate"/>
            <w:t>12</w:t>
            <w:fldChar w:fldCharType="end"/>
            <w:fldChar w:fldCharType="end"/>
          </w:r>
        </w:p>
        <w:p>
          <w:pPr>
            <w:pStyle w:val="17"/>
            <w:tabs>
              <w:tab w:val="right" w:leader="dot" w:pos="8306"/>
            </w:tabs>
            <w:rPr>
              <w:rFonts w:hint="eastAsia" w:ascii="仿宋_GB2312" w:hAnsi="仿宋_GB2312" w:eastAsia="仿宋_GB2312" w:cs="仿宋_GB2312"/>
            </w:rPr>
          </w:pPr>
          <w:r>
            <w:rPr>
              <w:rFonts w:hint="eastAsia" w:ascii="仿宋_GB2312" w:hAnsi="仿宋_GB2312" w:eastAsia="仿宋_GB2312" w:cs="仿宋_GB2312"/>
            </w:rPr>
            <w:fldChar w:fldCharType="begin" w:dirty="true"/>
            <w:instrText xml:space="preserve"> HYPERLINK \l _Toc3000020 </w:instrText>
            <w:fldChar w:fldCharType="separate"/>
            <w:t>BMS Camzyos® 3期SCOUT-HCM研究证实在青少年症状性梗阻性肥厚型心肌病中的疗效与安全性</w:t>
            <w:tab/>
            <w:fldChar w:fldCharType="begin" w:dirty="true"/>
            <w:instrText xml:space="preserve"> PAGEREF _Toc3000020 \h </w:instrText>
            <w:fldChar w:fldCharType="separate"/>
            <w:t>13</w:t>
            <w:fldChar w:fldCharType="end"/>
            <w:fldChar w:fldCharType="end"/>
          </w:r>
        </w:p>
      </w:sdtContent>
    </w:sdt>
    <w:p>
      <w:pPr>
        <w:sectPr>
          <w:footerReference r:id="rId6" w:type="first"/>
          <w:footerReference r:id="rId5" w:type="default"/>
          <w:pgSz w:w="11906" w:h="16838"/>
          <w:pgMar w:top="1440" w:right="1800" w:bottom="1440" w:left="1800" w:header="851" w:footer="992" w:gutter="0"/>
          <w:cols w:space="425" w:num="1"/>
          <w:docGrid w:type="lines" w:linePitch="312" w:charSpace="0"/>
        </w:sectPr>
      </w:pPr>
    </w:p>
    <w:p>
      <w:pPr>
        <w:keepNext/>
        <w:keepLines/>
        <w:spacing w:before="120" w:after="120" w:line="500" w:lineRule="exact"/>
        <w:outlineLvl w:val="0"/>
        <w:rPr>
          <w:rFonts w:ascii="Times New Roman" w:hAnsi="Times New Roman" w:eastAsia="黑体" w:cs="Times New Roman"/>
          <w:b/>
          <w:bCs/>
          <w:color w:val="4472C4"/>
          <w:sz w:val="32"/>
          <w:szCs w:val="32"/>
        </w:rPr>
      </w:pPr>
      <w:bookmarkStart w:id="1001" w:name="_Toc3000100"/>
      <w:r>
        <w:rPr>
          <w:rFonts w:hint="eastAsia" w:ascii="Times New Roman" w:hAnsi="Times New Roman" w:eastAsia="黑体" w:cs="Times New Roman"/>
          <w:b/>
          <w:bCs/>
          <w:color w:val="4472C4"/>
          <w:sz w:val="32"/>
          <w:szCs w:val="32"/>
        </w:rPr>
        <w:t>技术动向</w:t>
      </w:r>
      <w:bookmarkEnd w:id="1001"/>
    </w:p>
    <w:p>
      <w:pPr>
        <w:pStyle w:val="50"/>
        <w:rPr>
          <w:rFonts w:hint="eastAsia" w:eastAsia="黑体"/>
          <w:lang w:val="en-US" w:eastAsia="zh-CN"/>
        </w:rPr>
      </w:pPr>
      <w:bookmarkStart w:id="100" w:name="_Toc3000001"/>
      <w:r>
        <w:rPr>
          <w:rFonts w:hint="eastAsia"/>
          <w:lang w:val="en-US" w:eastAsia="zh-CN"/>
        </w:rPr>
        <w:t>受体介导内溶酶体再循环嵌合体平台动态重塑肿瘤免疫网络推进癌症免疫治疗</w:t>
      </w:r>
      <w:bookmarkEnd w:id="100"/>
    </w:p>
    <w:p>
      <w:pPr>
        <w:pStyle w:val="48"/>
      </w:pPr>
      <w:r>
        <w:rPr>
          <w:rFonts w:hint="eastAsia"/>
        </w:rPr>
        <w:t>2026年3月2日，《PNAS》发表研究，报道了一种受体介导的内溶酶体再循环嵌合体（RECYC）平台。该平台利用可在晚期内体pH下保持稳定的CI-M6PR靶向适配体，以及具有中等亲和力和pH响应性的蛋白质结合肽，共同驱动免疫检查点的再循环与持续清除。在离体共培养及体内小鼠模型中，RECYC有效清除肿瘤细胞及肿瘤相关髓系细胞（巨噬细胞、中性粒细胞、树突状细胞）表面的PD-L1表达，将免疫抑制性肿瘤免疫微环境（TIME）转变为免疫激活状态，重塑多细胞抗肿瘤免疫网络，增强CD8⁺ T细胞应答并重编程免疫抑制性髓系细胞。在免疫冷和免疫热小鼠肿瘤模型中，RECYC的抗肿瘤效果均优于PD-L1阻断治疗，为实现持久免疫治疗应答提供了新策略。</w:t>
      </w:r>
    </w:p>
    <w:p>
      <w:pPr>
        <w:pStyle w:val="50"/>
        <w:rPr>
          <w:rFonts w:hint="eastAsia" w:eastAsia="黑体"/>
          <w:lang w:val="en-US" w:eastAsia="zh-CN"/>
        </w:rPr>
      </w:pPr>
      <w:bookmarkStart w:id="101" w:name="_Toc3000002"/>
      <w:r>
        <w:rPr>
          <w:rFonts w:hint="eastAsia"/>
          <w:lang w:val="en-US" w:eastAsia="zh-CN"/>
        </w:rPr>
        <w:t>纳米粒子劫持颅骨免疫细胞实现中枢神经系统药物递送及卒中治疗取得进展</w:t>
      </w:r>
      <w:bookmarkEnd w:id="101"/>
    </w:p>
    <w:p>
      <w:pPr>
        <w:pStyle w:val="48"/>
      </w:pPr>
      <w:r>
        <w:rPr>
          <w:rFonts w:hint="eastAsia"/>
        </w:rPr>
        <w:t>2026年3月5日，《Cell》发表研究，报道了一种利用颅骨免疫细胞快速进入大脑的特性实现中枢神经系统（CNS）药物递送的新策略。研究人员通过颅骨内注射（ICO）方式将载药纳米粒子原位加载至颅骨免疫细胞，利用其经颅骨-脑膜微通道迁移的独特机制绕过血脑屏障，实现对CNS病灶的靶向治疗递送。与传统递送方式相比，该策略在临床前卒中模型中显著改善短期和长期治疗结果；前瞻性临床试验进一步证实ICO免疫通路治疗恶性卒中的可行性，为神经系统疾病免疫辅助转运递送提供了具有临床转化潜力的颅骨给药新路径。</w:t>
      </w:r>
    </w:p>
    <w:p>
      <w:pPr>
        <w:pStyle w:val="50"/>
        <w:rPr>
          <w:rFonts w:hint="eastAsia" w:eastAsia="黑体"/>
          <w:lang w:val="en-US" w:eastAsia="zh-CN"/>
        </w:rPr>
      </w:pPr>
      <w:bookmarkStart w:id="102" w:name="_Toc3000003"/>
      <w:r>
        <w:rPr>
          <w:rFonts w:hint="eastAsia"/>
          <w:lang w:val="en-US" w:eastAsia="zh-CN"/>
        </w:rPr>
        <w:t>脑膜血管阻断增强抗胶质母细胞瘤免疫</w:t>
      </w:r>
      <w:bookmarkEnd w:id="102"/>
    </w:p>
    <w:p>
      <w:pPr>
        <w:pStyle w:val="48"/>
      </w:pPr>
      <w:r>
        <w:rPr>
          <w:rFonts w:hint="eastAsia"/>
        </w:rPr>
        <w:t>2026年3月5日，《Cell》发表研究，显示脑膜血管阻断在小鼠模型中可有效抑制胶质母细胞瘤（GBM）进展。硬脑膜是最外层脑膜，也是采样和呈递中枢神经系统衍生抗原的关键免疫监视界面。单细胞分析揭示硬脑膜内存在一类高表达新生儿Fc受体的常驻边界相关巨噬细胞（rBAM），具备出色的肿瘤抗原呈递及CNS巡视T细胞活化能力。脑膜血管阻断通过限制循环来源BAM（cBAM）以保留硬脑膜集落刺激因子1（CSF-1）水平、扩增rBAM池，从而在硬脑膜界面增强T细胞活化，放大肿瘤内细胞毒性T细胞应答。临床数据显示rBAM丰度与GBM患者生存呈正相关，提示脑膜血管阻断可能成为强化CNS肿瘤免疫治疗的手术策略。</w:t>
      </w:r>
    </w:p>
    <w:p>
      <w:pPr>
        <w:pStyle w:val="50"/>
        <w:rPr>
          <w:rFonts w:hint="eastAsia" w:eastAsia="黑体"/>
          <w:lang w:val="en-US" w:eastAsia="zh-CN"/>
        </w:rPr>
      </w:pPr>
      <w:bookmarkStart w:id="103" w:name="_Toc3000004"/>
      <w:r>
        <w:rPr>
          <w:rFonts w:hint="eastAsia"/>
          <w:lang w:val="en-US" w:eastAsia="zh-CN"/>
        </w:rPr>
        <w:t>罗氏启动NVIDIA AI工厂加速新疗法与诊断方案研发</w:t>
      </w:r>
      <w:bookmarkEnd w:id="103"/>
    </w:p>
    <w:p>
      <w:pPr>
        <w:pStyle w:val="48"/>
      </w:pPr>
      <w:r>
        <w:rPr>
          <w:rFonts w:hint="eastAsia"/>
        </w:rPr>
        <w:t>2026年3月16日，罗氏宣布</w:t>
      </w:r>
      <w:r>
        <w:rPr>
          <w:rStyle w:val="25"/>
          <w:rFonts w:hint="eastAsia"/>
        </w:rPr>
        <w:footnoteReference w:id="0"/>
      </w:r>
      <w:r>
        <w:rPr>
          <w:rFonts w:hint="eastAsia"/>
        </w:rPr>
        <w:t>启动NVIDIA AI工厂以加速新疗法与诊断方案研发。罗氏通过新增2,176片NVIDIA Blackwell GPU，使其成为制药行业迄今宣布规模最大的混合云AI工厂，整体GPU规模超过3,500片。该AI基础设施将为数据驱动的药物研发与精准医学提供强大的计算支撑，持续推动罗氏在医疗创新领域的数字化转型。</w:t>
      </w:r>
    </w:p>
    <w:p>
      <w:pPr>
        <w:pStyle w:val="50"/>
        <w:rPr>
          <w:rFonts w:hint="eastAsia" w:eastAsia="黑体"/>
          <w:lang w:val="en-US" w:eastAsia="zh-CN"/>
        </w:rPr>
      </w:pPr>
      <w:bookmarkStart w:id="104" w:name="_Toc3000005"/>
      <w:r>
        <w:rPr>
          <w:rFonts w:hint="eastAsia"/>
          <w:lang w:val="en-US" w:eastAsia="zh-CN"/>
        </w:rPr>
        <w:t>合成SIGLEC9嵌合开关受体增强CAR巨噬细胞抗胶质母细胞瘤疗效</w:t>
      </w:r>
      <w:bookmarkEnd w:id="104"/>
    </w:p>
    <w:p>
      <w:pPr>
        <w:pStyle w:val="48"/>
      </w:pPr>
      <w:r>
        <w:rPr>
          <w:rFonts w:hint="eastAsia"/>
        </w:rPr>
        <w:t>2026年3月17日，《PNAS》发表研究，报道了一种基于合成SIGLEC9的嵌合开关受体（CSR），可将胶质母细胞瘤（GBM）微环境中的Siglec-唾液酸抑制性信号转化为正向信号，从而增强嵌合抗原受体巨噬细胞（CAR-M）的持续促炎表型及抗肿瘤免疫活性。巨噬细胞靶向离子化脂质纳米粒子可将双环状RNA高效递送至巨噬细胞，在体内外原位生成CSR功能化CAR-M。工程化巨噬细胞保持促炎状态，展现出增强的吞噬活性，可快速高效清除IL13Rα2阳性肿瘤细胞；可注射纳米粒子-水凝胶系统在胶质瘤切除腔周围重编程巨噬细胞，引发局部区域抗肿瘤免疫应答及长期免疫记忆，有效抑制术后GBM复发，为基于工程化巨噬细胞的GBM免疫治疗提供了新策略。</w:t>
      </w:r>
    </w:p>
    <w:p>
      <w:pPr>
        <w:pStyle w:val="50"/>
        <w:rPr>
          <w:rFonts w:hint="eastAsia" w:eastAsia="黑体"/>
          <w:lang w:val="en-US" w:eastAsia="zh-CN"/>
        </w:rPr>
      </w:pPr>
      <w:bookmarkStart w:id="105" w:name="_Toc3000006"/>
      <w:r>
        <w:rPr>
          <w:rFonts w:hint="eastAsia"/>
          <w:lang w:val="en-US" w:eastAsia="zh-CN"/>
        </w:rPr>
        <w:t>通过catch-bond工程化改造克服T细胞对肿瘤自身抗原的耐受</w:t>
      </w:r>
      <w:bookmarkEnd w:id="105"/>
    </w:p>
    <w:p>
      <w:pPr>
        <w:pStyle w:val="48"/>
      </w:pPr>
      <w:r>
        <w:rPr>
          <w:rFonts w:hint="eastAsia"/>
        </w:rPr>
        <w:t>2026年3月19日，《Science》发表研究，报道了一种通过改造catch-bond以增强T细胞受体（TCR）抗肿瘤活性的工程化策略。由于中枢免疫耐受，T细胞对非突变的肿瘤相关抗原（TAA）反应性较弱。研究团队建立名为"TCR turbocharging"的新流程，无需预先结构信息即可筛选并引入catch-bond"热点"，并将其应用于一种天然、前列腺酸性磷酸酶（PAP）反应性、HLA-A*02:01限制性TCR（TCR156）。在其TCRα链CDR1区域鉴定出catch-bond热点，产生多个保持生理TCR-MHC亲和力（1–100 μM）的增强型变体。功能测定与生物膜力探针测量显示TCR-pMHC键强度与细胞毒性呈正相关，单氨基酸（S32M）或双氨基酸（S30E32Q）取代的候选TCR体内外均展现显著增强的抗肿瘤活性。晶体结构与分子动力学模拟证实键寿命延长的同时结构变化微小且未引入脱靶反应，为TCR-T免疫治疗克服中枢耐受提供了基于生物物理学的通用策略。</w:t>
      </w:r>
    </w:p>
    <w:p>
      <w:pPr>
        <w:pStyle w:val="50"/>
        <w:rPr>
          <w:rFonts w:hint="eastAsia" w:eastAsia="黑体"/>
          <w:lang w:val="en-US" w:eastAsia="zh-CN"/>
        </w:rPr>
      </w:pPr>
      <w:bookmarkStart w:id="106" w:name="_Toc3000007"/>
      <w:r>
        <w:rPr>
          <w:rFonts w:hint="eastAsia"/>
          <w:lang w:val="en-US" w:eastAsia="zh-CN"/>
        </w:rPr>
        <w:t>细菌与癌细胞的空间相互作用决定分化的肿瘤免疫</w:t>
      </w:r>
      <w:bookmarkEnd w:id="106"/>
    </w:p>
    <w:p>
      <w:pPr>
        <w:pStyle w:val="48"/>
      </w:pPr>
      <w:r>
        <w:rPr>
          <w:rFonts w:hint="eastAsia"/>
        </w:rPr>
        <w:t>2026年3月19日，《Cell》发表研究，揭示肿瘤内细菌与宿主细胞的空间相互作用是癌症免疫调控的关键决定因素。在PyMT乳腺肿瘤模型中，胞内细菌位于癌细胞胞浆时，通过触发胞浆双链DNA积聚激活肿瘤内在的cGAS-STING-IL-17B通路，将中性粒细胞重定向为抑制细胞毒性T细胞的促瘤表型，促进转移；而同种细菌在胞外存在时则诱导抗肿瘤中性粒细胞活性，不激活STING通路。清除胞内细菌或治疗性引入胞外细菌组分，可在临床前模型中消除免疫抑制并预防术后转移复发。临床上，研究者开发的细菌入侵特征与乳腺癌不良预后相关，提示细菌-宿主相互作用有望成为肿瘤免疫调控的治疗靶点。</w:t>
      </w:r>
    </w:p>
    <w:p>
      <w:pPr>
        <w:pStyle w:val="50"/>
        <w:rPr>
          <w:rFonts w:hint="eastAsia" w:eastAsia="黑体"/>
          <w:lang w:val="en-US" w:eastAsia="zh-CN"/>
        </w:rPr>
      </w:pPr>
      <w:bookmarkStart w:id="107" w:name="_Toc3000008"/>
      <w:r>
        <w:rPr>
          <w:rFonts w:hint="eastAsia"/>
          <w:lang w:val="en-US" w:eastAsia="zh-CN"/>
        </w:rPr>
        <w:t>帕博利珠单抗联合奥拉帕利在同源重组缺陷转移性胰腺癌中的2期POLAR试验进展</w:t>
      </w:r>
      <w:bookmarkEnd w:id="107"/>
    </w:p>
    <w:p>
      <w:pPr>
        <w:pStyle w:val="48"/>
      </w:pPr>
      <w:r>
        <w:rPr>
          <w:rFonts w:hint="eastAsia"/>
        </w:rPr>
        <w:t>2026年3月25日，《Nature Medicine》发表研究，公布2期POLAR临床试验结果。该研究评估了帕博利珠单抗联合奥拉帕利作为铂类化疗后维持治疗，在生物标志物分层的转移性胰腺癌（PC）患者中的疗效与安全性。试验纳入63例患者，分为BRCA1/BRCA2或PALB2突变HRD（队列A，n=33）、非核心HRD（队列B，n=15）、铂敏感HRD野生型（队列C，n=15）三组。队列A客观缓解率为35%（95% CI：15-59%），6个月无进展生存率为64%（95% CI：49-82%），未达到主要终点；但在中位随访37个月时，队列A中位PFS和OS分别为8.3个月和28个月，2年和3年OS率分别为56%和44%。队列B和C的ORR分别为8%和14%。预设转化分析显示循环肿瘤DNA反应、肿瘤浸润淋巴细胞增加及移码插入/缺失新抗原富集与持久临床获益相关。研究提示部分HRD胰腺癌可能从PARP-ICB维持治疗中获得延长获益，为生物标志物指导的精准免疫治疗策略提供了支持。</w:t>
      </w:r>
    </w:p>
    <w:p>
      <w:pPr>
        <w:pStyle w:val="50"/>
        <w:rPr>
          <w:rFonts w:hint="eastAsia" w:eastAsia="黑体"/>
          <w:lang w:val="en-US" w:eastAsia="zh-CN"/>
        </w:rPr>
      </w:pPr>
      <w:bookmarkStart w:id="108" w:name="_Toc3000009"/>
      <w:r>
        <w:rPr>
          <w:rFonts w:hint="eastAsia"/>
          <w:lang w:val="en-US" w:eastAsia="zh-CN"/>
        </w:rPr>
        <w:t>罗氏人类生物学研究所新建筑启用推动人类模型系统药物研发</w:t>
      </w:r>
      <w:bookmarkEnd w:id="108"/>
    </w:p>
    <w:p>
      <w:pPr>
        <w:pStyle w:val="48"/>
      </w:pPr>
      <w:r>
        <w:rPr>
          <w:rFonts w:hint="eastAsia"/>
        </w:rPr>
        <w:t>2026年3月26日，罗氏宣布</w:t>
      </w:r>
      <w:r>
        <w:rPr>
          <w:rStyle w:val="25"/>
          <w:rFonts w:hint="eastAsia"/>
        </w:rPr>
        <w:footnoteReference w:id="1"/>
      </w:r>
      <w:r>
        <w:rPr>
          <w:rFonts w:hint="eastAsia"/>
        </w:rPr>
        <w:t>其人类生物学研究所（IHB）新建筑正式启用。作为14亿瑞士法郎园区投资项目的一部分，此举进一步加强了罗氏对瑞士及巴塞尔生命科学集群的承诺。IHB致力于开创人类模型系统，加速新药研发进程以改善患者生活。瑞士联邦内政部（FDHA）部长伊丽莎白·鲍姆-施耐德（Elisabeth Baume-Schneider）出席了官方开幕仪式。该研究所的启用体现了罗氏在人源性药物研发平台建设方面的持续投入。</w:t>
      </w:r>
    </w:p>
    <w:p>
      <w:pPr>
        <w:pStyle w:val="50"/>
        <w:rPr>
          <w:rFonts w:hint="eastAsia" w:eastAsia="黑体"/>
          <w:lang w:val="en-US" w:eastAsia="zh-CN"/>
        </w:rPr>
      </w:pPr>
      <w:bookmarkStart w:id="109" w:name="_Toc3000010"/>
      <w:r>
        <w:rPr>
          <w:rFonts w:hint="eastAsia"/>
          <w:lang w:val="en-US" w:eastAsia="zh-CN"/>
        </w:rPr>
        <w:t>诺华拟收购Excellergy加码新一代抗IgE创新疗法</w:t>
      </w:r>
      <w:bookmarkEnd w:id="109"/>
    </w:p>
    <w:p>
      <w:pPr>
        <w:pStyle w:val="48"/>
      </w:pPr>
      <w:r>
        <w:rPr>
          <w:rFonts w:hint="eastAsia"/>
        </w:rPr>
        <w:t>2026年3月27日，诺华宣布</w:t>
      </w:r>
      <w:r>
        <w:rPr>
          <w:rStyle w:val="25"/>
          <w:rFonts w:hint="eastAsia"/>
        </w:rPr>
        <w:footnoteReference w:id="2"/>
      </w:r>
      <w:r>
        <w:rPr>
          <w:rFonts w:hint="eastAsia"/>
        </w:rPr>
        <w:t>已签署协议拟收购Excellergy, Inc.。Excellergy是一家专注于开发下一代抗IgE疗法以治疗IgE驱动疾病的私营生物技术公司。此次拟议收购将为诺华过敏领域增加Exl-111——一种正处于1期临床阶段、经半衰期延长改造的高亲和力抗IgE抗体，进一步强化诺华在过敏性疾病领域的领导地位及下一代产品管线布局。</w:t>
      </w:r>
    </w:p>
    <w:p>
      <w:pPr>
        <w:keepNext/>
        <w:keepLines/>
        <w:spacing w:before="120" w:after="120" w:line="500" w:lineRule="exact"/>
        <w:outlineLvl w:val="0"/>
        <w:rPr>
          <w:rFonts w:ascii="Times New Roman" w:hAnsi="Times New Roman" w:eastAsia="黑体" w:cs="Times New Roman"/>
          <w:b/>
          <w:bCs/>
          <w:color w:val="4472C4"/>
          <w:sz w:val="32"/>
          <w:szCs w:val="32"/>
        </w:rPr>
      </w:pPr>
      <w:bookmarkStart w:id="1002" w:name="_Toc3000200"/>
      <w:r>
        <w:rPr>
          <w:rFonts w:hint="eastAsia" w:ascii="Times New Roman" w:hAnsi="Times New Roman" w:eastAsia="黑体" w:cs="Times New Roman"/>
          <w:b/>
          <w:bCs/>
          <w:color w:val="4472C4"/>
          <w:sz w:val="32"/>
          <w:szCs w:val="32"/>
        </w:rPr>
        <w:t>产品动态</w:t>
      </w:r>
      <w:bookmarkEnd w:id="1002"/>
    </w:p>
    <w:p>
      <w:pPr>
        <w:pStyle w:val="50"/>
        <w:rPr>
          <w:rFonts w:hint="eastAsia" w:eastAsia="黑体"/>
          <w:lang w:val="en-US" w:eastAsia="zh-CN"/>
        </w:rPr>
      </w:pPr>
      <w:bookmarkStart w:id="110" w:name="_Toc3000011"/>
      <w:r>
        <w:rPr>
          <w:rFonts w:hint="eastAsia"/>
          <w:lang w:val="en-US" w:eastAsia="zh-CN"/>
        </w:rPr>
        <w:t>BMS Sotyktu®（deucravacitinib）获美国FDA批准用于治疗成人活动性银屑病关节炎</w:t>
      </w:r>
      <w:bookmarkEnd w:id="110"/>
    </w:p>
    <w:p>
      <w:pPr>
        <w:pStyle w:val="48"/>
      </w:pPr>
      <w:r>
        <w:rPr>
          <w:rFonts w:hint="eastAsia"/>
        </w:rPr>
        <w:t>2026年3月6日，百时美施贵宝（BMS）宣布</w:t>
      </w:r>
      <w:r>
        <w:rPr>
          <w:rStyle w:val="25"/>
          <w:rFonts w:hint="eastAsia"/>
        </w:rPr>
        <w:footnoteReference w:id="3"/>
      </w:r>
      <w:r>
        <w:rPr>
          <w:rFonts w:hint="eastAsia"/>
        </w:rPr>
        <w:t>美国FDA批准其Sotyktu（deucravacitinib）用于治疗成人活动性银屑病关节炎（PsA），使其成为首个且唯一获批用于该适应症的TYK2抑制剂。该批准基于POETYK PsA-1和POETYK PsA-2两项关键Ⅲ期临床试验的阳性结果：治疗第16周，接受Sotyktu治疗的患者ACR20应答率达54%，显著高于安慰剂组的34%和39%（p&lt;0.0002），微小疾病活动度应答率分别达19%和26%。Sotyktu是一种口服选择性变构TYK2抑制剂，可选择性抑制TYK2而不影响JAK1、JAK2和JAK3，于2022年首次获批用于中重度斑块状银屑病，此次适应症扩展进一步巩固其在皮肤与关节同时受累的银屑病疾病管理中的地位。</w:t>
      </w:r>
    </w:p>
    <w:p>
      <w:pPr>
        <w:pStyle w:val="50"/>
        <w:rPr>
          <w:rFonts w:hint="eastAsia" w:eastAsia="黑体"/>
          <w:lang w:val="en-US" w:eastAsia="zh-CN"/>
        </w:rPr>
      </w:pPr>
      <w:bookmarkStart w:id="111" w:name="_Toc3000012"/>
      <w:r>
        <w:rPr>
          <w:rFonts w:hint="eastAsia"/>
          <w:lang w:val="en-US" w:eastAsia="zh-CN"/>
        </w:rPr>
        <w:t>阿斯利康与第一三共Enhertu在美国新辅助治疗后HER2阳性早期乳腺癌适应症获优先审评</w:t>
      </w:r>
      <w:bookmarkEnd w:id="111"/>
    </w:p>
    <w:p>
      <w:pPr>
        <w:pStyle w:val="48"/>
      </w:pPr>
      <w:r>
        <w:rPr>
          <w:rFonts w:hint="eastAsia"/>
        </w:rPr>
        <w:t>2026年3月9日，阿斯利康与第一三共宣布</w:t>
      </w:r>
      <w:r>
        <w:rPr>
          <w:rStyle w:val="25"/>
          <w:rFonts w:hint="eastAsia"/>
        </w:rPr>
        <w:footnoteReference w:id="4"/>
      </w:r>
      <w:r>
        <w:rPr>
          <w:rFonts w:hint="eastAsia"/>
        </w:rPr>
        <w:t>，其Enhertu（trastuzumab deruxtecan）补充生物制品许可申请（sBLA）获美国FDA受理并授予优先审评，用于治疗接受新辅助HER2靶向治疗后存在残余浸润性疾病的成人HER2阳性乳腺癌患者。FDA预计将在2026年第三季度作出监管决定，该sBLA同时纳入Project Orbis多国并行审评通道。申请基于DESTINY-Breast05 Ⅲ期试验数据（ESMO 2025大会发表、《新英格兰医学杂志》刊载）：与T-DM1相比，Enhertu将浸润性疾病复发或死亡风险降低53%（HR 0.47；95% CI 0.34-0.66；p&lt;0.0001），3年iDFS率为92.4%对比83.7%；同时将远处复发和脑转移风险分别降低51%和36%，安全性特征与既往已知情况一致。Enhertu此前已在新辅助治疗后适应症获FDA突破性疗法认定。</w:t>
      </w:r>
    </w:p>
    <w:p>
      <w:pPr>
        <w:pStyle w:val="50"/>
        <w:rPr>
          <w:rFonts w:hint="eastAsia" w:eastAsia="黑体"/>
          <w:lang w:val="en-US" w:eastAsia="zh-CN"/>
        </w:rPr>
      </w:pPr>
      <w:bookmarkStart w:id="112" w:name="_Toc3000013"/>
      <w:r>
        <w:rPr>
          <w:rFonts w:hint="eastAsia"/>
          <w:lang w:val="en-US" w:eastAsia="zh-CN"/>
        </w:rPr>
        <w:t>BMS口服mezigdomide在复发/难治性多发性骨髓瘤SUCCESSOR-2 3期研究中取得积极中期结果</w:t>
      </w:r>
      <w:bookmarkEnd w:id="112"/>
    </w:p>
    <w:p>
      <w:pPr>
        <w:pStyle w:val="48"/>
      </w:pPr>
      <w:r>
        <w:rPr>
          <w:rFonts w:hint="eastAsia"/>
        </w:rPr>
        <w:t>2026年3月9日，百时美施贵宝宣布</w:t>
      </w:r>
      <w:r>
        <w:rPr>
          <w:rStyle w:val="25"/>
          <w:rFonts w:hint="eastAsia"/>
        </w:rPr>
        <w:footnoteReference w:id="5"/>
      </w:r>
      <w:r>
        <w:rPr>
          <w:rFonts w:hint="eastAsia"/>
        </w:rPr>
        <w:t>其SUCCESSOR-2 3期研究中期分析取得积极结果：口服mezigdomide联合卡非佐米和地塞米松（MeziKd）方案相比卡非佐米和地塞米松（Kd）方案，在复发或难治性多发性骨髓瘤（RRMM）患者中，无进展生存期（PFS）取得具有统计学显著性及临床意义的改善，安全性数据与已知安全性特征一致。该研究是mezigdomide首个3期阳性研究，也是BMS CELMoD计划的第二项3期阳性研究。详细数据将在未来医学会议上呈现，并与监管机构共享。</w:t>
      </w:r>
    </w:p>
    <w:p>
      <w:pPr>
        <w:pStyle w:val="50"/>
        <w:rPr>
          <w:rFonts w:hint="eastAsia" w:eastAsia="黑体"/>
          <w:lang w:val="en-US" w:eastAsia="zh-CN"/>
        </w:rPr>
      </w:pPr>
      <w:bookmarkStart w:id="113" w:name="_Toc3000014"/>
      <w:r>
        <w:rPr>
          <w:rFonts w:hint="eastAsia"/>
          <w:lang w:val="en-US" w:eastAsia="zh-CN"/>
        </w:rPr>
        <w:t>赛诺菲venglustat获美国FDA突破性疗法认定用于3型戈谢病神经系统表现</w:t>
      </w:r>
      <w:bookmarkEnd w:id="113"/>
    </w:p>
    <w:p>
      <w:pPr>
        <w:pStyle w:val="48"/>
      </w:pPr>
      <w:r>
        <w:rPr>
          <w:rFonts w:hint="eastAsia"/>
        </w:rPr>
        <w:t>2026年3月18日，赛诺菲宣布</w:t>
      </w:r>
      <w:r>
        <w:rPr>
          <w:rStyle w:val="25"/>
          <w:rFonts w:hint="eastAsia"/>
        </w:rPr>
        <w:footnoteReference w:id="6"/>
      </w:r>
      <w:r>
        <w:rPr>
          <w:rFonts w:hint="eastAsia"/>
        </w:rPr>
        <w:t>美国FDA授予venglustat突破性疗法认定，用于治疗3型戈谢病（GD3）的神经系统表现。venglustat是一种新型口服葡萄糖神经酰胺合酶抑制剂（GCSi），设计可穿过血脑屏障，通过降低糖鞘脂（GSL）异常积累靶向GD3神经系统病理。该认定基于LEAP2MONO 3期研究数据（NCT05222906）：与接受酶替代治疗（ERT，imiglucerase）的对照组相比，venglustat治疗患者在涵盖共济失调（mSARA）和认知（RBANS）评估的整体测试评分上显示统计学显著性改善（p=0.007），整体耐受性良好，无新的安全性信号，最常见不良事件为头痛、恶心、脾肿大和腹泻。GD3系统表现目前可通过ERT治疗，但尚无批准用于神经症状的治疗。venglustat此前已获FDA快速通道认定及美国、欧盟、日本孤儿药认定，赛诺菲计划于2026年推进全球监管申报。</w:t>
      </w:r>
    </w:p>
    <w:p>
      <w:pPr>
        <w:pStyle w:val="50"/>
        <w:rPr>
          <w:rFonts w:hint="eastAsia" w:eastAsia="黑体"/>
          <w:lang w:val="en-US" w:eastAsia="zh-CN"/>
        </w:rPr>
      </w:pPr>
      <w:bookmarkStart w:id="114" w:name="_Toc3000015"/>
      <w:r>
        <w:rPr>
          <w:rFonts w:hint="eastAsia"/>
          <w:lang w:val="en-US" w:eastAsia="zh-CN"/>
        </w:rPr>
        <w:t>礼来三重激动剂retatrutide在2型糖尿病首项3期TRANSCEND-T2D-1试验中显著改善A1C及体重</w:t>
      </w:r>
      <w:bookmarkEnd w:id="114"/>
    </w:p>
    <w:p>
      <w:pPr>
        <w:pStyle w:val="48"/>
      </w:pPr>
      <w:r>
        <w:rPr>
          <w:rFonts w:hint="eastAsia"/>
        </w:rPr>
        <w:t>2026年3月19日，礼来公司公布</w:t>
      </w:r>
      <w:r>
        <w:rPr>
          <w:rStyle w:val="25"/>
          <w:rFonts w:hint="eastAsia"/>
        </w:rPr>
        <w:footnoteReference w:id="7"/>
      </w:r>
      <w:r>
        <w:rPr>
          <w:rFonts w:hint="eastAsia"/>
        </w:rPr>
        <w:t>TRANSCEND-T2D-1 3期试验阳性顶线结果：retatrutide作为同类首创GIP/GLP-1/胰高血糖素三重激素受体激动剂，在2型糖尿病治疗中展现出显著疗效。本项为期40周、纳入537例初治患者的双盲研究显示：12mg剂量组A1C降幅达2.0%，平均减重36.6磅（16.8%），至第40周时未观察到减重平台期。所有剂量组均达到主要终点及所有关键次要终点，并在非HDL胆固醇、甘油三酯、收缩压等心血管风险因素方面取得具有临床意义的改善。最常见不良事件为恶心、腹泻和呕吐，主要发生于剂量滴定期，停药率为2.2%-5.1%。详细数据计划于6月美国糖尿病协会科学年会呈现。礼来同步在肥胖、膝骨关节炎、睡眠呼吸暂停及心血管/肾脏结局领域开展多项retatrutide 3期研究。</w:t>
      </w:r>
    </w:p>
    <w:p>
      <w:pPr>
        <w:pStyle w:val="50"/>
        <w:rPr>
          <w:rFonts w:hint="eastAsia" w:eastAsia="黑体"/>
          <w:lang w:val="en-US" w:eastAsia="zh-CN"/>
        </w:rPr>
      </w:pPr>
      <w:bookmarkStart w:id="115" w:name="_Toc3000016"/>
      <w:r>
        <w:rPr>
          <w:rFonts w:hint="eastAsia"/>
          <w:lang w:val="en-US" w:eastAsia="zh-CN"/>
        </w:rPr>
        <w:t>BMS Opdivo®（nivolumab）在经典霍奇金淋巴瘤治疗领域获美国FDA和欧盟委员会扩大批准</w:t>
      </w:r>
      <w:bookmarkEnd w:id="115"/>
    </w:p>
    <w:p>
      <w:pPr>
        <w:pStyle w:val="48"/>
      </w:pPr>
      <w:r>
        <w:rPr>
          <w:rFonts w:hint="eastAsia"/>
        </w:rPr>
        <w:t>2026年3月20日，百时美施贵宝宣布</w:t>
      </w:r>
      <w:r>
        <w:rPr>
          <w:rStyle w:val="25"/>
          <w:rFonts w:hint="eastAsia"/>
        </w:rPr>
        <w:footnoteReference w:id="8"/>
      </w:r>
      <w:r>
        <w:rPr>
          <w:rFonts w:hint="eastAsia"/>
        </w:rPr>
        <w:t>Opdivo（nivolumab）在经典霍奇金淋巴瘤（cHL）治疗领域获得两项新监管批准：美国FDA批准Opdivo联合AVD化疗（阿霉素、长春花碱、达卡巴嗪）用于12岁及以上既往未经治疗的Ⅲ期或Ⅳ期成人及儿科cHL患者，成为该一线治疗场景首个获批的免疫治疗联合方案，获批基于3期SWOG 1826研究（相比BV-AVD疾病进展或死亡风险降低58%，HR 0.42，P&lt;0.0001）；欧盟委员会批准Opdivo联合brentuximab vedotin用于5岁以上至30岁既往接受一线治疗后复发或难治性cHL患者，成为该人群首个获批的免疫治疗联合方案，获批基于2期CheckMate-744研究。Opdivo作为全球首款获批PD-1免疫检查点抑制剂，目前已在超过65个国家跨多种肿瘤类型获批。</w:t>
      </w:r>
    </w:p>
    <w:p>
      <w:pPr>
        <w:pStyle w:val="50"/>
        <w:rPr>
          <w:rFonts w:hint="eastAsia" w:eastAsia="黑体"/>
          <w:lang w:val="en-US" w:eastAsia="zh-CN"/>
        </w:rPr>
      </w:pPr>
      <w:bookmarkStart w:id="116" w:name="_Toc3000017"/>
      <w:r>
        <w:rPr>
          <w:rFonts w:hint="eastAsia"/>
          <w:lang w:val="en-US" w:eastAsia="zh-CN"/>
        </w:rPr>
        <w:t>诺和诺德Awiqli®获美国FDA批准成为首个且唯一每周一次基础胰岛素</w:t>
      </w:r>
      <w:bookmarkEnd w:id="116"/>
    </w:p>
    <w:p>
      <w:pPr>
        <w:pStyle w:val="48"/>
      </w:pPr>
      <w:r>
        <w:rPr>
          <w:rFonts w:hint="eastAsia"/>
        </w:rPr>
        <w:t>2026年3月27日，诺和诺德宣布</w:t>
      </w:r>
      <w:r>
        <w:rPr>
          <w:rStyle w:val="25"/>
          <w:rFonts w:hint="eastAsia"/>
        </w:rPr>
        <w:footnoteReference w:id="9"/>
      </w:r>
      <w:r>
        <w:rPr>
          <w:rFonts w:hint="eastAsia"/>
        </w:rPr>
        <w:t>美国FDA批准Awiqli®（insulin icodec-abae）注射液700单位/毫升上市，成为首个且唯一每周一次给药的长效基础胰岛素，适用于作为饮食和运动辅助治疗以改善成人2型糖尿病患者的血糖控制。该批准基于ONWARDS 3a期临床计划结果：该计划涵盖四项随机活性对照、治疗至目标试验，共纳入约2,680例血糖控制不佳的成人2型糖尿病患者，评估每周一次Awiqli®与每日基础胰岛素的疗效对比，并与餐时胰岛素或常用口服降糖药和/或GLP-1受体激动剂联合使用。每周一次Awiqli®在多项试验中均达到降低HbA1c的主要终点，安全性特征与每日基础胰岛素类别总体一致。诺和诺德计划于2026年下半年在美国以FlexTouch®装置推出Awiqli®，该产品目前已在美国、欧盟及其他13个国家获批。</w:t>
      </w:r>
    </w:p>
    <w:p>
      <w:pPr>
        <w:pStyle w:val="50"/>
        <w:rPr>
          <w:rFonts w:hint="eastAsia" w:eastAsia="黑体"/>
          <w:lang w:val="en-US" w:eastAsia="zh-CN"/>
        </w:rPr>
      </w:pPr>
      <w:bookmarkStart w:id="117" w:name="_Toc3000018"/>
      <w:r>
        <w:rPr>
          <w:rFonts w:hint="eastAsia"/>
          <w:lang w:val="en-US" w:eastAsia="zh-CN"/>
        </w:rPr>
        <w:t>阿斯利康Tozorakimab在OBERON与TITANIA两项COPD 3期研究中达到主要终点</w:t>
      </w:r>
      <w:bookmarkEnd w:id="117"/>
    </w:p>
    <w:p>
      <w:pPr>
        <w:pStyle w:val="48"/>
      </w:pPr>
      <w:r>
        <w:rPr>
          <w:rFonts w:hint="eastAsia"/>
        </w:rPr>
        <w:t>2026年3月27日，阿斯利康公布</w:t>
      </w:r>
      <w:r>
        <w:rPr>
          <w:rStyle w:val="25"/>
          <w:rFonts w:hint="eastAsia"/>
        </w:rPr>
        <w:footnoteReference w:id="10"/>
      </w:r>
      <w:r>
        <w:rPr>
          <w:rFonts w:hint="eastAsia"/>
        </w:rPr>
        <w:t>3期OBERON与TITANIA试验阳性高层结果：在慢性阻塞性肺疾病（COPD）患者中，tozorakimab相比安慰剂可降低中重度COPD急性加重年化率，疗效涵盖既往吸烟者主要人群及既往与当前吸烟者的整体人群，以及所有血嗜酸性粒细胞水平和肺功能严重程度阶段的患者，整体耐受性良好、安全性特征优良。tozorakimab是一种潜在同类首创的靶向白介素-33（IL-33）单克隆抗体，可独特地抑制还原型和氧化型IL-33信号通路，从而减轻炎症并打破导致COPD恶化的粘液功能障碍循环。试验中患者在吸入标准治疗基础上每4周接受一次tozorakimab 300mg或安慰剂。全球约4亿人被诊断患有COPD，是全球第3大死因；即使接受吸入标准治疗，仍有超过50%患者发生急性加重，面临心肺事件与死亡风险升高。完整试验结果将在未来医学会议上发布，tozorakimab在COPD领域的其他3期（PROSPERO、MIRANDA）及严重病毒性下呼吸道疾病3期、哮喘2期研究正在进行中。</w:t>
      </w:r>
    </w:p>
    <w:p>
      <w:pPr>
        <w:pStyle w:val="50"/>
        <w:rPr>
          <w:rFonts w:hint="eastAsia" w:eastAsia="黑体"/>
          <w:lang w:val="en-US" w:eastAsia="zh-CN"/>
        </w:rPr>
      </w:pPr>
      <w:bookmarkStart w:id="118" w:name="_Toc3000019"/>
      <w:r>
        <w:rPr>
          <w:rFonts w:hint="eastAsia"/>
          <w:lang w:val="en-US" w:eastAsia="zh-CN"/>
        </w:rPr>
        <w:t>礼来Taltz®联合Zepbound®在伴肥胖银屑病关节炎患者3b期研究中展现显著疗效</w:t>
      </w:r>
      <w:bookmarkEnd w:id="118"/>
    </w:p>
    <w:p>
      <w:pPr>
        <w:pStyle w:val="48"/>
      </w:pPr>
      <w:r>
        <w:rPr>
          <w:rFonts w:hint="eastAsia"/>
        </w:rPr>
        <w:t>2026年3月28日，礼来公司公布</w:t>
      </w:r>
      <w:r>
        <w:rPr>
          <w:rStyle w:val="25"/>
          <w:rFonts w:hint="eastAsia"/>
        </w:rPr>
        <w:footnoteReference w:id="11"/>
      </w:r>
      <w:r>
        <w:rPr>
          <w:rFonts w:hint="eastAsia"/>
        </w:rPr>
        <w:t>3b期TOGETHER-PsA试验结果：Taltz（ixekizumab）联合Zepbound（tirzepatide）相比Taltz单药治疗，在伴肥胖或超重（至少一项体重相关合并症）的活动性银屑病关节炎（PsA）成人患者中展现出显著优效。这项开放标签试验随机纳入271例平均BMI为37.6 kg/m²的患者。在第36周主要终点分析中，联合治疗组31.7%的患者同时达到ACR50应答及≥10%体重下降，显著优于单药组的0.8%。联合治疗还在疲劳、身体功能、心理健康相关生活质量、心脏代谢健康及炎症标志物方面取得显著改善。不良事件多为轻至中度，与两种药物的已知安全性特征一致。研究结果作为突发新闻在2026年美国皮肤病学会年会上发表，并同步发表于《Arthritis &amp; Rheumatology》。</w:t>
      </w:r>
    </w:p>
    <w:p>
      <w:pPr>
        <w:pStyle w:val="50"/>
        <w:rPr>
          <w:rFonts w:hint="eastAsia" w:eastAsia="黑体"/>
          <w:lang w:val="en-US" w:eastAsia="zh-CN"/>
        </w:rPr>
      </w:pPr>
      <w:bookmarkStart w:id="119" w:name="_Toc3000020"/>
      <w:r>
        <w:rPr>
          <w:rFonts w:hint="eastAsia"/>
          <w:lang w:val="en-US" w:eastAsia="zh-CN"/>
        </w:rPr>
        <w:t>BMS Camzyos® 3期SCOUT-HCM研究证实在青少年症状性梗阻性肥厚型心肌病中的疗效与安全性</w:t>
      </w:r>
      <w:bookmarkEnd w:id="119"/>
    </w:p>
    <w:p>
      <w:pPr>
        <w:pStyle w:val="48"/>
      </w:pPr>
      <w:r>
        <w:rPr>
          <w:rFonts w:hint="eastAsia"/>
        </w:rPr>
        <w:t>2026年3月29日，百时美施贵宝公布</w:t>
      </w:r>
      <w:r>
        <w:rPr>
          <w:rStyle w:val="25"/>
          <w:rFonts w:hint="eastAsia"/>
        </w:rPr>
        <w:footnoteReference w:id="12"/>
      </w:r>
      <w:r>
        <w:rPr>
          <w:rFonts w:hint="eastAsia"/>
        </w:rPr>
        <w:t>3期SCOUT-HCM试验阳性结果：心脏肌球蛋白抑制剂Camzyos（mavacamten）在12至&lt;18岁症状性梗阻性肥厚型心肌病（oHCM）青少年患者中展现出良好疗效与耐受性。该随机、双盲、安慰剂对照研究纳入44例患者，主要终点为第28周Valsalva动作下左室流出道（LVOT）梯度相对基线的变化，Camzyos组相对安慰剂的最小二乘均值差为−48.0 mm Hg（P&lt;0.0001），具有统计学显著性。次要终点显示静息及运动后LVOT梯度、最大左室壁厚度、NYHA分级及二尖瓣功能均有显著改善。两组安全性结果相似，无患者出现LVEF&lt;50%，无因不良事件停药病例，无死亡病例。Camzyos是经广泛研究、已在60余个国家获批用于成人oHCM的CMI，该研究结果使其有望成为首个用于青少年oHCM的靶向药物治疗方案。数据作为突发新闻在ACC 2026大会上发表，并同步发表于《新英格兰医学杂志》。</w:t>
      </w:r>
    </w:p>
    <w:sectPr>
      <w:footerReference r:id="rId7" w:type="default"/>
      <w:pgSz w:w="11906" w:h="16838"/>
      <w:pgMar w:top="1440" w:right="1800" w:bottom="1440" w:left="180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Light">
    <w:altName w:val="汉仪中等线KW"/>
    <w:panose1 w:val="02010600030101010101"/>
    <w:charset w:val="86"/>
    <w:family w:val="auto"/>
    <w:pitch w:val="default"/>
    <w:sig w:usb0="00000000" w:usb1="00000000" w:usb2="00000016" w:usb3="00000000" w:csb0="0004000F" w:csb1="00000000"/>
  </w:font>
  <w:font w:name="仿宋">
    <w:altName w:val="方正仿宋_GBK"/>
    <w:panose1 w:val="02010609060101010101"/>
    <w:charset w:val="86"/>
    <w:family w:val="modern"/>
    <w:pitch w:val="default"/>
    <w:sig w:usb0="00000000" w:usb1="00000000" w:usb2="00000016" w:usb3="00000000" w:csb0="00040001" w:csb1="00000000"/>
  </w:font>
  <w:font w:name="仿宋_GB2312">
    <w:altName w:val="方正仿宋_GBK"/>
    <w:panose1 w:val="02010609030101010101"/>
    <w:charset w:val="86"/>
    <w:family w:val="modern"/>
    <w:pitch w:val="default"/>
    <w:sig w:usb0="00000000" w:usb1="00000000" w:usb2="00000010" w:usb3="00000000" w:csb0="00040000" w:csb1="00000000"/>
  </w:font>
  <w:font w:name="微软雅黑">
    <w:altName w:val="汉仪旗黑"/>
    <w:panose1 w:val="020B0503020204020204"/>
    <w:charset w:val="86"/>
    <w:family w:val="swiss"/>
    <w:pitch w:val="default"/>
    <w:sig w:usb0="00000000" w:usb1="00000000" w:usb2="00000016" w:usb3="00000000" w:csb0="0004001F" w:csb1="00000000"/>
  </w:font>
  <w:font w:name="Times New Roman Regular">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冬青黑体简体中文">
    <w:panose1 w:val="020B0300000000000000"/>
    <w:charset w:val="86"/>
    <w:family w:val="auto"/>
    <w:pitch w:val="default"/>
    <w:sig w:usb0="A00002BF" w:usb1="1ACF7CFA" w:usb2="00000016" w:usb3="00000000" w:csb0="00060007" w:csb1="00000000"/>
  </w:font>
  <w:font w:name="汉仪旗黑">
    <w:panose1 w:val="00020600040101010101"/>
    <w:charset w:val="86"/>
    <w:family w:val="auto"/>
    <w:pitch w:val="default"/>
    <w:sig w:usb0="A00002BF" w:usb1="1ACF7CFA" w:usb2="00000016" w:usb3="00000000" w:csb0="0004009F" w:csb1="DFD70000"/>
  </w:font>
  <w:font w:name="汉仪中黑KW">
    <w:panose1 w:val="00020600040101010101"/>
    <w:charset w:val="86"/>
    <w:family w:val="auto"/>
    <w:pitch w:val="default"/>
    <w:sig w:usb0="A00002BF" w:usb1="18EF7CFA" w:usb2="00000016" w:usb3="00000000" w:csb0="0004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等线 Light">
    <w:altName w:val="汉仪中等线KW"/>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仿宋">
    <w:altName w:val="方正仿宋_GBK"/>
    <w:panose1 w:val="00000000000000000000"/>
    <w:charset w:val="00"/>
    <w:family w:val="auto"/>
    <w:pitch w:val="default"/>
    <w:sig w:usb0="00000000" w:usb1="00000000" w:usb2="00000000" w:usb3="00000000" w:csb0="00000000" w:csb1="00000000"/>
  </w:font>
  <w:font w:name="仿宋_GB2312">
    <w:altName w:val="方正仿宋_GBK"/>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02E64B">
    <w:pPr>
      <w:pStyle w:val="12"/>
      <w:ind w:firstLine="560"/>
      <w:jc w:val="center"/>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5516768"/>
      <w:docPartObj>
        <w:docPartGallery w:val="autotext"/>
      </w:docPartObj>
    </w:sdtPr>
    <w:sdtEndPr>
      <w:rPr>
        <w:rFonts w:ascii="Times New Roman" w:hAnsi="Times New Roman" w:cs="Times New Roman"/>
      </w:rPr>
    </w:sdtEndPr>
    <w:sdtContent>
      <w:p w14:paraId="6875D62F">
        <w:pPr>
          <w:pStyle w:val="12"/>
          <w:spacing w:after="0"/>
          <w:ind w:firstLine="560"/>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2</w:t>
        </w:r>
        <w:r>
          <w:rPr>
            <w:rFonts w:ascii="Times New Roman" w:hAnsi="Times New Roman" w:cs="Times New Roman"/>
          </w:rPr>
          <w:fldChar w:fldCharType="end"/>
        </w:r>
      </w:p>
    </w:sdtContent>
  </w:sdt>
  <w:p w14:paraId="78A11986">
    <w:pPr>
      <w:pStyle w:val="12"/>
      <w:spacing w:after="0"/>
      <w:jc w:val="right"/>
      <w:rPr>
        <w:rFonts w:hint="eastAsia"/>
      </w:rPr>
    </w:pPr>
    <w:r>
      <w:rPr>
        <w:rFonts w:hint="eastAsia"/>
        <w:sz w:val="21"/>
        <w:szCs w:val="21"/>
      </w:rPr>
      <w:t>中国科学院科技战略咨询研究院创新药政策课题组</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EndPr>
      <w:rPr>
        <w:rFonts w:ascii="Times New Roman" w:hAnsi="Times New Roman" w:cs="Times New Roman"/>
      </w:rPr>
    </w:sdtEndPr>
    <w:sdtContent>
      <w:p w14:paraId="59F60960">
        <w:pPr>
          <w:pStyle w:val="12"/>
          <w:spacing w:after="0"/>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2</w:t>
        </w:r>
        <w:r>
          <w:rPr>
            <w:rFonts w:ascii="Times New Roman" w:hAnsi="Times New Roman" w:cs="Times New Roman"/>
          </w:rPr>
          <w:fldChar w:fldCharType="end"/>
        </w:r>
      </w:p>
    </w:sdtContent>
  </w:sdt>
  <w:p w14:paraId="0B290922">
    <w:pPr>
      <w:pStyle w:val="12"/>
      <w:spacing w:after="0"/>
      <w:jc w:val="right"/>
      <w:rPr>
        <w:rFonts w:hint="eastAsia" w:ascii="仿宋_GB2312" w:eastAsia="仿宋_GB2312"/>
      </w:rPr>
    </w:pPr>
    <w:r>
      <w:rPr>
        <w:rFonts w:hint="eastAsia" w:ascii="仿宋_GB2312" w:eastAsia="仿宋_GB2312"/>
      </w:rPr>
      <w:t>中国科学院科技战略咨询研究院创新药政策课题组</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38">
    <w:p>
      <w:pPr>
        <w:spacing w:before="0" w:after="0" w:line="278" w:lineRule="auto"/>
      </w:pPr>
      <w:r>
        <w:separator/>
      </w:r>
    </w:p>
  </w:footnote>
  <w:footnote w:type="continuationSeparator" w:id="39">
    <w:p>
      <w:pPr>
        <w:spacing w:before="0" w:after="0" w:line="278" w:lineRule="auto"/>
      </w:pPr>
      <w:r>
        <w:continuationSeparator/>
      </w:r>
    </w:p>
  </w:footnote>
  <w:footnote w:id="0">
    <w:p>
      <w:pPr>
        <w:pStyle w:val="16"/>
        <w:snapToGrid w:val="0"/>
      </w:pPr>
      <w:r>
        <w:rPr>
          <w:rStyle w:val="25"/>
        </w:rPr>
        <w:footnoteRef/>
      </w:r>
      <w:r>
        <w:t xml:space="preserve"> </w:t>
      </w:r>
      <w:r>
        <w:rPr>
          <w:rFonts w:hint="eastAsia"/>
        </w:rPr>
        <w:t>https://www.roche.com/media/releases/med-cor-2026-03-16</w:t>
      </w:r>
    </w:p>
  </w:footnote>
  <w:footnote w:id="1">
    <w:p>
      <w:pPr>
        <w:pStyle w:val="16"/>
        <w:snapToGrid w:val="0"/>
      </w:pPr>
      <w:r>
        <w:rPr>
          <w:rStyle w:val="25"/>
        </w:rPr>
        <w:footnoteRef/>
      </w:r>
      <w:r>
        <w:t xml:space="preserve"> </w:t>
      </w:r>
      <w:r>
        <w:rPr>
          <w:rFonts w:hint="eastAsia"/>
        </w:rPr>
        <w:t>https://www.roche.com/media/releases/med-cor-2026-03-23</w:t>
      </w:r>
    </w:p>
  </w:footnote>
  <w:footnote w:id="2">
    <w:p>
      <w:pPr>
        <w:pStyle w:val="16"/>
        <w:snapToGrid w:val="0"/>
      </w:pPr>
      <w:r>
        <w:rPr>
          <w:rStyle w:val="25"/>
        </w:rPr>
        <w:footnoteRef/>
      </w:r>
      <w:r>
        <w:t xml:space="preserve"> </w:t>
      </w:r>
      <w:r>
        <w:rPr>
          <w:rFonts w:hint="eastAsia"/>
        </w:rPr>
        <w:t>https://www.novartis.com/news/media-releases/novartis-agrees-acquire-excellergy-inc-building-allergy-leadership-next-generation-anti-ige-innovation</w:t>
      </w:r>
    </w:p>
  </w:footnote>
  <w:footnote w:id="3">
    <w:p>
      <w:pPr>
        <w:pStyle w:val="16"/>
        <w:snapToGrid w:val="0"/>
      </w:pPr>
      <w:r>
        <w:rPr>
          <w:rStyle w:val="25"/>
        </w:rPr>
        <w:footnoteRef/>
      </w:r>
      <w:r>
        <w:t xml:space="preserve"> </w:t>
      </w:r>
      <w:r>
        <w:rPr>
          <w:rFonts w:hint="eastAsia"/>
        </w:rPr>
        <w:t>https://news.bms.com/news/corporate-financial/2026/U-S--FDA-Approves-Bristol-Myers-Squibbs-Sotyktu-deucravacitinib-for-the-Treatment-of-Adults-with-Active-Psoriatic-Arthritis/default.aspx</w:t>
      </w:r>
    </w:p>
  </w:footnote>
  <w:footnote w:id="4">
    <w:p>
      <w:pPr>
        <w:pStyle w:val="16"/>
        <w:snapToGrid w:val="0"/>
      </w:pPr>
      <w:r>
        <w:rPr>
          <w:rStyle w:val="25"/>
        </w:rPr>
        <w:footnoteRef/>
      </w:r>
      <w:r>
        <w:t xml:space="preserve"> </w:t>
      </w:r>
      <w:r>
        <w:rPr>
          <w:rFonts w:hint="eastAsia"/>
        </w:rPr>
        <w:t>https://www.astrazeneca.com/media-centre/press-releases/2026/enhertu-granted-priority-review-in-the-us-as-post-neoadjuvant-treatment-for-patients-with-her2-positive-early-breast-cancer.html</w:t>
      </w:r>
    </w:p>
  </w:footnote>
  <w:footnote w:id="5">
    <w:p>
      <w:pPr>
        <w:pStyle w:val="16"/>
        <w:snapToGrid w:val="0"/>
      </w:pPr>
      <w:r>
        <w:rPr>
          <w:rStyle w:val="25"/>
        </w:rPr>
        <w:footnoteRef/>
      </w:r>
      <w:r>
        <w:t xml:space="preserve"> </w:t>
      </w:r>
      <w:r>
        <w:rPr>
          <w:rFonts w:hint="eastAsia"/>
        </w:rPr>
        <w:t>https://news.bms.com/news/corporate-financial/2026/Bristol-Myers-Squibb-Announces-Positive-Phase-3-Results-from-the-SUCCESSOR-2-Study-of-Oral-Mezigdomide-in-Relapsed-or-Refractory-Multiple-Myeloma/default.aspx</w:t>
      </w:r>
    </w:p>
  </w:footnote>
  <w:footnote w:id="6">
    <w:p>
      <w:pPr>
        <w:pStyle w:val="16"/>
        <w:snapToGrid w:val="0"/>
      </w:pPr>
      <w:r>
        <w:rPr>
          <w:rStyle w:val="25"/>
        </w:rPr>
        <w:footnoteRef/>
      </w:r>
      <w:r>
        <w:t xml:space="preserve"> </w:t>
      </w:r>
      <w:r>
        <w:rPr>
          <w:rFonts w:hint="eastAsia"/>
        </w:rPr>
        <w:t>https://www.sanofi.com/en/media-room/press-releases/2026/2026-03-18-06-00-00-3257888</w:t>
      </w:r>
    </w:p>
  </w:footnote>
  <w:footnote w:id="7">
    <w:p>
      <w:pPr>
        <w:pStyle w:val="16"/>
        <w:snapToGrid w:val="0"/>
      </w:pPr>
      <w:r>
        <w:rPr>
          <w:rStyle w:val="25"/>
        </w:rPr>
        <w:footnoteRef/>
      </w:r>
      <w:r>
        <w:t xml:space="preserve"> </w:t>
      </w:r>
      <w:r>
        <w:rPr>
          <w:rFonts w:hint="eastAsia"/>
        </w:rPr>
        <w:t>https://investor.lilly.com/news-releases/news-release-details/lillys-triple-agonist-retatrutide-demonstrated-significant</w:t>
      </w:r>
    </w:p>
  </w:footnote>
  <w:footnote w:id="8">
    <w:p>
      <w:pPr>
        <w:pStyle w:val="16"/>
        <w:snapToGrid w:val="0"/>
      </w:pPr>
      <w:r>
        <w:rPr>
          <w:rStyle w:val="25"/>
        </w:rPr>
        <w:footnoteRef/>
      </w:r>
      <w:r>
        <w:t xml:space="preserve"> </w:t>
      </w:r>
      <w:r>
        <w:rPr>
          <w:rFonts w:hint="eastAsia"/>
        </w:rPr>
        <w:t>https://news.bms.com/news/corporate-financial/2026/Bristol-Myers-Squibb-Transforms-the-Classical-Hodgkin-Lymphoma-Treatment-Paradigm-with-Expanded-U-S--and-EMA-Approvals-for-Opdivo-nivolumab/default.aspx</w:t>
      </w:r>
    </w:p>
  </w:footnote>
  <w:footnote w:id="9">
    <w:p>
      <w:pPr>
        <w:pStyle w:val="16"/>
        <w:snapToGrid w:val="0"/>
      </w:pPr>
      <w:r>
        <w:rPr>
          <w:rStyle w:val="25"/>
        </w:rPr>
        <w:footnoteRef/>
      </w:r>
      <w:r>
        <w:t xml:space="preserve"> </w:t>
      </w:r>
      <w:r>
        <w:rPr>
          <w:rFonts w:hint="eastAsia"/>
        </w:rPr>
        <w:t>https://www.novonordisk.com/content/nncorp/global/en/news-and-media/news-and-ir-materials/news-details.html?id=916521</w:t>
      </w:r>
    </w:p>
  </w:footnote>
  <w:footnote w:id="10">
    <w:p>
      <w:pPr>
        <w:pStyle w:val="16"/>
        <w:snapToGrid w:val="0"/>
      </w:pPr>
      <w:r>
        <w:rPr>
          <w:rStyle w:val="25"/>
        </w:rPr>
        <w:footnoteRef/>
      </w:r>
      <w:r>
        <w:t xml:space="preserve"> </w:t>
      </w:r>
      <w:r>
        <w:rPr>
          <w:rFonts w:hint="eastAsia"/>
        </w:rPr>
        <w:t>https://www.astrazeneca.com/media-centre/press-releases/2026/tozorakimab-met-primary-endpoint-in-oberon-titania-phase-iii-trials-in-patients-with-copd.html</w:t>
      </w:r>
    </w:p>
  </w:footnote>
  <w:footnote w:id="11">
    <w:p>
      <w:pPr>
        <w:pStyle w:val="16"/>
        <w:snapToGrid w:val="0"/>
      </w:pPr>
      <w:r>
        <w:rPr>
          <w:rStyle w:val="25"/>
        </w:rPr>
        <w:footnoteRef/>
      </w:r>
      <w:r>
        <w:t xml:space="preserve"> </w:t>
      </w:r>
      <w:r>
        <w:rPr>
          <w:rFonts w:hint="eastAsia"/>
        </w:rPr>
        <w:t>https://investor.lilly.com/news-releases/news-release-details/phase-3b-data-presented-aad-annual-meeting-show-lillys-taltz</w:t>
      </w:r>
    </w:p>
  </w:footnote>
  <w:footnote w:id="12">
    <w:p>
      <w:pPr>
        <w:pStyle w:val="16"/>
        <w:snapToGrid w:val="0"/>
      </w:pPr>
      <w:r>
        <w:rPr>
          <w:rStyle w:val="25"/>
        </w:rPr>
        <w:footnoteRef/>
      </w:r>
      <w:r>
        <w:t xml:space="preserve"> </w:t>
      </w:r>
      <w:r>
        <w:rPr>
          <w:rFonts w:hint="eastAsia"/>
        </w:rPr>
        <w:t>https://news.bms.com/news/corporate-financial/2026/Bristol-Myers-Squibb-Presents-Positive-Results-from-Phase-3-SCOUT-HCM-Trial-Demonstrating-Efficacy-and-Safety-of-Camzyos-mavacamten-in-Adolescents-with-Symptomatic-Obstructive-Hypertrophic-Cardiomyopathy-oHCM/default.aspx</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bordersDoNotSurroundHeader w:val="0"/>
  <w:bordersDoNotSurroundFooter w:val="0"/>
  <w:documentProtection w:enforcement="0"/>
  <w:defaultTabStop w:val="420"/>
  <w:drawingGridHorizontalSpacing w:val="110"/>
  <w:drawingGridVerticalSpacing w:val="156"/>
  <w:displayHorizontalDrawingGridEvery w:val="1"/>
  <w:displayVerticalDrawingGridEvery w:val="1"/>
  <w:noPunctuationKerning w:val="1"/>
  <w:characterSpacingControl w:val="compressPunctuation"/>
  <w:footnotePr>
    <w:footnote w:id="38"/>
    <w:footnote w:id="39"/>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39D3"/>
    <w:rsid w:val="00001975"/>
    <w:rsid w:val="00006CAB"/>
    <w:rsid w:val="00012A99"/>
    <w:rsid w:val="00017E77"/>
    <w:rsid w:val="000342E3"/>
    <w:rsid w:val="00041494"/>
    <w:rsid w:val="00052734"/>
    <w:rsid w:val="000639D3"/>
    <w:rsid w:val="00064F12"/>
    <w:rsid w:val="00071FE7"/>
    <w:rsid w:val="000733F0"/>
    <w:rsid w:val="00081546"/>
    <w:rsid w:val="00081BA2"/>
    <w:rsid w:val="00095DAD"/>
    <w:rsid w:val="000B2A70"/>
    <w:rsid w:val="000C07F2"/>
    <w:rsid w:val="000D515B"/>
    <w:rsid w:val="000E0365"/>
    <w:rsid w:val="000E7151"/>
    <w:rsid w:val="000F2319"/>
    <w:rsid w:val="000F50F2"/>
    <w:rsid w:val="00106420"/>
    <w:rsid w:val="0011414D"/>
    <w:rsid w:val="00123544"/>
    <w:rsid w:val="00163E3E"/>
    <w:rsid w:val="001819D5"/>
    <w:rsid w:val="001A11E7"/>
    <w:rsid w:val="001A413A"/>
    <w:rsid w:val="001B1C19"/>
    <w:rsid w:val="001C3552"/>
    <w:rsid w:val="001D46A9"/>
    <w:rsid w:val="001E1042"/>
    <w:rsid w:val="001F0E55"/>
    <w:rsid w:val="002260E7"/>
    <w:rsid w:val="00232404"/>
    <w:rsid w:val="00234239"/>
    <w:rsid w:val="0024170B"/>
    <w:rsid w:val="00243831"/>
    <w:rsid w:val="00260A52"/>
    <w:rsid w:val="00260E99"/>
    <w:rsid w:val="002669C4"/>
    <w:rsid w:val="0029166C"/>
    <w:rsid w:val="00297A27"/>
    <w:rsid w:val="002C2696"/>
    <w:rsid w:val="002D74EE"/>
    <w:rsid w:val="002E4CDB"/>
    <w:rsid w:val="002E6451"/>
    <w:rsid w:val="002E67E5"/>
    <w:rsid w:val="002F57E7"/>
    <w:rsid w:val="003050D5"/>
    <w:rsid w:val="00321037"/>
    <w:rsid w:val="00322898"/>
    <w:rsid w:val="00322D27"/>
    <w:rsid w:val="00330A9F"/>
    <w:rsid w:val="003345E1"/>
    <w:rsid w:val="003360E7"/>
    <w:rsid w:val="00357CEF"/>
    <w:rsid w:val="00372CE5"/>
    <w:rsid w:val="00374958"/>
    <w:rsid w:val="003777A5"/>
    <w:rsid w:val="003C7EAD"/>
    <w:rsid w:val="003D4958"/>
    <w:rsid w:val="003D729B"/>
    <w:rsid w:val="003E11A4"/>
    <w:rsid w:val="003E52FB"/>
    <w:rsid w:val="003F1613"/>
    <w:rsid w:val="0040192D"/>
    <w:rsid w:val="0047435F"/>
    <w:rsid w:val="004749DB"/>
    <w:rsid w:val="00490E0E"/>
    <w:rsid w:val="004A7209"/>
    <w:rsid w:val="004E5D8A"/>
    <w:rsid w:val="00515C56"/>
    <w:rsid w:val="005633FE"/>
    <w:rsid w:val="00567E17"/>
    <w:rsid w:val="00574108"/>
    <w:rsid w:val="0058243A"/>
    <w:rsid w:val="005931C2"/>
    <w:rsid w:val="00595A76"/>
    <w:rsid w:val="005C1B7B"/>
    <w:rsid w:val="005E5698"/>
    <w:rsid w:val="00600652"/>
    <w:rsid w:val="00604DC5"/>
    <w:rsid w:val="00607F5D"/>
    <w:rsid w:val="0061041B"/>
    <w:rsid w:val="006358B1"/>
    <w:rsid w:val="006434F4"/>
    <w:rsid w:val="006535CE"/>
    <w:rsid w:val="006806AE"/>
    <w:rsid w:val="006A64EF"/>
    <w:rsid w:val="006A7D80"/>
    <w:rsid w:val="006B29CB"/>
    <w:rsid w:val="006B6ED4"/>
    <w:rsid w:val="006C1807"/>
    <w:rsid w:val="006C6E0D"/>
    <w:rsid w:val="006E4AFB"/>
    <w:rsid w:val="006F7C3E"/>
    <w:rsid w:val="00704F08"/>
    <w:rsid w:val="00710919"/>
    <w:rsid w:val="0071525F"/>
    <w:rsid w:val="00721E1B"/>
    <w:rsid w:val="00746939"/>
    <w:rsid w:val="00765139"/>
    <w:rsid w:val="007809FB"/>
    <w:rsid w:val="00780AAC"/>
    <w:rsid w:val="00783E60"/>
    <w:rsid w:val="00797994"/>
    <w:rsid w:val="007B4F74"/>
    <w:rsid w:val="007C6FEB"/>
    <w:rsid w:val="007E3A3A"/>
    <w:rsid w:val="008011A2"/>
    <w:rsid w:val="0080366D"/>
    <w:rsid w:val="0080745D"/>
    <w:rsid w:val="00814716"/>
    <w:rsid w:val="0083345E"/>
    <w:rsid w:val="00852208"/>
    <w:rsid w:val="008633C3"/>
    <w:rsid w:val="00885F19"/>
    <w:rsid w:val="008956E7"/>
    <w:rsid w:val="00896369"/>
    <w:rsid w:val="008A4CE4"/>
    <w:rsid w:val="008C0CFB"/>
    <w:rsid w:val="008C2680"/>
    <w:rsid w:val="008D1090"/>
    <w:rsid w:val="008D1752"/>
    <w:rsid w:val="008E0457"/>
    <w:rsid w:val="008E1E53"/>
    <w:rsid w:val="008F6708"/>
    <w:rsid w:val="009023F1"/>
    <w:rsid w:val="00907528"/>
    <w:rsid w:val="0093724C"/>
    <w:rsid w:val="00961DF7"/>
    <w:rsid w:val="00984937"/>
    <w:rsid w:val="009A4637"/>
    <w:rsid w:val="009A5794"/>
    <w:rsid w:val="009A7E2C"/>
    <w:rsid w:val="009B4978"/>
    <w:rsid w:val="009C52DC"/>
    <w:rsid w:val="009C5D22"/>
    <w:rsid w:val="009E2338"/>
    <w:rsid w:val="009E5B39"/>
    <w:rsid w:val="009E641E"/>
    <w:rsid w:val="009F07E8"/>
    <w:rsid w:val="009F1133"/>
    <w:rsid w:val="00A16891"/>
    <w:rsid w:val="00A44D7D"/>
    <w:rsid w:val="00A44F02"/>
    <w:rsid w:val="00A458C4"/>
    <w:rsid w:val="00A552EB"/>
    <w:rsid w:val="00A72845"/>
    <w:rsid w:val="00A74469"/>
    <w:rsid w:val="00A760D6"/>
    <w:rsid w:val="00A86231"/>
    <w:rsid w:val="00A8748C"/>
    <w:rsid w:val="00AA2039"/>
    <w:rsid w:val="00AC2EB6"/>
    <w:rsid w:val="00AF083D"/>
    <w:rsid w:val="00AF4866"/>
    <w:rsid w:val="00AF5A27"/>
    <w:rsid w:val="00AF796E"/>
    <w:rsid w:val="00B07014"/>
    <w:rsid w:val="00B15075"/>
    <w:rsid w:val="00B237DA"/>
    <w:rsid w:val="00B2720F"/>
    <w:rsid w:val="00B364A7"/>
    <w:rsid w:val="00B37048"/>
    <w:rsid w:val="00B44D9F"/>
    <w:rsid w:val="00B6009A"/>
    <w:rsid w:val="00B707B6"/>
    <w:rsid w:val="00B71C74"/>
    <w:rsid w:val="00B71FDF"/>
    <w:rsid w:val="00B87695"/>
    <w:rsid w:val="00BC6272"/>
    <w:rsid w:val="00BD4666"/>
    <w:rsid w:val="00BE1BF3"/>
    <w:rsid w:val="00BF2C64"/>
    <w:rsid w:val="00C01D63"/>
    <w:rsid w:val="00C044BC"/>
    <w:rsid w:val="00C17C36"/>
    <w:rsid w:val="00C223A7"/>
    <w:rsid w:val="00C35185"/>
    <w:rsid w:val="00C36F9C"/>
    <w:rsid w:val="00C53C80"/>
    <w:rsid w:val="00C570BF"/>
    <w:rsid w:val="00C631B9"/>
    <w:rsid w:val="00C63C56"/>
    <w:rsid w:val="00C77D51"/>
    <w:rsid w:val="00C952B4"/>
    <w:rsid w:val="00C95D32"/>
    <w:rsid w:val="00C95F48"/>
    <w:rsid w:val="00C972CA"/>
    <w:rsid w:val="00CB10A3"/>
    <w:rsid w:val="00CB129A"/>
    <w:rsid w:val="00CD416D"/>
    <w:rsid w:val="00CE1245"/>
    <w:rsid w:val="00CE4490"/>
    <w:rsid w:val="00CF05BA"/>
    <w:rsid w:val="00CF1C08"/>
    <w:rsid w:val="00CF5817"/>
    <w:rsid w:val="00D01A56"/>
    <w:rsid w:val="00D06DBA"/>
    <w:rsid w:val="00D110EC"/>
    <w:rsid w:val="00D3636B"/>
    <w:rsid w:val="00D42C0B"/>
    <w:rsid w:val="00D47767"/>
    <w:rsid w:val="00D674DF"/>
    <w:rsid w:val="00D774D1"/>
    <w:rsid w:val="00D80615"/>
    <w:rsid w:val="00D8691E"/>
    <w:rsid w:val="00DA082D"/>
    <w:rsid w:val="00DA3A1D"/>
    <w:rsid w:val="00DB01D9"/>
    <w:rsid w:val="00DB24F1"/>
    <w:rsid w:val="00DC48F5"/>
    <w:rsid w:val="00DE1015"/>
    <w:rsid w:val="00DE3CAF"/>
    <w:rsid w:val="00DE571C"/>
    <w:rsid w:val="00DE7B9A"/>
    <w:rsid w:val="00DF7913"/>
    <w:rsid w:val="00E03807"/>
    <w:rsid w:val="00E206A1"/>
    <w:rsid w:val="00E313A7"/>
    <w:rsid w:val="00E34CA3"/>
    <w:rsid w:val="00E648E5"/>
    <w:rsid w:val="00EB79F1"/>
    <w:rsid w:val="00EC0359"/>
    <w:rsid w:val="00EC23B0"/>
    <w:rsid w:val="00ED500F"/>
    <w:rsid w:val="00EE127D"/>
    <w:rsid w:val="00F0134C"/>
    <w:rsid w:val="00F04000"/>
    <w:rsid w:val="00F34002"/>
    <w:rsid w:val="00F4105F"/>
    <w:rsid w:val="00F81898"/>
    <w:rsid w:val="00F952CE"/>
    <w:rsid w:val="00FA6D75"/>
    <w:rsid w:val="00FB2587"/>
    <w:rsid w:val="00FB6996"/>
    <w:rsid w:val="00FC2485"/>
    <w:rsid w:val="00FD2DA7"/>
    <w:rsid w:val="00FD73EA"/>
    <w:rsid w:val="00FD76C1"/>
    <w:rsid w:val="00FE3EF0"/>
    <w:rsid w:val="00FE700D"/>
    <w:rsid w:val="00FF0FF1"/>
    <w:rsid w:val="37BEAA81"/>
    <w:rsid w:val="47FFBE69"/>
    <w:rsid w:val="7EFA7EB0"/>
    <w:rsid w:val="BD7E9E7B"/>
    <w:rsid w:val="F59E35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semiHidden="0"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26"/>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7"/>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8"/>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9"/>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30"/>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31"/>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32"/>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3"/>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4"/>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1">
    <w:name w:val="Default Paragraph Font"/>
    <w:semiHidden/>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11">
    <w:name w:val="Date"/>
    <w:basedOn w:val="1"/>
    <w:next w:val="1"/>
    <w:link w:val="47"/>
    <w:semiHidden/>
    <w:unhideWhenUsed/>
    <w:uiPriority w:val="99"/>
    <w:pPr>
      <w:ind w:left="100" w:leftChars="2500"/>
    </w:pPr>
  </w:style>
  <w:style w:type="paragraph" w:styleId="12">
    <w:name w:val="footer"/>
    <w:basedOn w:val="1"/>
    <w:link w:val="45"/>
    <w:unhideWhenUsed/>
    <w:uiPriority w:val="99"/>
    <w:pPr>
      <w:tabs>
        <w:tab w:val="center" w:pos="4153"/>
        <w:tab w:val="right" w:pos="8306"/>
      </w:tabs>
      <w:snapToGrid w:val="0"/>
      <w:spacing w:line="240" w:lineRule="auto"/>
    </w:pPr>
    <w:rPr>
      <w:sz w:val="18"/>
      <w:szCs w:val="18"/>
    </w:rPr>
  </w:style>
  <w:style w:type="paragraph" w:styleId="13">
    <w:name w:val="header"/>
    <w:basedOn w:val="1"/>
    <w:link w:val="44"/>
    <w:unhideWhenUsed/>
    <w:uiPriority w:val="99"/>
    <w:pPr>
      <w:tabs>
        <w:tab w:val="center" w:pos="4153"/>
        <w:tab w:val="right" w:pos="8306"/>
      </w:tabs>
      <w:snapToGrid w:val="0"/>
      <w:spacing w:line="240" w:lineRule="auto"/>
      <w:jc w:val="center"/>
    </w:pPr>
    <w:rPr>
      <w:sz w:val="18"/>
      <w:szCs w:val="18"/>
    </w:rPr>
  </w:style>
  <w:style w:type="paragraph" w:styleId="14">
    <w:name w:val="toc 1"/>
    <w:basedOn w:val="1"/>
    <w:next w:val="1"/>
    <w:autoRedefine/>
    <w:unhideWhenUsed/>
    <w:uiPriority w:val="39"/>
    <w:pPr>
      <w:spacing w:after="0" w:line="240" w:lineRule="auto"/>
      <w:jc w:val="both"/>
    </w:pPr>
    <w:rPr>
      <w:sz w:val="21"/>
      <w:szCs w:val="22"/>
      <w14:ligatures w14:val="none"/>
    </w:rPr>
  </w:style>
  <w:style w:type="paragraph" w:styleId="15">
    <w:name w:val="Subtitle"/>
    <w:basedOn w:val="1"/>
    <w:next w:val="1"/>
    <w:link w:val="36"/>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footnote text"/>
    <w:basedOn w:val="1"/>
    <w:link w:val="53"/>
    <w:unhideWhenUsed/>
    <w:qFormat/>
    <w:uiPriority w:val="99"/>
    <w:pPr>
      <w:snapToGrid w:val="0"/>
    </w:pPr>
    <w:rPr>
      <w:sz w:val="18"/>
      <w:szCs w:val="18"/>
    </w:rPr>
  </w:style>
  <w:style w:type="paragraph" w:styleId="17">
    <w:name w:val="toc 2"/>
    <w:basedOn w:val="1"/>
    <w:next w:val="1"/>
    <w:autoRedefine/>
    <w:unhideWhenUsed/>
    <w:uiPriority w:val="39"/>
    <w:pPr>
      <w:spacing w:after="0" w:line="240" w:lineRule="auto"/>
      <w:ind w:left="420" w:leftChars="200"/>
      <w:jc w:val="both"/>
    </w:pPr>
    <w:rPr>
      <w:sz w:val="21"/>
      <w:szCs w:val="22"/>
      <w14:ligatures w14:val="none"/>
    </w:rPr>
  </w:style>
  <w:style w:type="paragraph" w:styleId="18">
    <w:name w:val="Normal (Web)"/>
    <w:basedOn w:val="1"/>
    <w:semiHidden/>
    <w:unhideWhenUsed/>
    <w:uiPriority w:val="99"/>
    <w:rPr>
      <w:rFonts w:ascii="Times New Roman" w:hAnsi="Times New Roman" w:cs="Times New Roman"/>
      <w:sz w:val="24"/>
    </w:rPr>
  </w:style>
  <w:style w:type="paragraph" w:styleId="19">
    <w:name w:val="Title"/>
    <w:basedOn w:val="1"/>
    <w:next w:val="1"/>
    <w:link w:val="3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22">
    <w:name w:val="Strong"/>
    <w:basedOn w:val="21"/>
    <w:qFormat/>
    <w:uiPriority w:val="22"/>
    <w:rPr>
      <w:b/>
      <w:bCs/>
    </w:rPr>
  </w:style>
  <w:style w:type="character" w:styleId="23">
    <w:name w:val="FollowedHyperlink"/>
    <w:basedOn w:val="21"/>
    <w:semiHidden/>
    <w:unhideWhenUsed/>
    <w:uiPriority w:val="99"/>
    <w:rPr>
      <w:color w:val="954F72" w:themeColor="followedHyperlink"/>
      <w:u w:val="single"/>
      <w14:textFill>
        <w14:solidFill>
          <w14:schemeClr w14:val="folHlink"/>
        </w14:solidFill>
      </w14:textFill>
    </w:rPr>
  </w:style>
  <w:style w:type="character" w:styleId="24">
    <w:name w:val="Hyperlink"/>
    <w:basedOn w:val="21"/>
    <w:unhideWhenUsed/>
    <w:qFormat/>
    <w:uiPriority w:val="99"/>
    <w:rPr>
      <w:color w:val="0563C1" w:themeColor="hyperlink"/>
      <w:u w:val="single"/>
      <w14:textFill>
        <w14:solidFill>
          <w14:schemeClr w14:val="hlink"/>
        </w14:solidFill>
      </w14:textFill>
    </w:rPr>
  </w:style>
  <w:style w:type="character" w:styleId="25">
    <w:name w:val="footnote reference"/>
    <w:basedOn w:val="21"/>
    <w:unhideWhenUsed/>
    <w:qFormat/>
    <w:uiPriority w:val="99"/>
    <w:rPr>
      <w:vertAlign w:val="superscript"/>
    </w:rPr>
  </w:style>
  <w:style w:type="character" w:customStyle="1" w:styleId="26">
    <w:name w:val="标题 1 字符"/>
    <w:basedOn w:val="21"/>
    <w:link w:val="2"/>
    <w:uiPriority w:val="9"/>
    <w:rPr>
      <w:rFonts w:asciiTheme="majorHAnsi" w:hAnsiTheme="majorHAnsi" w:eastAsiaTheme="majorEastAsia" w:cstheme="majorBidi"/>
      <w:color w:val="2F5597" w:themeColor="accent1" w:themeShade="BF"/>
      <w:sz w:val="48"/>
      <w:szCs w:val="48"/>
    </w:rPr>
  </w:style>
  <w:style w:type="character" w:customStyle="1" w:styleId="27">
    <w:name w:val="标题 2 字符"/>
    <w:basedOn w:val="21"/>
    <w:link w:val="3"/>
    <w:uiPriority w:val="9"/>
    <w:rPr>
      <w:rFonts w:asciiTheme="majorHAnsi" w:hAnsiTheme="majorHAnsi" w:eastAsiaTheme="majorEastAsia" w:cstheme="majorBidi"/>
      <w:color w:val="2F5597" w:themeColor="accent1" w:themeShade="BF"/>
      <w:sz w:val="40"/>
      <w:szCs w:val="40"/>
    </w:rPr>
  </w:style>
  <w:style w:type="character" w:customStyle="1" w:styleId="28">
    <w:name w:val="标题 3 字符"/>
    <w:basedOn w:val="21"/>
    <w:link w:val="4"/>
    <w:semiHidden/>
    <w:uiPriority w:val="9"/>
    <w:rPr>
      <w:rFonts w:asciiTheme="majorHAnsi" w:hAnsiTheme="majorHAnsi" w:eastAsiaTheme="majorEastAsia" w:cstheme="majorBidi"/>
      <w:color w:val="2F5597" w:themeColor="accent1" w:themeShade="BF"/>
      <w:sz w:val="32"/>
      <w:szCs w:val="32"/>
    </w:rPr>
  </w:style>
  <w:style w:type="character" w:customStyle="1" w:styleId="29">
    <w:name w:val="标题 4 字符"/>
    <w:basedOn w:val="21"/>
    <w:link w:val="5"/>
    <w:semiHidden/>
    <w:uiPriority w:val="9"/>
    <w:rPr>
      <w:rFonts w:cstheme="majorBidi"/>
      <w:color w:val="2F5597" w:themeColor="accent1" w:themeShade="BF"/>
      <w:sz w:val="28"/>
      <w:szCs w:val="28"/>
    </w:rPr>
  </w:style>
  <w:style w:type="character" w:customStyle="1" w:styleId="30">
    <w:name w:val="标题 5 字符"/>
    <w:basedOn w:val="21"/>
    <w:link w:val="6"/>
    <w:semiHidden/>
    <w:uiPriority w:val="9"/>
    <w:rPr>
      <w:rFonts w:cstheme="majorBidi"/>
      <w:color w:val="2F5597" w:themeColor="accent1" w:themeShade="BF"/>
      <w:sz w:val="24"/>
    </w:rPr>
  </w:style>
  <w:style w:type="character" w:customStyle="1" w:styleId="31">
    <w:name w:val="标题 6 字符"/>
    <w:basedOn w:val="21"/>
    <w:link w:val="7"/>
    <w:semiHidden/>
    <w:uiPriority w:val="9"/>
    <w:rPr>
      <w:rFonts w:cstheme="majorBidi"/>
      <w:b/>
      <w:bCs/>
      <w:color w:val="2F5597" w:themeColor="accent1" w:themeShade="BF"/>
    </w:rPr>
  </w:style>
  <w:style w:type="character" w:customStyle="1" w:styleId="32">
    <w:name w:val="标题 7 字符"/>
    <w:basedOn w:val="21"/>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3">
    <w:name w:val="标题 8 字符"/>
    <w:basedOn w:val="21"/>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4">
    <w:name w:val="标题 9 字符"/>
    <w:basedOn w:val="21"/>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5">
    <w:name w:val="标题 字符"/>
    <w:basedOn w:val="21"/>
    <w:link w:val="19"/>
    <w:uiPriority w:val="10"/>
    <w:rPr>
      <w:rFonts w:asciiTheme="majorHAnsi" w:hAnsiTheme="majorHAnsi" w:eastAsiaTheme="majorEastAsia" w:cstheme="majorBidi"/>
      <w:spacing w:val="-10"/>
      <w:kern w:val="28"/>
      <w:sz w:val="56"/>
      <w:szCs w:val="56"/>
    </w:rPr>
  </w:style>
  <w:style w:type="character" w:customStyle="1" w:styleId="36">
    <w:name w:val="副标题 字符"/>
    <w:basedOn w:val="21"/>
    <w:link w:val="15"/>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7">
    <w:name w:val="Quote"/>
    <w:basedOn w:val="1"/>
    <w:next w:val="1"/>
    <w:link w:val="3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8">
    <w:name w:val="引用 字符"/>
    <w:basedOn w:val="21"/>
    <w:link w:val="37"/>
    <w:uiPriority w:val="29"/>
    <w:rPr>
      <w:i/>
      <w:iCs/>
      <w:color w:val="404040" w:themeColor="text1" w:themeTint="BF"/>
      <w14:textFill>
        <w14:solidFill>
          <w14:schemeClr w14:val="tx1">
            <w14:lumMod w14:val="75000"/>
            <w14:lumOff w14:val="25000"/>
          </w14:schemeClr>
        </w14:solidFill>
      </w14:textFill>
    </w:rPr>
  </w:style>
  <w:style w:type="paragraph" w:styleId="39">
    <w:name w:val="List Paragraph"/>
    <w:basedOn w:val="1"/>
    <w:qFormat/>
    <w:uiPriority w:val="34"/>
    <w:pPr>
      <w:ind w:left="720"/>
      <w:contextualSpacing/>
    </w:pPr>
  </w:style>
  <w:style w:type="character" w:customStyle="1" w:styleId="40">
    <w:name w:val="Intense Emphasis"/>
    <w:basedOn w:val="21"/>
    <w:qFormat/>
    <w:uiPriority w:val="21"/>
    <w:rPr>
      <w:i/>
      <w:iCs/>
      <w:color w:val="2F5597" w:themeColor="accent1" w:themeShade="BF"/>
    </w:rPr>
  </w:style>
  <w:style w:type="paragraph" w:styleId="41">
    <w:name w:val="Intense Quote"/>
    <w:basedOn w:val="1"/>
    <w:next w:val="1"/>
    <w:link w:val="4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2">
    <w:name w:val="明显引用 字符"/>
    <w:basedOn w:val="21"/>
    <w:link w:val="41"/>
    <w:uiPriority w:val="30"/>
    <w:rPr>
      <w:i/>
      <w:iCs/>
      <w:color w:val="2F5597" w:themeColor="accent1" w:themeShade="BF"/>
    </w:rPr>
  </w:style>
  <w:style w:type="character" w:customStyle="1" w:styleId="43">
    <w:name w:val="Intense Reference"/>
    <w:basedOn w:val="21"/>
    <w:qFormat/>
    <w:uiPriority w:val="32"/>
    <w:rPr>
      <w:b/>
      <w:bCs/>
      <w:smallCaps/>
      <w:color w:val="2F5597" w:themeColor="accent1" w:themeShade="BF"/>
      <w:spacing w:val="5"/>
    </w:rPr>
  </w:style>
  <w:style w:type="character" w:customStyle="1" w:styleId="44">
    <w:name w:val="页眉 字符"/>
    <w:basedOn w:val="21"/>
    <w:link w:val="13"/>
    <w:uiPriority w:val="99"/>
    <w:rPr>
      <w:sz w:val="18"/>
      <w:szCs w:val="18"/>
    </w:rPr>
  </w:style>
  <w:style w:type="character" w:customStyle="1" w:styleId="45">
    <w:name w:val="页脚 字符"/>
    <w:basedOn w:val="21"/>
    <w:link w:val="12"/>
    <w:uiPriority w:val="99"/>
    <w:rPr>
      <w:sz w:val="18"/>
      <w:szCs w:val="18"/>
    </w:rPr>
  </w:style>
  <w:style w:type="character" w:customStyle="1" w:styleId="46">
    <w:name w:val="Unresolved Mention"/>
    <w:basedOn w:val="21"/>
    <w:semiHidden/>
    <w:unhideWhenUsed/>
    <w:uiPriority w:val="99"/>
    <w:rPr>
      <w:color w:val="605E5C"/>
      <w:shd w:val="clear" w:color="auto" w:fill="E1DFDD"/>
    </w:rPr>
  </w:style>
  <w:style w:type="character" w:customStyle="1" w:styleId="47">
    <w:name w:val="日期 字符"/>
    <w:basedOn w:val="21"/>
    <w:link w:val="11"/>
    <w:semiHidden/>
    <w:uiPriority w:val="99"/>
  </w:style>
  <w:style w:type="paragraph" w:customStyle="1" w:styleId="48">
    <w:name w:val="创新药简报"/>
    <w:basedOn w:val="1"/>
    <w:link w:val="49"/>
    <w:qFormat/>
    <w:uiPriority w:val="0"/>
    <w:pPr>
      <w:widowControl/>
      <w:shd w:val="clear" w:color="auto" w:fill="FFFFFF"/>
      <w:spacing w:after="0" w:line="500" w:lineRule="exact"/>
      <w:ind w:firstLine="592" w:firstLineChars="200"/>
      <w:jc w:val="both"/>
    </w:pPr>
    <w:rPr>
      <w:rFonts w:ascii="Times New Roman" w:hAnsi="Times New Roman" w:eastAsia="仿宋" w:cs="Times New Roman"/>
      <w:color w:val="222222"/>
      <w:spacing w:val="8"/>
      <w:kern w:val="0"/>
      <w:sz w:val="28"/>
      <w:szCs w:val="28"/>
      <w14:ligatures w14:val="none"/>
    </w:rPr>
  </w:style>
  <w:style w:type="character" w:customStyle="1" w:styleId="49">
    <w:name w:val="创新药简报 字符"/>
    <w:basedOn w:val="21"/>
    <w:link w:val="48"/>
    <w:uiPriority w:val="0"/>
    <w:rPr>
      <w:rFonts w:ascii="Times New Roman" w:hAnsi="Times New Roman" w:eastAsia="仿宋" w:cs="Times New Roman"/>
      <w:color w:val="222222"/>
      <w:spacing w:val="8"/>
      <w:kern w:val="0"/>
      <w:sz w:val="28"/>
      <w:szCs w:val="28"/>
      <w:shd w:val="clear" w:color="auto" w:fill="FFFFFF"/>
      <w14:ligatures w14:val="none"/>
    </w:rPr>
  </w:style>
  <w:style w:type="paragraph" w:customStyle="1" w:styleId="50">
    <w:name w:val="创新药标题"/>
    <w:basedOn w:val="1"/>
    <w:link w:val="51"/>
    <w:qFormat/>
    <w:uiPriority w:val="0"/>
    <w:pPr>
      <w:keepNext/>
      <w:keepLines/>
      <w:spacing w:before="260" w:after="260" w:line="415" w:lineRule="auto"/>
      <w:jc w:val="center"/>
      <w:outlineLvl w:val="1"/>
    </w:pPr>
    <w:rPr>
      <w:rFonts w:ascii="Times New Roman" w:hAnsi="Times New Roman" w:eastAsia="黑体" w:cs="Times New Roman"/>
      <w:b/>
      <w:bCs/>
      <w:sz w:val="32"/>
      <w:szCs w:val="32"/>
      <w14:ligatures w14:val="none"/>
    </w:rPr>
  </w:style>
  <w:style w:type="character" w:customStyle="1" w:styleId="51">
    <w:name w:val="创新药标题 字符"/>
    <w:basedOn w:val="21"/>
    <w:link w:val="50"/>
    <w:uiPriority w:val="0"/>
    <w:rPr>
      <w:rFonts w:ascii="Times New Roman" w:hAnsi="Times New Roman" w:eastAsia="黑体" w:cs="Times New Roman"/>
      <w:b/>
      <w:bCs/>
      <w:sz w:val="32"/>
      <w:szCs w:val="32"/>
      <w14:ligatures w14:val="none"/>
    </w:rPr>
  </w:style>
  <w:style w:type="paragraph" w:customStyle="1" w:styleId="52">
    <w:name w:val="ds-markdown-paragraph"/>
    <w:basedOn w:val="1"/>
    <w:uiPriority w:val="0"/>
    <w:pPr>
      <w:widowControl/>
      <w:spacing w:before="100" w:beforeAutospacing="1" w:after="100" w:afterAutospacing="1" w:line="240" w:lineRule="auto"/>
    </w:pPr>
    <w:rPr>
      <w:rFonts w:ascii="宋体" w:hAnsi="宋体" w:eastAsia="宋体" w:cs="宋体"/>
      <w:kern w:val="0"/>
      <w:sz w:val="24"/>
      <w14:ligatures w14:val="none"/>
    </w:rPr>
  </w:style>
  <w:style w:type="character" w:customStyle="1" w:styleId="53">
    <w:name w:val="脚注文本 字符"/>
    <w:basedOn w:val="21"/>
    <w:link w:val="16"/>
    <w:qFormat/>
    <w:uiPriority w:val="99"/>
    <w:rPr>
      <w:sz w:val="18"/>
      <w:szCs w:val="18"/>
    </w:rPr>
  </w:style>
  <w:style w:type="paragraph" w:customStyle="1" w:styleId="54">
    <w:name w:val="发-生物标题"/>
    <w:basedOn w:val="4"/>
    <w:link w:val="55"/>
    <w:qFormat/>
    <w:uiPriority w:val="0"/>
    <w:pPr>
      <w:spacing w:before="260" w:after="260" w:line="415" w:lineRule="auto"/>
      <w:jc w:val="center"/>
    </w:pPr>
    <w:rPr>
      <w:rFonts w:ascii="Times New Roman" w:hAnsi="Times New Roman" w:eastAsia="黑体" w:cs="Times New Roman"/>
      <w:b/>
      <w:bCs/>
      <w14:ligatures w14:val="none"/>
    </w:rPr>
  </w:style>
  <w:style w:type="character" w:customStyle="1" w:styleId="55">
    <w:name w:val="发-生物标题 字符"/>
    <w:basedOn w:val="28"/>
    <w:link w:val="54"/>
    <w:uiPriority w:val="0"/>
    <w:rPr>
      <w:rFonts w:ascii="Times New Roman" w:hAnsi="Times New Roman" w:eastAsia="黑体" w:cs="Times New Roman"/>
      <w:b/>
      <w:bCs/>
      <w:color w:val="2F5597" w:themeColor="accent1" w:themeShade="BF"/>
      <w:sz w:val="32"/>
      <w:szCs w:val="32"/>
      <w14:ligatures w14:val="none"/>
    </w:rPr>
  </w:style>
  <w:style w:type="paragraph" w:customStyle="1" w:styleId="56">
    <w:name w:val="发改委生物"/>
    <w:basedOn w:val="18"/>
    <w:link w:val="57"/>
    <w:qFormat/>
    <w:uiPriority w:val="0"/>
    <w:pPr>
      <w:widowControl/>
      <w:shd w:val="clear" w:color="auto" w:fill="FFFFFF"/>
      <w:spacing w:after="0" w:line="500" w:lineRule="exact"/>
      <w:ind w:firstLine="200" w:firstLineChars="200"/>
      <w:jc w:val="both"/>
    </w:pPr>
    <w:rPr>
      <w:rFonts w:eastAsia="仿宋"/>
      <w:color w:val="222222"/>
      <w:spacing w:val="8"/>
      <w:kern w:val="0"/>
      <w:sz w:val="28"/>
      <w:szCs w:val="28"/>
      <w14:ligatures w14:val="none"/>
    </w:rPr>
  </w:style>
  <w:style w:type="character" w:customStyle="1" w:styleId="57">
    <w:name w:val="发改委生物 字符"/>
    <w:basedOn w:val="21"/>
    <w:link w:val="56"/>
    <w:uiPriority w:val="0"/>
    <w:rPr>
      <w:rFonts w:ascii="Times New Roman" w:hAnsi="Times New Roman" w:eastAsia="仿宋" w:cs="Times New Roman"/>
      <w:color w:val="222222"/>
      <w:spacing w:val="8"/>
      <w:kern w:val="0"/>
      <w:sz w:val="28"/>
      <w:szCs w:val="28"/>
      <w:shd w:val="clear" w:color="auto" w:fill="FFFFFF"/>
      <w14:ligatures w14:val="none"/>
    </w:rPr>
  </w:style>
  <w:style w:type="paragraph" w:customStyle="1" w:styleId="58">
    <w:name w:val="Revision"/>
    <w:hidden/>
    <w:semiHidden/>
    <w:uiPriority w:val="99"/>
    <w:pPr>
      <w:spacing w:after="0" w:line="240" w:lineRule="auto"/>
    </w:pPr>
    <w:rPr>
      <w:rFonts w:asciiTheme="minorHAnsi" w:hAnsiTheme="minorHAnsi" w:eastAsiaTheme="minorEastAsia" w:cstheme="minorBidi"/>
      <w:kern w:val="2"/>
      <w:sz w:val="22"/>
      <w:szCs w:val="24"/>
      <w:lang w:val="en-US" w:eastAsia="zh-CN" w:bidi="ar-SA"/>
      <w14:ligatures w14:val="standardContextual"/>
    </w:rPr>
  </w:style>
</w:styles>
</file>

<file path=word/_rels/document.xml.rels><?xml version="1.0" encoding="UTF-8"?><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Version="6"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7396361-2AE8-445B-A58A-6E08D655C644}">
  <ds:schemaRefs/>
</ds:datastoreItem>
</file>

<file path=docProps/app.xml><?xml version="1.0" encoding="utf-8"?>
<Properties xmlns="http://schemas.openxmlformats.org/officeDocument/2006/extended-properties" xmlns:vt="http://schemas.openxmlformats.org/officeDocument/2006/docPropsVTypes">
  <Template>Normal</Template>
  <Pages>12</Pages>
  <Words>2532</Words>
  <Characters>3192</Characters>
  <Lines>122</Lines>
  <Paragraphs>78</Paragraphs>
  <TotalTime>2</TotalTime>
  <ScaleCrop>false</ScaleCrop>
  <LinksUpToDate>false</LinksUpToDate>
  <CharactersWithSpaces>5646</CharactersWithSpaces>
  <Application>WPS Office_7.5.1.8994_F1E327BC-269C-435d-A152-05C5408002CA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2025-08-31T17:23:00Z</dcterms:created>
  <dc:creator>丽雪 邹</dc:creator>
  <cp:lastModifiedBy>WPS_1633742157</cp:lastModifiedBy>
  <cp:lastPrinted>2025-11-04T16:45:00Z</cp:lastPrinted>
  <dcterms:modified xsi:type="dcterms:W3CDTF">2026-02-13T18:21:32Z</dcterms:modified>
  <cp:revision>97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2052-7.5.1.8994</vt:lpwstr>
  </property>
  <property fmtid="{D5CDD505-2E9C-101B-9397-08002B2CF9AE}" pid="3" name="ICV">
    <vt:lpwstr>F9F57C4316B3314D4C9B8E698D031038_43</vt:lpwstr>
  </property>
</Properties>
</file>