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瑞士英国培育跨国药企的制度经验"/>
    <w:p>
      <w:pPr>
        <w:pStyle w:val="Heading1"/>
      </w:pPr>
      <w:r>
        <w:rPr>
          <w:rFonts w:hint="eastAsia"/>
        </w:rPr>
        <w:t xml:space="preserve">瑞士、英国培育跨国药企的制度经验</w:t>
      </w:r>
    </w:p>
    <w:p>
      <w:pPr>
        <w:pStyle w:val="FirstParagraph"/>
      </w:pPr>
      <w:r>
        <w:rPr>
          <w:rFonts w:hint="eastAsia"/>
        </w:rPr>
        <w:t xml:space="preserve">培育本土跨国医药企业是一个跨越百余年的历史过程。本部分选取瑞士与英国两个样本：瑞士本土市场规模极小，生命科学产业约98%的营业额来自海外</w:t>
      </w:r>
      <w:r>
        <w:rPr>
          <w:rStyle w:val="FootnoteReference"/>
        </w:rPr>
        <w:footnoteReference w:id="9"/>
      </w:r>
      <w:r>
        <w:rPr>
          <w:rFonts w:hint="eastAsia"/>
        </w:rPr>
        <w:t xml:space="preserve">，其跨国药企完全依托制度信誉与要素开放成长，回答的是“在缺乏市场规模优势的条件下如何培育跨国药企”；英国在基础研究、临床试验和监管制度三方面长期处于国际前列，却在支付水平与本土资本供给上存在结构性短板，2025年至2026年出现跨国药企集中暂停在英投资的情况，回答的是“产业培育在何处会失效”。两国的经验与教训，对处于“大市场、相对低价”组合中的我国具有不同方向的参考价值。</w:t>
      </w:r>
    </w:p>
    <w:p>
      <w:pPr>
        <w:pStyle w:val="BodyText"/>
      </w:pPr>
      <w:r>
        <w:rPr>
          <w:rFonts w:hint="eastAsia"/>
        </w:rPr>
        <w:t xml:space="preserve">每一国按五个方面展开：全球产业地位、发展历程、产业优势、发展模式、成功要素与制约因素。2025年我国生物医药对外授权交易规模约1377亿美元，创历史新高，中国大陆资产占全球生物医药交易的比重从2020年的5%升至2025年上半年的32%</w:t>
      </w:r>
      <w:r>
        <w:rPr>
          <w:rStyle w:val="FootnoteReference"/>
        </w:rPr>
        <w:footnoteReference w:id="10"/>
      </w:r>
      <w:r>
        <w:rPr>
          <w:rStyle w:val="FootnoteReference"/>
        </w:rPr>
        <w:footnoteReference w:id="11"/>
      </w:r>
      <w:r>
        <w:rPr>
          <w:rFonts w:hint="eastAsia"/>
        </w:rPr>
        <w:t xml:space="preserve">，这表明我国的创新资产已获得国际认可，但企业自身尚未成为被全球采信的跨国主体。从对外授权走向自主的全球注册与商业化，正是本部分梳理两国经验的现实出发点。数据截至2026年8月，未完成交叉验证的内容列入附件二。</w:t>
      </w:r>
    </w:p>
    <w:bookmarkStart w:id="54" w:name="一瑞士培育跨国药企的制度经验"/>
    <w:p>
      <w:pPr>
        <w:pStyle w:val="Heading2"/>
      </w:pPr>
      <w:r>
        <w:rPr>
          <w:rFonts w:hint="eastAsia"/>
        </w:rPr>
        <w:t xml:space="preserve">一、瑞士培育跨国药企的制度经验</w:t>
      </w:r>
    </w:p>
    <w:bookmarkStart w:id="18" w:name="一全球产业地位"/>
    <w:p>
      <w:pPr>
        <w:pStyle w:val="Heading3"/>
      </w:pPr>
      <w:r>
        <w:rPr>
          <w:rFonts w:hint="eastAsia"/>
        </w:rPr>
        <w:t xml:space="preserve">（一）全球产业地位</w:t>
      </w:r>
    </w:p>
    <w:p>
      <w:pPr>
        <w:pStyle w:val="FirstParagraph"/>
      </w:pPr>
      <w:r>
        <w:rPr>
          <w:rFonts w:hint="eastAsia"/>
        </w:rPr>
        <w:t xml:space="preserve">2025年，瑞士化学—制药—生命科学产业出口额达1521亿瑞郎，同比增长2.2%，占全国出口总额的比重超过52%；其中药品出口1184亿瑞郎，占剔除黄金后出口总额的41.3%</w:t>
      </w:r>
      <w:r>
        <w:rPr>
          <w:rStyle w:val="FootnoteReference"/>
        </w:rPr>
        <w:footnoteReference w:id="12"/>
      </w:r>
      <w:r>
        <w:rPr>
          <w:rFonts w:hint="eastAsia"/>
        </w:rPr>
        <w:t xml:space="preserve">。2025年瑞士生物技术板块收入75亿瑞郎，全职雇员超过2.1万人，全年融资26亿瑞郎，其中未上市企业融资11.5亿瑞郎创历史新高</w:t>
      </w:r>
      <w:r>
        <w:rPr>
          <w:rStyle w:val="FootnoteReference"/>
        </w:rPr>
        <w:footnoteReference w:id="13"/>
      </w:r>
      <w:r>
        <w:rPr>
          <w:rFonts w:hint="eastAsia"/>
        </w:rPr>
        <w:t xml:space="preserve">。罗氏、诺华持续位居全球企业研发投入前列，罗氏2025年研发投入约133.5亿瑞郎</w:t>
      </w:r>
      <w:r>
        <w:rPr>
          <w:rStyle w:val="FootnoteReference"/>
        </w:rPr>
        <w:footnoteReference w:id="14"/>
      </w:r>
      <w:r>
        <w:rPr>
          <w:rStyle w:val="FootnoteReference"/>
        </w:rPr>
        <w:footnoteReference w:id="15"/>
      </w:r>
      <w:r>
        <w:rPr>
          <w:rFonts w:hint="eastAsia"/>
        </w:rPr>
        <w:t xml:space="preserve">。瑞士连续15年位居世界知识产权组织全球创新指数第一位</w:t>
      </w:r>
      <w:r>
        <w:rPr>
          <w:rStyle w:val="FootnoteReference"/>
        </w:rPr>
        <w:footnoteReference w:id="16"/>
      </w:r>
      <w:r>
        <w:rPr>
          <w:rFonts w:hint="eastAsia"/>
        </w:rPr>
        <w:t xml:space="preserve">。瑞士治疗产品管理局于2023年10月30日成为全球首批世界卫生组织列名监管机构之一，是其国际地位的又一重要标志</w:t>
      </w:r>
      <w:r>
        <w:rPr>
          <w:rStyle w:val="FootnoteReference"/>
        </w:rPr>
        <w:footnoteReference w:id="17"/>
      </w:r>
      <w:r>
        <w:t xml:space="preserve">。</w:t>
      </w:r>
    </w:p>
    <w:bookmarkEnd w:id="18"/>
    <w:bookmarkStart w:id="38" w:name="二发展历程"/>
    <w:p>
      <w:pPr>
        <w:pStyle w:val="Heading3"/>
      </w:pPr>
      <w:r>
        <w:rPr>
          <w:rFonts w:hint="eastAsia"/>
        </w:rPr>
        <w:t xml:space="preserve">（二）发展历程</w:t>
      </w:r>
    </w:p>
    <w:p>
      <w:pPr>
        <w:pStyle w:val="FirstParagraph"/>
      </w:pPr>
      <w:r>
        <w:rPr>
          <w:rFonts w:hint="eastAsia"/>
        </w:rPr>
        <w:t xml:space="preserve">瑞士制药业的百余年演进可划分为四个阶段，各阶段产业链的主导环节持续转移。</w:t>
      </w:r>
    </w:p>
    <w:p>
      <w:pPr>
        <w:pStyle w:val="BodyText"/>
      </w:pPr>
      <w:r>
        <w:rPr>
          <w:b/>
          <w:bCs/>
        </w:rPr>
        <w:t xml:space="preserve">1. </w:t>
      </w:r>
      <w:r>
        <w:rPr>
          <w:rFonts w:hint="eastAsia"/>
          <w:b/>
          <w:bCs/>
        </w:rPr>
        <w:t xml:space="preserve">萌芽期（19世纪中叶—20世纪30年代）：巴塞尔染料工业外溢</w:t>
      </w:r>
    </w:p>
    <w:p>
      <w:pPr>
        <w:pStyle w:val="BodyText"/>
      </w:pPr>
      <w:r>
        <w:rPr>
          <w:rFonts w:hint="eastAsia"/>
        </w:rPr>
        <w:t xml:space="preserve">药品尚未形成独立产业，是化工产业的下游延伸，既无独立研发组织，也无政府审批环节。1758年，盖基在巴塞尔开始经营“各类材料、化学品、染料和药物”；1859年，克拉韦尔在巴塞尔的丝绸染色工厂开始生产品红染料，其企业几经改组，1945年正式启用汽巴之名；1886年，山德士的前身克恩与山德士公司在巴塞尔成立；1896年，罗氏创立，成为巴塞尔第一家专注于药品的企业</w:t>
      </w:r>
      <w:r>
        <w:rPr>
          <w:rStyle w:val="FootnoteReference"/>
        </w:rPr>
        <w:footnoteReference w:id="19"/>
      </w:r>
      <w:r>
        <w:rPr>
          <w:rStyle w:val="FootnoteReference"/>
        </w:rPr>
        <w:footnoteReference w:id="20"/>
      </w:r>
      <w:r>
        <w:rPr>
          <w:rFonts w:hint="eastAsia"/>
        </w:rPr>
        <w:t xml:space="preserve">。1918年，三家企业组成利益共同体“巴塞尔联合体”</w:t>
      </w:r>
      <w:r>
        <w:rPr>
          <w:rStyle w:val="FootnoteReference"/>
        </w:rPr>
        <w:footnoteReference w:id="21"/>
      </w:r>
      <w:r>
        <w:rPr>
          <w:rFonts w:hint="eastAsia"/>
        </w:rPr>
        <w:t xml:space="preserve">。最具决定意义的制度安排是专利制度的缺位：1907年之前，瑞士法律不对化学品、药品和染料授予专利，巴塞尔企业得以合法仿制德国和法国的产品；1907年在德国压力下才将化学品纳入专利保护，且药品的物质专利迟至1976年才被采纳、1978年生效</w:t>
      </w:r>
      <w:r>
        <w:rPr>
          <w:rStyle w:val="FootnoteReference"/>
        </w:rPr>
        <w:footnoteReference w:id="22"/>
      </w:r>
      <w:r>
        <w:rPr>
          <w:rStyle w:val="FootnoteReference"/>
        </w:rPr>
        <w:footnoteReference w:id="23"/>
      </w:r>
      <w:r>
        <w:rPr>
          <w:rFonts w:hint="eastAsia"/>
        </w:rPr>
        <w:t xml:space="preserve">。1900年，各州联合设立州际药品管制机构，承担药品管制职能直至2002年由联邦层面的瑞士治疗产品管理局接替</w:t>
      </w:r>
      <w:r>
        <w:rPr>
          <w:rStyle w:val="FootnoteReference"/>
        </w:rPr>
        <w:footnoteReference w:id="24"/>
      </w:r>
      <w:r>
        <w:t xml:space="preserve">。</w:t>
      </w:r>
    </w:p>
    <w:p>
      <w:pPr>
        <w:pStyle w:val="BodyText"/>
      </w:pPr>
      <w:r>
        <w:rPr>
          <w:b/>
          <w:bCs/>
        </w:rPr>
        <w:t xml:space="preserve">2. </w:t>
      </w:r>
      <w:r>
        <w:rPr>
          <w:rFonts w:hint="eastAsia"/>
          <w:b/>
          <w:bCs/>
        </w:rPr>
        <w:t xml:space="preserve">成长期（20世纪40—70年代）：维生素与精神药物时代</w:t>
      </w:r>
    </w:p>
    <w:p>
      <w:pPr>
        <w:pStyle w:val="BodyText"/>
      </w:pPr>
      <w:r>
        <w:rPr>
          <w:rFonts w:hint="eastAsia"/>
        </w:rPr>
        <w:t xml:space="preserve">合成化学与发酵工艺的成熟使研发取代生产成为产业链的主导环节。1934年，罗氏成为全球第一家大规模生产合成维生素C的企业</w:t>
      </w:r>
      <w:r>
        <w:rPr>
          <w:rStyle w:val="FootnoteReference"/>
        </w:rPr>
        <w:footnoteReference w:id="25"/>
      </w:r>
      <w:r>
        <w:rPr>
          <w:rFonts w:hint="eastAsia"/>
        </w:rPr>
        <w:t xml:space="preserve">；山德士在麦角生物碱领域建立优势，霍夫曼自1935年起在此基础上开发出一系列药物</w:t>
      </w:r>
      <w:r>
        <w:rPr>
          <w:rStyle w:val="FootnoteReference"/>
        </w:rPr>
        <w:footnoteReference w:id="26"/>
      </w:r>
      <w:r>
        <w:rPr>
          <w:rFonts w:hint="eastAsia"/>
        </w:rPr>
        <w:t xml:space="preserve">；1955年，罗氏化学家施特恩巴赫发现第一个苯二氮䓬类化合物，1960年以利眠宁上市、1963年安定上市，至20世纪70年代成为全球处方量最大的药物</w:t>
      </w:r>
      <w:r>
        <w:rPr>
          <w:rStyle w:val="FootnoteReference"/>
        </w:rPr>
        <w:footnoteReference w:id="27"/>
      </w:r>
      <w:r>
        <w:rPr>
          <w:rFonts w:hint="eastAsia"/>
        </w:rPr>
        <w:t xml:space="preserve">；1970年，汽巴与盖基合并为汽巴-嘉基</w:t>
      </w:r>
      <w:r>
        <w:rPr>
          <w:rStyle w:val="FootnoteReference"/>
        </w:rPr>
        <w:footnoteReference w:id="28"/>
      </w:r>
      <w:r>
        <w:rPr>
          <w:rFonts w:hint="eastAsia"/>
        </w:rPr>
        <w:t xml:space="preserve">。这一阶段瑞士仍未实行药品物质专利，企业竞争优势来自工艺创新与人才积累而非专利独占——瑞士的原创能力形成于专利保护建立之前约四十年。</w:t>
      </w:r>
    </w:p>
    <w:p>
      <w:pPr>
        <w:pStyle w:val="BodyText"/>
      </w:pPr>
      <w:r>
        <w:rPr>
          <w:b/>
          <w:bCs/>
        </w:rPr>
        <w:t xml:space="preserve">3. </w:t>
      </w:r>
      <w:r>
        <w:rPr>
          <w:rFonts w:hint="eastAsia"/>
          <w:b/>
          <w:bCs/>
        </w:rPr>
        <w:t xml:space="preserve">扩张期（20世纪80年代—21世纪初）：并购重组与身份转型</w:t>
      </w:r>
    </w:p>
    <w:p>
      <w:pPr>
        <w:pStyle w:val="BodyText"/>
      </w:pPr>
      <w:r>
        <w:rPr>
          <w:rFonts w:hint="eastAsia"/>
        </w:rPr>
        <w:t xml:space="preserve">研发—临床—注册—商业化的跨国分工成型，注册与市场准入成为主导环节。1996年3月，汽巴-嘉基与山德士合并成立诺华</w:t>
      </w:r>
      <w:r>
        <w:rPr>
          <w:rStyle w:val="FootnoteReference"/>
        </w:rPr>
        <w:footnoteReference w:id="29"/>
      </w:r>
      <w:r>
        <w:rPr>
          <w:rFonts w:hint="eastAsia"/>
        </w:rPr>
        <w:t xml:space="preserve">；罗氏于1990年9月收购美国生物技术公司基因泰克约60%的股份，2009年3月以468亿美元完成全资收购</w:t>
      </w:r>
      <w:r>
        <w:rPr>
          <w:rStyle w:val="FootnoteReference"/>
        </w:rPr>
        <w:footnoteReference w:id="30"/>
      </w:r>
      <w:r>
        <w:rPr>
          <w:rFonts w:hint="eastAsia"/>
        </w:rPr>
        <w:t xml:space="preserve">。两家企业由此从多元化化工集团转型为专注于医药与诊断的生命科学企业。人用药品技术要求国际协调会议推动各国申报资料标准趋同，1978年生效的物质专利制度支撑企业以专利独占期回收研发投入，稳定的州级税制与开放的跨境人员流动维持了巴塞尔的全球总部功能。</w:t>
      </w:r>
    </w:p>
    <w:p>
      <w:pPr>
        <w:pStyle w:val="BodyText"/>
      </w:pPr>
      <w:r>
        <w:rPr>
          <w:b/>
          <w:bCs/>
        </w:rPr>
        <w:t xml:space="preserve">4. </w:t>
      </w:r>
      <w:r>
        <w:rPr>
          <w:rFonts w:hint="eastAsia"/>
          <w:b/>
          <w:bCs/>
        </w:rPr>
        <w:t xml:space="preserve">成熟期（21世纪10年代至今）：全球布局深化与地缘冲击应对</w:t>
      </w:r>
    </w:p>
    <w:p>
      <w:pPr>
        <w:pStyle w:val="BodyText"/>
      </w:pPr>
      <w:r>
        <w:rPr>
          <w:rFonts w:hint="eastAsia"/>
        </w:rPr>
        <w:t xml:space="preserve">企业自研在管线中的比重下降，产业链的价值分配向掌握全球注册通道和支付准入的一端集中。诺华通过分拆爱尔康（2019年）和山德士（2023年）进一步聚焦创新药业务</w:t>
      </w:r>
      <w:r>
        <w:rPr>
          <w:rStyle w:val="FootnoteReference"/>
        </w:rPr>
        <w:footnoteReference w:id="31"/>
      </w:r>
      <w:r>
        <w:rPr>
          <w:rStyle w:val="FootnoteReference"/>
        </w:rPr>
        <w:footnoteReference w:id="32"/>
      </w:r>
      <w:r>
        <w:rPr>
          <w:rFonts w:hint="eastAsia"/>
        </w:rPr>
        <w:t xml:space="preserve">。2025年8月，美国对瑞士输美商品加征39%关税，同年11月降至15%，药品适用该上限；作为一揽子安排，罗氏承诺在美投资500亿美元、诺华承诺230亿美元</w:t>
      </w:r>
      <w:r>
        <w:rPr>
          <w:rStyle w:val="FootnoteReference"/>
        </w:rPr>
        <w:footnoteReference w:id="33"/>
      </w:r>
      <w:r>
        <w:rPr>
          <w:rStyle w:val="FootnoteReference"/>
        </w:rPr>
        <w:footnoteReference w:id="34"/>
      </w:r>
      <w:r>
        <w:rPr>
          <w:rFonts w:hint="eastAsia"/>
        </w:rPr>
        <w:t xml:space="preserve">。这一阶段最具特色的制度供给是注册认证环节的国际化：瑞士治疗产品管理局的依赖机制分三个层次——国家层面依据《治疗产品法》第13条对境外已获批准产品简化审评，区域层面参与由澳大利亚、加拿大、新加坡、瑞士、英国五国监管机构组成的Access联盟，全球层面开展国际药品监管机构联盟合作</w:t>
      </w:r>
      <w:r>
        <w:rPr>
          <w:rStyle w:val="FootnoteReference"/>
        </w:rPr>
        <w:footnoteReference w:id="35"/>
      </w:r>
      <w:r>
        <w:rPr>
          <w:rFonts w:hint="eastAsia"/>
        </w:rPr>
        <w:t xml:space="preserve">；全球健康产品上市许可程序邀请乌干达、肯尼亚、坦桑尼亚、南苏丹、尼日利亚、刚果（金）、埃塞俄比亚等国专家全程参与审评，首个产品于2020年5月14日获批</w:t>
      </w:r>
      <w:r>
        <w:rPr>
          <w:rStyle w:val="FootnoteReference"/>
        </w:rPr>
        <w:footnoteReference w:id="36"/>
      </w:r>
      <w:r>
        <w:rPr>
          <w:rStyle w:val="FootnoteReference"/>
        </w:rPr>
        <w:footnoteReference w:id="37"/>
      </w:r>
      <w:r>
        <w:t xml:space="preserve">。</w:t>
      </w:r>
    </w:p>
    <w:bookmarkEnd w:id="38"/>
    <w:bookmarkStart w:id="43" w:name="三产业优势"/>
    <w:p>
      <w:pPr>
        <w:pStyle w:val="Heading3"/>
      </w:pPr>
      <w:r>
        <w:rPr>
          <w:rFonts w:hint="eastAsia"/>
        </w:rPr>
        <w:t xml:space="preserve">（三）产业优势</w:t>
      </w:r>
    </w:p>
    <w:p>
      <w:pPr>
        <w:pStyle w:val="FirstParagraph"/>
      </w:pPr>
      <w:r>
        <w:rPr>
          <w:rFonts w:hint="eastAsia"/>
        </w:rPr>
        <w:t xml:space="preserve">瑞士当前的核心竞争力体现在四个方面。一是监管信誉的国际输出能力：治疗产品管理局约83%的经费来自收费与监管费，审评能力可随申报量同步扩张</w:t>
      </w:r>
      <w:r>
        <w:rPr>
          <w:rStyle w:val="FootnoteReference"/>
        </w:rPr>
        <w:footnoteReference w:id="39"/>
      </w:r>
      <w:r>
        <w:rPr>
          <w:rFonts w:hint="eastAsia"/>
        </w:rPr>
        <w:t xml:space="preserve">；全职能列名世界卫生组织监管机构叠加三层依赖机制与全球健康产品程序，使一个中等规模经济体的审评结论在全球范围内被采信。二是高度开放的人才供给：化学、制药与生物技术产业从业人员中约45%为外籍，巴塞尔市外籍人口占比达39.2%</w:t>
      </w:r>
      <w:r>
        <w:rPr>
          <w:rStyle w:val="FootnoteReference"/>
        </w:rPr>
        <w:footnoteReference w:id="40"/>
      </w:r>
      <w:r>
        <w:rPr>
          <w:rFonts w:hint="eastAsia"/>
        </w:rPr>
        <w:t xml:space="preserve">。三是集群创新能力：巴塞尔聚集了罗氏、诺华两家全球研发投入前列的企业，叠加苏黎世联邦理工学院、洛桑联邦理工学院为核心的公共科研体系。四是要素与税制环境：2020年生效的税改以符合经济合作与发展组织标准的普惠工具替代原有特惠税制，州级专利盒对合格知识产权收入最高减免90%，研发加计扣除最高按150%计</w:t>
      </w:r>
      <w:r>
        <w:rPr>
          <w:rStyle w:val="FootnoteReference"/>
        </w:rPr>
        <w:footnoteReference w:id="41"/>
      </w:r>
      <w:r>
        <w:rPr>
          <w:rFonts w:hint="eastAsia"/>
        </w:rPr>
        <w:t xml:space="preserve">；2025年11月，瑞士与欧盟签署协议恢复对“地平线欧洲”的联系国身份，追溯至2025年1月1日生效</w:t>
      </w:r>
      <w:r>
        <w:rPr>
          <w:rStyle w:val="FootnoteReference"/>
        </w:rPr>
        <w:footnoteReference w:id="42"/>
      </w:r>
      <w:r>
        <w:t xml:space="preserve">。</w:t>
      </w:r>
    </w:p>
    <w:bookmarkEnd w:id="43"/>
    <w:bookmarkStart w:id="49" w:name="四发展模式"/>
    <w:p>
      <w:pPr>
        <w:pStyle w:val="Heading3"/>
      </w:pPr>
      <w:r>
        <w:rPr>
          <w:rFonts w:hint="eastAsia"/>
        </w:rPr>
        <w:t xml:space="preserve">（四）发展模式</w:t>
      </w:r>
    </w:p>
    <w:p>
      <w:pPr>
        <w:pStyle w:val="FirstParagraph"/>
      </w:pPr>
      <w:r>
        <w:rPr>
          <w:rFonts w:hint="eastAsia"/>
        </w:rPr>
        <w:t xml:space="preserve">瑞士的产业培育呈现“小国被迫全球化、以监管信誉换取全球市场”的模式，其运行逻辑分三层。第一层是起点条件：本国市场无法支撑生产规模，出口从萌芽期起就不是发展到一定阶段后的选择，而是生存条件；1907年前的专利缺位又使企业得以合法学习先进技术，为后续原创能力的形成提供了积累期。第二层是能力转换：创新能力的形成先于专利保护制度的建立，说明研发组织与人才积累比制度保护更为基础，这与依赖专利保护倒逼创新的路径不同。第三层是全球化的实现方式：瑞士并不依靠本土市场规模或价格补贴培育企业，而是由国家提供两类可携带的国际公共品——监管信誉（列名监管机构资格、依赖机制、参与式审评）和要素开放（资本、人才、科研网络的跨境流动），并以瑞士全球企业（约45个国家设有商务中心）与swissnex科教创新网络（波士顿、旧金山、班加罗尔、里约热内卢、上海五地）两个体系承接企业出海的具体服务需求</w:t>
      </w:r>
      <w:r>
        <w:rPr>
          <w:rStyle w:val="FootnoteReference"/>
        </w:rPr>
        <w:footnoteReference w:id="44"/>
      </w:r>
      <w:r>
        <w:rPr>
          <w:rStyle w:val="FootnoteReference"/>
        </w:rPr>
        <w:footnoteReference w:id="45"/>
      </w:r>
      <w:r>
        <w:rPr>
          <w:rFonts w:hint="eastAsia"/>
        </w:rPr>
        <w:t xml:space="preserve">。贸易协定网络是这一模式的制度基础：中瑞两国于2026年8月20日在伯尔尼宣布完成自贸协定升级谈判并签署谅解备忘录，中期内将取消瑞士对华出口商品中99.8%的关税，协定生效时77.5%的出口即可实现零关税，协定文本正在履行法律核校程序，预计年内正式签署</w:t>
      </w:r>
      <w:r>
        <w:rPr>
          <w:rStyle w:val="FootnoteReference"/>
        </w:rPr>
        <w:footnoteReference w:id="46"/>
      </w:r>
      <w:r>
        <w:rPr>
          <w:rStyle w:val="FootnoteReference"/>
        </w:rPr>
        <w:footnoteReference w:id="47"/>
      </w:r>
      <w:r>
        <w:rPr>
          <w:rFonts w:hint="eastAsia"/>
        </w:rPr>
        <w:t xml:space="preserve">。药品定价方面，专科目录定价依据国外价格比较与疗法交叉比较两项法定标准，瑞士药价长期处于国际高位，与本土患者规模小、高价对基金影响可控的特点自洽，并在多国国际参考定价网络中起到高位锚定作用</w:t>
      </w:r>
      <w:r>
        <w:rPr>
          <w:rStyle w:val="FootnoteReference"/>
        </w:rPr>
        <w:footnoteReference w:id="48"/>
      </w:r>
      <w:r>
        <w:rPr>
          <w:rFonts w:hint="eastAsia"/>
        </w:rPr>
        <w:t xml:space="preserve">——这一做法以极小的本土市场为前提，规模较大的经济体不具备复制条件。</w:t>
      </w:r>
    </w:p>
    <w:bookmarkEnd w:id="49"/>
    <w:bookmarkStart w:id="53" w:name="五成功要素与制约因素"/>
    <w:p>
      <w:pPr>
        <w:pStyle w:val="Heading3"/>
      </w:pPr>
      <w:r>
        <w:rPr>
          <w:rFonts w:hint="eastAsia"/>
        </w:rPr>
        <w:t xml:space="preserve">（五）成功要素与制约因素</w:t>
      </w:r>
    </w:p>
    <w:p>
      <w:pPr>
        <w:pStyle w:val="FirstParagraph"/>
      </w:pPr>
      <w:r>
        <w:rPr>
          <w:b/>
          <w:bCs/>
        </w:rPr>
        <w:t xml:space="preserve">1. </w:t>
      </w:r>
      <w:r>
        <w:rPr>
          <w:rFonts w:hint="eastAsia"/>
          <w:b/>
          <w:bCs/>
        </w:rPr>
        <w:t xml:space="preserve">成功要素</w:t>
      </w:r>
    </w:p>
    <w:p>
      <w:pPr>
        <w:pStyle w:val="BodyText"/>
      </w:pPr>
      <w:r>
        <w:rPr>
          <w:rFonts w:hint="eastAsia"/>
        </w:rPr>
        <w:t xml:space="preserve">一是外向型基因形成于萌芽期，源于本土市场过小这一约束条件，而非后期的战略选择。二是创新能力的形成先于专利保护的建立，说明研发组织与人才积累比制度保护更为基础。三是以监管信誉换取全球影响力，通过列名监管机构资格、依赖机制和参与式审评，使中等规模经济体的审评结论在全球范围内被采信。四是要素高度开放，包括人才、资本与科研网络的跨境流动。</w:t>
      </w:r>
    </w:p>
    <w:p>
      <w:pPr>
        <w:pStyle w:val="BodyText"/>
      </w:pPr>
      <w:r>
        <w:rPr>
          <w:b/>
          <w:bCs/>
        </w:rPr>
        <w:t xml:space="preserve">2. </w:t>
      </w:r>
      <w:r>
        <w:rPr>
          <w:rFonts w:hint="eastAsia"/>
          <w:b/>
          <w:bCs/>
        </w:rPr>
        <w:t xml:space="preserve">制约因素</w:t>
      </w:r>
    </w:p>
    <w:p>
      <w:pPr>
        <w:pStyle w:val="BodyText"/>
      </w:pPr>
      <w:r>
        <w:rPr>
          <w:rFonts w:hint="eastAsia"/>
        </w:rPr>
        <w:t xml:space="preserve">一是高价格锚定策略以极小的本土市场为前提，规模较大的经济体不具备复制条件。二是要素开放依赖政治共识：2026年6月14日限制常住人口至2050年不超过1000万的倡议以反对54.79%、赞成45.21%被否决</w:t>
      </w:r>
      <w:r>
        <w:rPr>
          <w:rStyle w:val="FootnoteReference"/>
        </w:rPr>
        <w:footnoteReference w:id="50"/>
      </w:r>
      <w:r>
        <w:rPr>
          <w:rStyle w:val="FootnoteReference"/>
        </w:rPr>
        <w:footnoteReference w:id="51"/>
      </w:r>
      <w:r>
        <w:rPr>
          <w:rFonts w:hint="eastAsia"/>
        </w:rPr>
        <w:t xml:space="preserve">，45.21%的支持率显示这一共识并不稳固。三是对单一海外市场的过度依赖，使产业成功在地缘博弈中转化为谈判被动——当企业营业收入高度集中于美国市场时，产业优势会在国家间谈判中转化为被动。四是全球最低税自2024年起实施后，专利盒等税基减免工具对大型集团的效果被补足税抵消，政策竞争被迫转向成本更高的支出侧</w:t>
      </w:r>
      <w:r>
        <w:rPr>
          <w:rStyle w:val="FootnoteReference"/>
        </w:rPr>
        <w:footnoteReference w:id="52"/>
      </w:r>
      <w:r>
        <w:t xml:space="preserve">。</w:t>
      </w:r>
    </w:p>
    <w:p>
      <w:pPr>
        <w:pStyle w:val="BodyText"/>
      </w:pPr>
      <w:r>
        <w:rPr>
          <w:b/>
          <w:bCs/>
        </w:rPr>
        <w:t xml:space="preserve">3. </w:t>
      </w:r>
      <w:r>
        <w:rPr>
          <w:rFonts w:hint="eastAsia"/>
          <w:b/>
          <w:bCs/>
        </w:rPr>
        <w:t xml:space="preserve">对我国的启示</w:t>
      </w:r>
    </w:p>
    <w:p>
      <w:pPr>
        <w:pStyle w:val="BodyText"/>
      </w:pPr>
      <w:r>
        <w:rPr>
          <w:rFonts w:hint="eastAsia"/>
        </w:rPr>
        <w:t xml:space="preserve">最具可操作性的是注册认证环节：一方面推动国家药品监督管理局申请世界卫生组织列名监管机构资格，另一方面设立面向全球南方国家的参与式审评通道，以本国审评资源提供国际公共品，同时使本国审评结论成为相关国家的事实标准。萌芽期的经验则提示，从仿制到创新的转换主要取决于研发组织与人才积累的速度，知识产权保护的强化应与本土原创能力的形成相匹配。</w:t>
      </w:r>
    </w:p>
    <w:bookmarkEnd w:id="53"/>
    <w:bookmarkEnd w:id="54"/>
    <w:bookmarkStart w:id="96" w:name="二英国培育跨国药企的制度经验"/>
    <w:p>
      <w:pPr>
        <w:pStyle w:val="Heading2"/>
      </w:pPr>
      <w:r>
        <w:rPr>
          <w:rFonts w:hint="eastAsia"/>
        </w:rPr>
        <w:t xml:space="preserve">二、英国培育跨国药企的制度经验</w:t>
      </w:r>
    </w:p>
    <w:bookmarkStart w:id="61" w:name="一全球产业地位-1"/>
    <w:p>
      <w:pPr>
        <w:pStyle w:val="Heading3"/>
      </w:pPr>
      <w:r>
        <w:rPr>
          <w:rFonts w:hint="eastAsia"/>
        </w:rPr>
        <w:t xml:space="preserve">（一）全球产业地位</w:t>
      </w:r>
    </w:p>
    <w:p>
      <w:pPr>
        <w:pStyle w:val="FirstParagraph"/>
      </w:pPr>
      <w:r>
        <w:rPr>
          <w:rFonts w:hint="eastAsia"/>
        </w:rPr>
        <w:t xml:space="preserve">英国在世界知识产权组织全球创新指数2025中位居第6位，拥有欧洲最强的生命科学基础研究体系</w:t>
      </w:r>
      <w:r>
        <w:rPr>
          <w:rStyle w:val="FootnoteReference"/>
        </w:rPr>
        <w:footnoteReference w:id="55"/>
      </w:r>
      <w:r>
        <w:rPr>
          <w:rFonts w:hint="eastAsia"/>
        </w:rPr>
        <w:t xml:space="preserve">。英国政府2025年7月发布《生命科学产业计划》，提出到2030年成为欧洲第一、到2035年成为仅次于美国和中国的全球第三大生命科学经济体，配套政府资金超过20亿英镑</w:t>
      </w:r>
      <w:r>
        <w:rPr>
          <w:rStyle w:val="FootnoteReference"/>
        </w:rPr>
        <w:footnoteReference w:id="56"/>
      </w:r>
      <w:r>
        <w:rPr>
          <w:rFonts w:hint="eastAsia"/>
        </w:rPr>
        <w:t xml:space="preserve">。英国药品和保健品管理局于2025年8月7日被世界卫生组织列为列名监管机构</w:t>
      </w:r>
      <w:r>
        <w:rPr>
          <w:rStyle w:val="FootnoteReference"/>
        </w:rPr>
        <w:footnoteReference w:id="57"/>
      </w:r>
      <w:r>
        <w:rPr>
          <w:rFonts w:hint="eastAsia"/>
        </w:rPr>
        <w:t xml:space="preserve">。但2025年跨国药企在英投资一度出现集中收缩：默沙东取消在伦敦已开工建设的10亿英镑研发中心，阿斯利康暂停剑桥2亿英镑研发扩建项目并已放弃利物浦4.5亿英镑疫苗产能项目，礼来搁置伦敦2.79亿英镑实验室计划，赛诺菲表示对英实质性投资暂停</w:t>
      </w:r>
      <w:r>
        <w:rPr>
          <w:rStyle w:val="FootnoteReference"/>
        </w:rPr>
        <w:footnoteReference w:id="58"/>
      </w:r>
      <w:r>
        <w:rPr>
          <w:rStyle w:val="FootnoteReference"/>
        </w:rPr>
        <w:footnoteReference w:id="59"/>
      </w:r>
      <w:r>
        <w:rPr>
          <w:rFonts w:hint="eastAsia"/>
        </w:rPr>
        <w:t xml:space="preserve">，形成政策目标与资本决策的明显背离。2026年英美贸易协议落地、品牌药定价准入与增长自愿协议返还率降至14.5%后，阿斯利康恢复了剑桥2亿英镑与麦克尔斯菲尔德1亿英镑合计3亿英镑的投资计划，但默沙东尚未改变其取消伦敦研发中心的决定</w:t>
      </w:r>
      <w:r>
        <w:rPr>
          <w:rStyle w:val="FootnoteReference"/>
        </w:rPr>
        <w:footnoteReference w:id="60"/>
      </w:r>
      <w:r>
        <w:rPr>
          <w:rFonts w:hint="eastAsia"/>
        </w:rPr>
        <w:t xml:space="preserve">，显示支付条件的边际改善可以撬动部分投资回流，但不足以逆转企业已作出的战略性撤出决定。</w:t>
      </w:r>
    </w:p>
    <w:bookmarkEnd w:id="61"/>
    <w:bookmarkStart w:id="86" w:name="二发展历程-1"/>
    <w:p>
      <w:pPr>
        <w:pStyle w:val="Heading3"/>
      </w:pPr>
      <w:r>
        <w:rPr>
          <w:rFonts w:hint="eastAsia"/>
        </w:rPr>
        <w:t xml:space="preserve">（二）发展历程</w:t>
      </w:r>
    </w:p>
    <w:p>
      <w:pPr>
        <w:pStyle w:val="FirstParagraph"/>
      </w:pPr>
      <w:r>
        <w:rPr>
          <w:rFonts w:hint="eastAsia"/>
        </w:rPr>
        <w:t xml:space="preserve">英国制药业的演进同样可划分为四个阶段。</w:t>
      </w:r>
    </w:p>
    <w:p>
      <w:pPr>
        <w:pStyle w:val="BodyText"/>
      </w:pPr>
      <w:r>
        <w:rPr>
          <w:b/>
          <w:bCs/>
        </w:rPr>
        <w:t xml:space="preserve">1. </w:t>
      </w:r>
      <w:r>
        <w:rPr>
          <w:rFonts w:hint="eastAsia"/>
          <w:b/>
          <w:bCs/>
        </w:rPr>
        <w:t xml:space="preserve">萌芽期（19世纪中叶—20世纪30年代）：药房起家与全球贸易网络</w:t>
      </w:r>
    </w:p>
    <w:p>
      <w:pPr>
        <w:pStyle w:val="BodyText"/>
      </w:pPr>
      <w:r>
        <w:rPr>
          <w:rFonts w:hint="eastAsia"/>
        </w:rPr>
        <w:t xml:space="preserve">与瑞士从染料工业外溢不同，英国制药业主要从药房零售和专利药销售中生长出来，产业链的主导环节在下游的分销与营销，英国当时拥有全球最广的贸易与殖民网络。1880年，威康与巴勒斯在伦敦创立宝威公司；1894年，公司设立威康生理学研究实验室，是英国最早的工业研究机构之一</w:t>
      </w:r>
      <w:r>
        <w:rPr>
          <w:rStyle w:val="FootnoteReference"/>
        </w:rPr>
        <w:footnoteReference w:id="62"/>
      </w:r>
      <w:r>
        <w:rPr>
          <w:rStyle w:val="FootnoteReference"/>
        </w:rPr>
        <w:footnoteReference w:id="63"/>
      </w:r>
      <w:r>
        <w:rPr>
          <w:rFonts w:hint="eastAsia"/>
        </w:rPr>
        <w:t xml:space="preserve">；1842年创立的比彻姆则以专利药丸起家</w:t>
      </w:r>
      <w:r>
        <w:rPr>
          <w:rStyle w:val="FootnoteReference"/>
        </w:rPr>
        <w:footnoteReference w:id="64"/>
      </w:r>
      <w:r>
        <w:rPr>
          <w:rFonts w:hint="eastAsia"/>
        </w:rPr>
        <w:t xml:space="preserve">。这一阶段药品监管尚未建立，产品上市不需要政府批准，英国企业在萌芽期即具备国际销售能力，起点高于瑞士；但由于市场准入不构成约束，企业建立系统研发能力的动力弱于必须依靠产品差异化出口的瑞士企业。</w:t>
      </w:r>
    </w:p>
    <w:p>
      <w:pPr>
        <w:pStyle w:val="BodyText"/>
      </w:pPr>
      <w:r>
        <w:rPr>
          <w:b/>
          <w:bCs/>
        </w:rPr>
        <w:t xml:space="preserve">2. </w:t>
      </w:r>
      <w:r>
        <w:rPr>
          <w:rFonts w:hint="eastAsia"/>
          <w:b/>
          <w:bCs/>
        </w:rPr>
        <w:t xml:space="preserve">成长期（20世纪40—70年代）：处方药转型与支付制度确立</w:t>
      </w:r>
    </w:p>
    <w:p>
      <w:pPr>
        <w:pStyle w:val="BodyText"/>
      </w:pPr>
      <w:r>
        <w:rPr>
          <w:rFonts w:hint="eastAsia"/>
        </w:rPr>
        <w:t xml:space="preserve">抗生素与合成药物的出现使药品转为处方产品，研发成为主导环节，国民保健体系的建立使政府成为最大的单一购买方。1945年，比彻姆集团设立研究实验室专注抗生素研究</w:t>
      </w:r>
      <w:r>
        <w:rPr>
          <w:rStyle w:val="FootnoteReference"/>
        </w:rPr>
        <w:footnoteReference w:id="65"/>
      </w:r>
      <w:r>
        <w:rPr>
          <w:rFonts w:hint="eastAsia"/>
        </w:rPr>
        <w:t xml:space="preserve">；1958年，布莱克加入帝国化学工业制药部门，1964年开发出第一个β受体阻滞剂类药物普萘洛尔，此后转赴史克公司开发出西咪替丁，并于1988年获诺贝尔生理学或医学奖</w:t>
      </w:r>
      <w:r>
        <w:rPr>
          <w:rStyle w:val="FootnoteReference"/>
        </w:rPr>
        <w:footnoteReference w:id="66"/>
      </w:r>
      <w:r>
        <w:rPr>
          <w:rStyle w:val="FootnoteReference"/>
        </w:rPr>
        <w:footnoteReference w:id="67"/>
      </w:r>
      <w:r>
        <w:rPr>
          <w:rFonts w:hint="eastAsia"/>
        </w:rPr>
        <w:t xml:space="preserve">；1981年，葛兰素推出抗溃疡药雷尼替丁，1986年成为全球销售额第一的药品</w:t>
      </w:r>
      <w:r>
        <w:rPr>
          <w:rStyle w:val="FootnoteReference"/>
        </w:rPr>
        <w:footnoteReference w:id="68"/>
      </w:r>
      <w:r>
        <w:rPr>
          <w:rFonts w:hint="eastAsia"/>
        </w:rPr>
        <w:t xml:space="preserve">。三项制度在这一阶段确立并延续至今：1948年国民保健体系建立，形成单一支付方结构；1957年起实行药品价格自愿管制计划，此后每五年左右续订一次，一直延续到当前的品牌药定价、准入与增长自愿协议</w:t>
      </w:r>
      <w:r>
        <w:rPr>
          <w:rStyle w:val="FootnoteReference"/>
        </w:rPr>
        <w:footnoteReference w:id="69"/>
      </w:r>
      <w:r>
        <w:rPr>
          <w:rStyle w:val="FootnoteReference"/>
        </w:rPr>
        <w:footnoteReference w:id="70"/>
      </w:r>
      <w:r>
        <w:rPr>
          <w:rFonts w:hint="eastAsia"/>
        </w:rPr>
        <w:t xml:space="preserve">；受沙利度胺事件影响，1963年设立药品安全委员会，1968年《药品法》建立起对药品安全性、质量和有效性的全面管制</w:t>
      </w:r>
      <w:r>
        <w:rPr>
          <w:rStyle w:val="FootnoteReference"/>
        </w:rPr>
        <w:footnoteReference w:id="71"/>
      </w:r>
      <w:r>
        <w:rPr>
          <w:rStyle w:val="FootnoteReference"/>
        </w:rPr>
        <w:footnoteReference w:id="72"/>
      </w:r>
      <w:r>
        <w:rPr>
          <w:rFonts w:hint="eastAsia"/>
        </w:rPr>
        <w:t xml:space="preserve">。研发领先与压价支付在这一阶段同期确立，两者在当时并不冲突，因为研发成果可以在全球市场兑现，但也为后续阶段埋下长期隐患。</w:t>
      </w:r>
    </w:p>
    <w:p>
      <w:pPr>
        <w:pStyle w:val="BodyText"/>
      </w:pPr>
      <w:r>
        <w:rPr>
          <w:b/>
          <w:bCs/>
        </w:rPr>
        <w:t xml:space="preserve">3. </w:t>
      </w:r>
      <w:r>
        <w:rPr>
          <w:rFonts w:hint="eastAsia"/>
          <w:b/>
          <w:bCs/>
        </w:rPr>
        <w:t xml:space="preserve">扩张期（20世纪80年代—21世纪初）：连续合并铸就两大巨头</w:t>
      </w:r>
    </w:p>
    <w:p>
      <w:pPr>
        <w:pStyle w:val="BodyText"/>
      </w:pPr>
      <w:r>
        <w:rPr>
          <w:rFonts w:hint="eastAsia"/>
        </w:rPr>
        <w:t xml:space="preserve">跨国分工成型，多国同步注册和全球营销网络成为竞争前提，规模成为关键变量。1989年，史克必成公司由美国史克贝克曼与英国比彻姆集团合并成立；1995年，葛兰素与威康合并为葛兰素威康；2000年12月，葛兰素威康与史克必成合并成立葛兰素史克</w:t>
      </w:r>
      <w:r>
        <w:rPr>
          <w:rStyle w:val="FootnoteReference"/>
        </w:rPr>
        <w:footnoteReference w:id="73"/>
      </w:r>
      <w:r>
        <w:rPr>
          <w:rStyle w:val="FootnoteReference"/>
        </w:rPr>
        <w:footnoteReference w:id="74"/>
      </w:r>
      <w:r>
        <w:rPr>
          <w:rStyle w:val="FootnoteReference"/>
        </w:rPr>
        <w:footnoteReference w:id="75"/>
      </w:r>
      <w:r>
        <w:rPr>
          <w:rFonts w:hint="eastAsia"/>
        </w:rPr>
        <w:t xml:space="preserve">。另一条线索上，1993年6月，帝国化学工业将制药与农化业务分拆为独立上市公司捷利康；1999年4月6日，捷利康与瑞典阿斯特拉公司合并成立阿斯利康</w:t>
      </w:r>
      <w:r>
        <w:rPr>
          <w:rStyle w:val="FootnoteReference"/>
        </w:rPr>
        <w:footnoteReference w:id="76"/>
      </w:r>
      <w:r>
        <w:rPr>
          <w:rStyle w:val="FootnoteReference"/>
        </w:rPr>
        <w:footnoteReference w:id="77"/>
      </w:r>
      <w:r>
        <w:rPr>
          <w:rFonts w:hint="eastAsia"/>
        </w:rPr>
        <w:t xml:space="preserve">。伦敦作为国际金融中心为大型合并提供了资本市场基础，企业总部与研发中心集中于伦敦、剑桥、牛津一线。合并完成后，企业的研发与生产布局开始按全球最优原则配置，与英国本土的绑定关系随之减弱，为下一阶段的投资外流埋下伏笔。</w:t>
      </w:r>
    </w:p>
    <w:p>
      <w:pPr>
        <w:pStyle w:val="BodyText"/>
      </w:pPr>
      <w:r>
        <w:rPr>
          <w:b/>
          <w:bCs/>
        </w:rPr>
        <w:t xml:space="preserve">4. </w:t>
      </w:r>
      <w:r>
        <w:rPr>
          <w:rFonts w:hint="eastAsia"/>
          <w:b/>
          <w:bCs/>
        </w:rPr>
        <w:t xml:space="preserve">成熟期（21世纪10年代至今）：优势延续与支付资本收缩</w:t>
      </w:r>
    </w:p>
    <w:p>
      <w:pPr>
        <w:pStyle w:val="BodyText"/>
      </w:pPr>
      <w:r>
        <w:rPr>
          <w:rFonts w:hint="eastAsia"/>
        </w:rPr>
        <w:t xml:space="preserve">管线外部化成为全球趋势，一国能否留住产业投资取决于研发、临床、注册、支付四个环节的综合竞争力，英国在前三个环节保持优势、在支付环节明显落后。临床试验方面，2025年4月28日通过二十年来最全面的立法改革，核心是药品和保健品管理局与研究伦理委员会的合并审评，2026年4月28日全面实施</w:t>
      </w:r>
      <w:r>
        <w:rPr>
          <w:rStyle w:val="FootnoteReference"/>
        </w:rPr>
        <w:footnoteReference w:id="78"/>
      </w:r>
      <w:r>
        <w:rPr>
          <w:rFonts w:hint="eastAsia"/>
        </w:rPr>
        <w:t xml:space="preserve">；商业临床试验平均启动时间由169天降至122天，2025年伦理审查结论中位数为29天</w:t>
      </w:r>
      <w:r>
        <w:rPr>
          <w:rStyle w:val="FootnoteReference"/>
        </w:rPr>
        <w:footnoteReference w:id="79"/>
      </w:r>
      <w:r>
        <w:rPr>
          <w:rStyle w:val="FootnoteReference"/>
        </w:rPr>
        <w:footnoteReference w:id="80"/>
      </w:r>
      <w:r>
        <w:rPr>
          <w:rFonts w:hint="eastAsia"/>
        </w:rPr>
        <w:t xml:space="preserve">。注册方面，自2024年1月1日起国际认可程序成为主要认可路径，A路径60天、B路径110天完成审评</w:t>
      </w:r>
      <w:r>
        <w:rPr>
          <w:rStyle w:val="FootnoteReference"/>
        </w:rPr>
        <w:footnoteReference w:id="81"/>
      </w:r>
      <w:r>
        <w:rPr>
          <w:rFonts w:hint="eastAsia"/>
        </w:rPr>
        <w:t xml:space="preserve">；2025年重启创新许可与准入通道</w:t>
      </w:r>
      <w:r>
        <w:rPr>
          <w:rStyle w:val="FootnoteReference"/>
        </w:rPr>
        <w:footnoteReference w:id="82"/>
      </w:r>
      <w:r>
        <w:rPr>
          <w:rFonts w:hint="eastAsia"/>
        </w:rPr>
        <w:t xml:space="preserve">。支付方面，英国药品支出占卫生总支出的比重约为9%，同期西班牙为18%、德国和意大利为17%；获批新药在英格兰的可及比例由72%降至56%</w:t>
      </w:r>
      <w:r>
        <w:rPr>
          <w:rStyle w:val="FootnoteReference"/>
        </w:rPr>
        <w:footnoteReference w:id="83"/>
      </w:r>
      <w:r>
        <w:rPr>
          <w:rStyle w:val="FootnoteReference"/>
        </w:rPr>
        <w:footnoteReference w:id="84"/>
      </w:r>
      <w:r>
        <w:rPr>
          <w:rFonts w:hint="eastAsia"/>
        </w:rPr>
        <w:t xml:space="preserve">；品牌药定价、准入与增长自愿协议下，新上市药品返还率2025年为22.9%的历史峰值，2026年降至14.5%</w:t>
      </w:r>
      <w:r>
        <w:rPr>
          <w:rStyle w:val="FootnoteReference"/>
        </w:rPr>
        <w:footnoteReference w:id="85"/>
      </w:r>
      <w:r>
        <w:rPr>
          <w:rFonts w:hint="eastAsia"/>
        </w:rPr>
        <w:t xml:space="preserve">。20亿英镑量级的产业计划与数百亿英镑量级的销售预期不在同一数量级，成本侧激励无法对冲收入侧信号。2026年阿斯利康在VPAG返还率下调后恢复剑桥投资，为这一因果关系提供了同向验证：支付信号一旦改善，投资决策随即响应，但默沙东等企业的撤出决定并未同步逆转，表明信号改善的效果存在企业间差异与滞后。</w:t>
      </w:r>
    </w:p>
    <w:bookmarkEnd w:id="86"/>
    <w:bookmarkStart w:id="90" w:name="三产业优势-1"/>
    <w:p>
      <w:pPr>
        <w:pStyle w:val="Heading3"/>
      </w:pPr>
      <w:r>
        <w:rPr>
          <w:rFonts w:hint="eastAsia"/>
        </w:rPr>
        <w:t xml:space="preserve">（三）产业优势</w:t>
      </w:r>
    </w:p>
    <w:p>
      <w:pPr>
        <w:pStyle w:val="FirstParagraph"/>
      </w:pPr>
      <w:r>
        <w:rPr>
          <w:rFonts w:hint="eastAsia"/>
        </w:rPr>
        <w:t xml:space="preserve">英国当前的核心竞争力集中在创新链上游与中游。一是全球顶尖的基础研究：牛津、剑桥、伦敦构成的研究集群延续百年，是欧洲最强的生命科学基础研究体系。二是难以复制的人群队列数据资产：UK</w:t>
      </w:r>
      <w:r>
        <w:t xml:space="preserve"> </w:t>
      </w:r>
      <w:r>
        <w:rPr>
          <w:rFonts w:hint="eastAsia"/>
        </w:rPr>
        <w:t xml:space="preserve">Biobank、英格兰基因组计划、Our</w:t>
      </w:r>
      <w:r>
        <w:t xml:space="preserve"> Future </w:t>
      </w:r>
      <w:r>
        <w:rPr>
          <w:rFonts w:hint="eastAsia"/>
        </w:rPr>
        <w:t xml:space="preserve">Health等构成的研究基础设施，《生命科学产业计划》进一步以最高6亿英镑投入健康数据服务</w:t>
      </w:r>
      <w:r>
        <w:rPr>
          <w:rStyle w:val="FootnoteReference"/>
        </w:rPr>
        <w:footnoteReference w:id="87"/>
      </w:r>
      <w:r>
        <w:rPr>
          <w:rFonts w:hint="eastAsia"/>
        </w:rPr>
        <w:t xml:space="preserve">。三是临床试验制度的现代化：合并审评、单一入口（2025年10月设立的国家健康与照护研究所产业中心及其35个商业研究交付中心）和公开的时限考核三项机制成效可验证，且不依赖大规模额外投入</w:t>
      </w:r>
      <w:r>
        <w:rPr>
          <w:rStyle w:val="FootnoteReference"/>
        </w:rPr>
        <w:footnoteReference w:id="88"/>
      </w:r>
      <w:r>
        <w:rPr>
          <w:rStyle w:val="FootnoteReference"/>
        </w:rPr>
        <w:footnoteReference w:id="89"/>
      </w:r>
      <w:r>
        <w:rPr>
          <w:rFonts w:hint="eastAsia"/>
        </w:rPr>
        <w:t xml:space="preserve">。四是监管国际互认能力：脱离欧盟药品管理体系后，以国际认可程序、列名监管机构资格、Access联盟工作分担和美国主导的Orbis项目构成完整的国际互认组合，重建成本低、见效快。</w:t>
      </w:r>
    </w:p>
    <w:bookmarkEnd w:id="90"/>
    <w:bookmarkStart w:id="93" w:name="四发展模式-1"/>
    <w:p>
      <w:pPr>
        <w:pStyle w:val="Heading3"/>
      </w:pPr>
      <w:r>
        <w:rPr>
          <w:rFonts w:hint="eastAsia"/>
        </w:rPr>
        <w:t xml:space="preserve">（四）发展模式</w:t>
      </w:r>
    </w:p>
    <w:p>
      <w:pPr>
        <w:pStyle w:val="FirstParagraph"/>
      </w:pPr>
      <w:r>
        <w:rPr>
          <w:rFonts w:hint="eastAsia"/>
        </w:rPr>
        <w:t xml:space="preserve">英国的产业培育呈现“研发—临床强、支付弱”的失衡模式，其运行逻辑同样分三层。第一层是萌芽期奠定的起点：全球贸易网络提供了现成的销售通道，使企业无需先解决市场准入问题，但也削弱了建立系统研发能力的紧迫性。第二层是成长期同期确立的双重制度：1948年国民保健体系、1957年药品价格自愿协议、1968年《药品法》三项制度几乎同期建立，形成“研发全球领先、本土支付受控”的组合，这一组合在企业收入主要来自全球市场时并不构成约束。第三层是扩张期与成熟期的分化：扩张期依托伦敦资本市场完成连续合并、迅速做大，企业的研发与生产随即按全球最优原则重新配置，与英国本土的绑定持续减弱；成熟期全球竞争加剧、企业需要在各国间配置有限的投资额度时，本土支付水平从边际变量转为决定变量，成本侧的制度优势（临床试验效率、监管国际互认）无法对冲收入侧的价格信号，跨国药企随之收缩在英投资；2026年VPAG返还率下调后阿斯利康率先恢复投资，进一步印证支付信号对企业决策的直接支配作用。生命科学办公室由卫生和社会保障部与科学、创新和技术部联合设立，试图统筹产业与卫生政策</w:t>
      </w:r>
      <w:r>
        <w:rPr>
          <w:rStyle w:val="FootnoteReference"/>
        </w:rPr>
        <w:footnoteReference w:id="91"/>
      </w:r>
      <w:r>
        <w:rPr>
          <w:rStyle w:val="FootnoteReference"/>
        </w:rPr>
        <w:footnoteReference w:id="92"/>
      </w:r>
      <w:r>
        <w:rPr>
          <w:rFonts w:hint="eastAsia"/>
        </w:rPr>
        <w:t xml:space="preserve">，但这一治理架构无法凌驾于支付制度本身。</w:t>
      </w:r>
    </w:p>
    <w:bookmarkEnd w:id="93"/>
    <w:bookmarkStart w:id="95" w:name="五成功要素与制约因素-1"/>
    <w:p>
      <w:pPr>
        <w:pStyle w:val="Heading3"/>
      </w:pPr>
      <w:r>
        <w:rPr>
          <w:rFonts w:hint="eastAsia"/>
        </w:rPr>
        <w:t xml:space="preserve">（五）成功要素与制约因素</w:t>
      </w:r>
    </w:p>
    <w:p>
      <w:pPr>
        <w:pStyle w:val="FirstParagraph"/>
      </w:pPr>
      <w:r>
        <w:rPr>
          <w:b/>
          <w:bCs/>
        </w:rPr>
        <w:t xml:space="preserve">1. </w:t>
      </w:r>
      <w:r>
        <w:rPr>
          <w:rFonts w:hint="eastAsia"/>
          <w:b/>
          <w:bCs/>
        </w:rPr>
        <w:t xml:space="preserve">成功要素</w:t>
      </w:r>
    </w:p>
    <w:p>
      <w:pPr>
        <w:pStyle w:val="BodyText"/>
      </w:pPr>
      <w:r>
        <w:rPr>
          <w:rFonts w:hint="eastAsia"/>
        </w:rPr>
        <w:t xml:space="preserve">一是萌芽期即形成的全球营销网络，使企业跨境经营的起点很高。二是持续的基础研究投入与研究集群，牛津、剑桥、伦敦一线的科研能力延续百年。三是临床试验制度的现代化改革，三项机制成效可验证，且不依赖大规模额外投入。四是脱离原有区域体系后以国际互认低成本重建监管地位。需要特别指出的是，监管自主可以在较短时间内以较低成本重建——英国脱离欧盟药品管理体系后仅用两三年即通过国际互认恢复了监管国际地位；但企业对一国市场的投资信心一旦受损，恢复周期明显更长，这一不对称性是英国教训中最值得我国注意的部分。</w:t>
      </w:r>
    </w:p>
    <w:p>
      <w:pPr>
        <w:pStyle w:val="BodyText"/>
      </w:pPr>
      <w:r>
        <w:rPr>
          <w:b/>
          <w:bCs/>
        </w:rPr>
        <w:t xml:space="preserve">2. </w:t>
      </w:r>
      <w:r>
        <w:rPr>
          <w:rFonts w:hint="eastAsia"/>
          <w:b/>
          <w:bCs/>
        </w:rPr>
        <w:t xml:space="preserve">制约因素</w:t>
      </w:r>
    </w:p>
    <w:p>
      <w:pPr>
        <w:pStyle w:val="BodyText"/>
      </w:pPr>
      <w:r>
        <w:rPr>
          <w:rFonts w:hint="eastAsia"/>
        </w:rPr>
        <w:t xml:space="preserve">一是支付水平长期偏低，药品仅占卫生总支出9%，新药可及比例由72%降至56%，直接削弱企业的本土投资回报预期。二是本土长期资本缺位：2025年英国生物技术板块公开市场融资明显收缩，第一季度无英国生物技术企业完成首次公开发行，风险融资中A轮投资人的68%、B轮及以后投资人的89%来自海外机构</w:t>
      </w:r>
      <w:r>
        <w:rPr>
          <w:rStyle w:val="FootnoteReference"/>
        </w:rPr>
        <w:footnoteReference w:id="94"/>
      </w:r>
      <w:r>
        <w:rPr>
          <w:rFonts w:hint="eastAsia"/>
        </w:rPr>
        <w:t xml:space="preserve">。三是产业政策与支付政策分属不同部门目标，跨部门治理架构虽然先进，但无法凌驾于支付制度本身。</w:t>
      </w:r>
    </w:p>
    <w:p>
      <w:pPr>
        <w:pStyle w:val="BodyText"/>
      </w:pPr>
      <w:r>
        <w:rPr>
          <w:b/>
          <w:bCs/>
        </w:rPr>
        <w:t xml:space="preserve">3. </w:t>
      </w:r>
      <w:r>
        <w:rPr>
          <w:rFonts w:hint="eastAsia"/>
          <w:b/>
          <w:bCs/>
        </w:rPr>
        <w:t xml:space="preserve">对我国的启示</w:t>
      </w:r>
    </w:p>
    <w:p>
      <w:pPr>
        <w:pStyle w:val="BodyText"/>
      </w:pPr>
      <w:r>
        <w:rPr>
          <w:rFonts w:hint="eastAsia"/>
        </w:rPr>
        <w:t xml:space="preserve">正面可直接借鉴的是临床试验环节：合并审评与单一时钟管理、国家级商业临床研究单一入口机构、公开的全流程时限考核，三项机制均可移植且不依赖大规模投入。反面需要警惕的是支付信号对产业投资的长期决定作用：我国“市场规模较大、价格水平相对较低”的组合与英国具有同构性，建议在涉及创新药价格形成的政策工具出台前，同步评估其对创新回报预期和产业投资的中长期影响。</w:t>
      </w:r>
    </w:p>
    <w:bookmarkEnd w:id="95"/>
    <w:bookmarkEnd w:id="96"/>
    <w:bookmarkStart w:id="97" w:name="附件一-按制度维度的合稿索引"/>
    <w:p>
      <w:pPr>
        <w:pStyle w:val="Heading2"/>
      </w:pPr>
      <w:r>
        <w:rPr>
          <w:rFonts w:hint="eastAsia"/>
        </w:rPr>
        <w:t xml:space="preserve">附件一</w:t>
      </w:r>
      <w:r>
        <w:t xml:space="preserve"> </w:t>
      </w:r>
      <w:r>
        <w:rPr>
          <w:rFonts w:hint="eastAsia"/>
        </w:rPr>
        <w:t xml:space="preserve">按制度维度的合稿索引</w:t>
      </w:r>
    </w:p>
    <w:p>
      <w:pPr>
        <w:pStyle w:val="FirstParagraph"/>
      </w:pPr>
      <w:r>
        <w:rPr>
          <w:rFonts w:hint="eastAsia"/>
        </w:rPr>
        <w:t xml:space="preserve">为便于与总报告六个维度对接，现将本部分内容索引如下。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制度维度</w:t>
            </w:r>
          </w:p>
        </w:tc>
        <w:tc>
          <w:tcPr/>
          <w:p>
            <w:pPr>
              <w:pStyle w:val="Compact"/>
            </w:pPr>
            <w:r>
              <w:rPr>
                <w:rFonts w:hint="eastAsia"/>
              </w:rPr>
              <w:t xml:space="preserve">瑞士对应内容</w:t>
            </w:r>
          </w:p>
        </w:tc>
        <w:tc>
          <w:tcPr/>
          <w:p>
            <w:pPr>
              <w:pStyle w:val="Compact"/>
            </w:pPr>
            <w:r>
              <w:rPr>
                <w:rFonts w:hint="eastAsia"/>
              </w:rPr>
              <w:t xml:space="preserve">英国对应内容</w:t>
            </w:r>
          </w:p>
        </w:tc>
      </w:tr>
      <w:tr>
        <w:tc>
          <w:tcPr/>
          <w:p>
            <w:pPr>
              <w:pStyle w:val="Compact"/>
            </w:pPr>
            <w:r>
              <w:rPr>
                <w:rFonts w:hint="eastAsia"/>
              </w:rPr>
              <w:t xml:space="preserve">研发创新</w:t>
            </w:r>
          </w:p>
        </w:tc>
        <w:tc>
          <w:tcPr/>
          <w:p>
            <w:pPr>
              <w:pStyle w:val="Compact"/>
            </w:pPr>
            <w:r>
              <w:rPr>
                <w:rFonts w:hint="eastAsia"/>
              </w:rPr>
              <w:t xml:space="preserve">一（二）2成长期研发主导化；一（三）集群创新能力、地平线欧洲</w:t>
            </w:r>
          </w:p>
        </w:tc>
        <w:tc>
          <w:tcPr/>
          <w:p>
            <w:pPr>
              <w:pStyle w:val="Compact"/>
            </w:pPr>
            <w:r>
              <w:rPr>
                <w:rFonts w:hint="eastAsia"/>
              </w:rPr>
              <w:t xml:space="preserve">二（二）2比彻姆研究实验室、帝国化学工业制药部门；二（三）研究集群</w:t>
            </w:r>
          </w:p>
        </w:tc>
      </w:tr>
      <w:tr>
        <w:tc>
          <w:tcPr/>
          <w:p>
            <w:pPr>
              <w:pStyle w:val="Compact"/>
            </w:pPr>
            <w:r>
              <w:rPr>
                <w:rFonts w:hint="eastAsia"/>
              </w:rPr>
              <w:t xml:space="preserve">临床试验</w:t>
            </w:r>
          </w:p>
        </w:tc>
        <w:tc>
          <w:tcPr/>
          <w:p>
            <w:pPr>
              <w:pStyle w:val="Compact"/>
            </w:pPr>
            <w:r>
              <w:rPr>
                <w:rFonts w:hint="eastAsia"/>
              </w:rPr>
              <w:t xml:space="preserve">一（二）4以数据质量嵌入国际多中心体系</w:t>
            </w:r>
          </w:p>
        </w:tc>
        <w:tc>
          <w:tcPr/>
          <w:p>
            <w:pPr>
              <w:pStyle w:val="Compact"/>
            </w:pPr>
            <w:r>
              <w:rPr>
                <w:rFonts w:hint="eastAsia"/>
              </w:rPr>
              <w:t xml:space="preserve">二（三）合并审评、单一入口、时限考核、人群队列</w:t>
            </w:r>
          </w:p>
        </w:tc>
      </w:tr>
      <w:tr>
        <w:tc>
          <w:tcPr/>
          <w:p>
            <w:pPr>
              <w:pStyle w:val="Compact"/>
            </w:pPr>
            <w:r>
              <w:rPr>
                <w:rFonts w:hint="eastAsia"/>
              </w:rPr>
              <w:t xml:space="preserve">注册与国际认证</w:t>
            </w:r>
          </w:p>
        </w:tc>
        <w:tc>
          <w:tcPr/>
          <w:p>
            <w:pPr>
              <w:pStyle w:val="Compact"/>
            </w:pPr>
            <w:r>
              <w:rPr>
                <w:rFonts w:hint="eastAsia"/>
              </w:rPr>
              <w:t xml:space="preserve">一（二）1专利制度缺位与建立；一（二）4、一（三）列名监管机构、三层依赖机制、全球健康产品程序、收费自筹</w:t>
            </w:r>
          </w:p>
        </w:tc>
        <w:tc>
          <w:tcPr/>
          <w:p>
            <w:pPr>
              <w:pStyle w:val="Compact"/>
            </w:pPr>
            <w:r>
              <w:rPr>
                <w:rFonts w:hint="eastAsia"/>
              </w:rPr>
              <w:t xml:space="preserve">二（二）2</w:t>
            </w:r>
            <w:r>
              <w:t xml:space="preserve"> </w:t>
            </w:r>
            <w:r>
              <w:rPr>
                <w:rFonts w:hint="eastAsia"/>
              </w:rPr>
              <w:t xml:space="preserve">1968年《药品法》；二（三）国际认可程序、创新许可与准入通道、列名监管机构</w:t>
            </w:r>
          </w:p>
        </w:tc>
      </w:tr>
      <w:tr>
        <w:tc>
          <w:tcPr/>
          <w:p>
            <w:pPr>
              <w:pStyle w:val="Compact"/>
            </w:pPr>
            <w:r>
              <w:rPr>
                <w:rFonts w:hint="eastAsia"/>
              </w:rPr>
              <w:t xml:space="preserve">海外商业化与市场准入</w:t>
            </w:r>
          </w:p>
        </w:tc>
        <w:tc>
          <w:tcPr/>
          <w:p>
            <w:pPr>
              <w:pStyle w:val="Compact"/>
            </w:pPr>
            <w:r>
              <w:rPr>
                <w:rFonts w:hint="eastAsia"/>
              </w:rPr>
              <w:t xml:space="preserve">一（四）专科目录定价与国际参考定价锚定</w:t>
            </w:r>
          </w:p>
        </w:tc>
        <w:tc>
          <w:tcPr/>
          <w:p>
            <w:pPr>
              <w:pStyle w:val="Compact"/>
            </w:pPr>
            <w:r>
              <w:rPr>
                <w:rFonts w:hint="eastAsia"/>
              </w:rPr>
              <w:t xml:space="preserve">二（二）2</w:t>
            </w:r>
            <w:r>
              <w:t xml:space="preserve"> </w:t>
            </w:r>
            <w:r>
              <w:rPr>
                <w:rFonts w:hint="eastAsia"/>
              </w:rPr>
              <w:t xml:space="preserve">1957年定价自愿协议；二（二）4返还机制</w:t>
            </w:r>
          </w:p>
        </w:tc>
      </w:tr>
      <w:tr>
        <w:tc>
          <w:tcPr/>
          <w:p>
            <w:pPr>
              <w:pStyle w:val="Compact"/>
            </w:pPr>
            <w:r>
              <w:rPr>
                <w:rFonts w:hint="eastAsia"/>
              </w:rPr>
              <w:t xml:space="preserve">资本与要素</w:t>
            </w:r>
          </w:p>
        </w:tc>
        <w:tc>
          <w:tcPr/>
          <w:p>
            <w:pPr>
              <w:pStyle w:val="Compact"/>
            </w:pPr>
            <w:r>
              <w:rPr>
                <w:rFonts w:hint="eastAsia"/>
              </w:rPr>
              <w:t xml:space="preserve">一（三）融资结构、外籍人才、税制改革与全球最低税</w:t>
            </w:r>
          </w:p>
        </w:tc>
        <w:tc>
          <w:tcPr/>
          <w:p>
            <w:pPr>
              <w:pStyle w:val="Compact"/>
            </w:pPr>
            <w:r>
              <w:rPr>
                <w:rFonts w:hint="eastAsia"/>
              </w:rPr>
              <w:t xml:space="preserve">二（五）公开市场融资弱化、养老金改革</w:t>
            </w:r>
          </w:p>
        </w:tc>
      </w:tr>
      <w:tr>
        <w:tc>
          <w:tcPr/>
          <w:p>
            <w:pPr>
              <w:pStyle w:val="Compact"/>
            </w:pPr>
            <w:r>
              <w:rPr>
                <w:rFonts w:hint="eastAsia"/>
              </w:rPr>
              <w:t xml:space="preserve">跨部门治理与出海服务</w:t>
            </w:r>
          </w:p>
        </w:tc>
        <w:tc>
          <w:tcPr/>
          <w:p>
            <w:pPr>
              <w:pStyle w:val="Compact"/>
            </w:pPr>
            <w:r>
              <w:rPr>
                <w:rFonts w:hint="eastAsia"/>
              </w:rPr>
              <w:t xml:space="preserve">一（四）瑞士全球企业与swissnex双网络、自贸协定、关税应对</w:t>
            </w:r>
          </w:p>
        </w:tc>
        <w:tc>
          <w:tcPr/>
          <w:p>
            <w:pPr>
              <w:pStyle w:val="Compact"/>
            </w:pPr>
            <w:r>
              <w:rPr>
                <w:rFonts w:hint="eastAsia"/>
              </w:rPr>
              <w:t xml:space="preserve">二（四）生命科学办公室、创新者通行证</w:t>
            </w:r>
          </w:p>
        </w:tc>
      </w:tr>
    </w:tbl>
    <w:bookmarkEnd w:id="97"/>
    <w:bookmarkStart w:id="98" w:name="附件二-待核实事项清单"/>
    <w:p>
      <w:pPr>
        <w:pStyle w:val="Heading2"/>
      </w:pPr>
      <w:r>
        <w:rPr>
          <w:rFonts w:hint="eastAsia"/>
        </w:rPr>
        <w:t xml:space="preserve">附件二</w:t>
      </w:r>
      <w:r>
        <w:t xml:space="preserve"> </w:t>
      </w:r>
      <w:r>
        <w:rPr>
          <w:rFonts w:hint="eastAsia"/>
        </w:rPr>
        <w:t xml:space="preserve">待核实事项清单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事项</w:t>
            </w:r>
          </w:p>
        </w:tc>
        <w:tc>
          <w:tcPr/>
          <w:p>
            <w:pPr>
              <w:pStyle w:val="Compact"/>
            </w:pPr>
            <w:r>
              <w:rPr>
                <w:rFonts w:hint="eastAsia"/>
              </w:rPr>
              <w:t xml:space="preserve">现状</w:t>
            </w:r>
          </w:p>
        </w:tc>
        <w:tc>
          <w:tcPr/>
          <w:p>
            <w:pPr>
              <w:pStyle w:val="Compact"/>
            </w:pPr>
            <w:r>
              <w:rPr>
                <w:rFonts w:hint="eastAsia"/>
              </w:rPr>
              <w:t xml:space="preserve">处理建议</w:t>
            </w:r>
          </w:p>
        </w:tc>
      </w:tr>
      <w:tr>
        <w:tc>
          <w:tcPr/>
          <w:p>
            <w:pPr>
              <w:pStyle w:val="Compact"/>
            </w:pPr>
            <w:r>
              <w:t xml:space="preserve">1</w:t>
            </w:r>
          </w:p>
        </w:tc>
        <w:tc>
          <w:tcPr/>
          <w:p>
            <w:pPr>
              <w:pStyle w:val="Compact"/>
            </w:pPr>
            <w:r>
              <w:rPr>
                <w:rFonts w:hint="eastAsia"/>
              </w:rPr>
              <w:t xml:space="preserve">瑞士药品物质专利的确切生效年份</w:t>
            </w:r>
          </w:p>
        </w:tc>
        <w:tc>
          <w:tcPr/>
          <w:p>
            <w:pPr>
              <w:pStyle w:val="Compact"/>
            </w:pPr>
            <w:r>
              <w:rPr>
                <w:rFonts w:hint="eastAsia"/>
              </w:rPr>
              <w:t xml:space="preserve">现有资料表述为1976年采纳、1978年生效</w:t>
            </w:r>
          </w:p>
        </w:tc>
        <w:tc>
          <w:tcPr/>
          <w:p>
            <w:pPr>
              <w:pStyle w:val="Compact"/>
            </w:pPr>
            <w:r>
              <w:rPr>
                <w:rFonts w:hint="eastAsia"/>
              </w:rPr>
              <w:t xml:space="preserve">以瑞士联邦知识产权局或联邦法律汇编原文核实</w:t>
            </w:r>
          </w:p>
        </w:tc>
      </w:tr>
      <w:tr>
        <w:tc>
          <w:tcPr/>
          <w:p>
            <w:pPr>
              <w:pStyle w:val="Compact"/>
            </w:pPr>
            <w:r>
              <w:t xml:space="preserve">3</w:t>
            </w:r>
          </w:p>
        </w:tc>
        <w:tc>
          <w:tcPr/>
          <w:p>
            <w:pPr>
              <w:pStyle w:val="Compact"/>
            </w:pPr>
            <w:r>
              <w:rPr>
                <w:rFonts w:hint="eastAsia"/>
              </w:rPr>
              <w:t xml:space="preserve">2026年瑞士第三国国民工作许可配额8500个</w:t>
            </w:r>
          </w:p>
        </w:tc>
        <w:tc>
          <w:tcPr/>
          <w:p>
            <w:pPr>
              <w:pStyle w:val="Compact"/>
            </w:pPr>
            <w:r>
              <w:rPr>
                <w:rFonts w:hint="eastAsia"/>
              </w:rPr>
              <w:t xml:space="preserve">来源为专业机构整理</w:t>
            </w:r>
          </w:p>
        </w:tc>
        <w:tc>
          <w:tcPr/>
          <w:p>
            <w:pPr>
              <w:pStyle w:val="Compact"/>
            </w:pPr>
            <w:r>
              <w:rPr>
                <w:rFonts w:hint="eastAsia"/>
              </w:rPr>
              <w:t xml:space="preserve">以瑞士联邦移民事务秘书处公告核实</w:t>
            </w:r>
          </w:p>
        </w:tc>
      </w:tr>
      <w:tr>
        <w:tc>
          <w:tcPr/>
          <w:p>
            <w:pPr>
              <w:pStyle w:val="Compact"/>
            </w:pPr>
            <w:r>
              <w:t xml:space="preserve">4</w:t>
            </w:r>
          </w:p>
        </w:tc>
        <w:tc>
          <w:tcPr/>
          <w:p>
            <w:pPr>
              <w:pStyle w:val="Compact"/>
            </w:pPr>
            <w:r>
              <w:rPr>
                <w:rFonts w:hint="eastAsia"/>
              </w:rPr>
              <w:t xml:space="preserve">罗氏、诺华研发投入口径</w:t>
            </w:r>
          </w:p>
        </w:tc>
        <w:tc>
          <w:tcPr/>
          <w:p>
            <w:pPr>
              <w:pStyle w:val="Compact"/>
            </w:pPr>
            <w:r>
              <w:rPr>
                <w:rFonts w:hint="eastAsia"/>
              </w:rPr>
              <w:t xml:space="preserve">罗氏2025年约133.5亿瑞郎；第三方榜单以欧元计</w:t>
            </w:r>
          </w:p>
        </w:tc>
        <w:tc>
          <w:tcPr/>
          <w:p>
            <w:pPr>
              <w:pStyle w:val="Compact"/>
            </w:pPr>
            <w:r>
              <w:rPr>
                <w:rFonts w:hint="eastAsia"/>
              </w:rPr>
              <w:t xml:space="preserve">统一采用企业年报口径并标注币种与年度</w:t>
            </w:r>
          </w:p>
        </w:tc>
      </w:tr>
      <w:tr>
        <w:tc>
          <w:tcPr/>
          <w:p>
            <w:pPr>
              <w:pStyle w:val="Compact"/>
            </w:pPr>
            <w:r>
              <w:t xml:space="preserve">5</w:t>
            </w:r>
          </w:p>
        </w:tc>
        <w:tc>
          <w:tcPr/>
          <w:p>
            <w:pPr>
              <w:pStyle w:val="Compact"/>
            </w:pPr>
            <w:r>
              <w:rPr>
                <w:rFonts w:hint="eastAsia"/>
              </w:rPr>
              <w:t xml:space="preserve">帝国化学工业制药部门设立的确切年份</w:t>
            </w:r>
          </w:p>
        </w:tc>
        <w:tc>
          <w:tcPr/>
          <w:p>
            <w:pPr>
              <w:pStyle w:val="Compact"/>
            </w:pPr>
            <w:r>
              <w:rPr>
                <w:rFonts w:hint="eastAsia"/>
              </w:rPr>
              <w:t xml:space="preserve">正文表述为1950年代</w:t>
            </w:r>
          </w:p>
        </w:tc>
        <w:tc>
          <w:tcPr/>
          <w:p>
            <w:pPr>
              <w:pStyle w:val="Compact"/>
            </w:pPr>
            <w:r>
              <w:rPr>
                <w:rFonts w:hint="eastAsia"/>
              </w:rPr>
              <w:t xml:space="preserve">补充阿斯利康官方史料</w:t>
            </w:r>
          </w:p>
        </w:tc>
      </w:tr>
      <w:tr>
        <w:tc>
          <w:tcPr/>
          <w:p>
            <w:pPr>
              <w:pStyle w:val="Compact"/>
            </w:pPr>
            <w:r>
              <w:t xml:space="preserve">6</w:t>
            </w:r>
          </w:p>
        </w:tc>
        <w:tc>
          <w:tcPr/>
          <w:p>
            <w:pPr>
              <w:pStyle w:val="Compact"/>
            </w:pPr>
            <w:r>
              <w:rPr>
                <w:rFonts w:hint="eastAsia"/>
              </w:rPr>
              <w:t xml:space="preserve">葛兰素早期沿革的年份</w:t>
            </w:r>
          </w:p>
        </w:tc>
        <w:tc>
          <w:tcPr/>
          <w:p>
            <w:pPr>
              <w:pStyle w:val="Compact"/>
            </w:pPr>
            <w:r>
              <w:rPr>
                <w:rFonts w:hint="eastAsia"/>
              </w:rPr>
              <w:t xml:space="preserve">内森家族乳品贸易转型时间存在不同表述</w:t>
            </w:r>
          </w:p>
        </w:tc>
        <w:tc>
          <w:tcPr/>
          <w:p>
            <w:pPr>
              <w:pStyle w:val="Compact"/>
            </w:pPr>
            <w:r>
              <w:rPr>
                <w:rFonts w:hint="eastAsia"/>
              </w:rPr>
              <w:t xml:space="preserve">以葛兰素史克官方史料统一</w:t>
            </w:r>
          </w:p>
        </w:tc>
      </w:tr>
      <w:tr>
        <w:tc>
          <w:tcPr/>
          <w:p>
            <w:pPr>
              <w:pStyle w:val="Compact"/>
            </w:pPr>
            <w:r>
              <w:t xml:space="preserve">7</w:t>
            </w:r>
          </w:p>
        </w:tc>
        <w:tc>
          <w:tcPr/>
          <w:p>
            <w:pPr>
              <w:pStyle w:val="Compact"/>
            </w:pPr>
            <w:r>
              <w:rPr>
                <w:rFonts w:hint="eastAsia"/>
              </w:rPr>
              <w:t xml:space="preserve">英国国际认可程序实际运行绩效</w:t>
            </w:r>
          </w:p>
        </w:tc>
        <w:tc>
          <w:tcPr/>
          <w:p>
            <w:pPr>
              <w:pStyle w:val="Compact"/>
            </w:pPr>
            <w:r>
              <w:rPr>
                <w:rFonts w:hint="eastAsia"/>
              </w:rPr>
              <w:t xml:space="preserve">仅获得制度参数，未获官方统计</w:t>
            </w:r>
          </w:p>
        </w:tc>
        <w:tc>
          <w:tcPr/>
          <w:p>
            <w:pPr>
              <w:pStyle w:val="Compact"/>
            </w:pPr>
            <w:r>
              <w:rPr>
                <w:rFonts w:hint="eastAsia"/>
              </w:rPr>
              <w:t xml:space="preserve">查英国药品和保健品管理局年度报告</w:t>
            </w:r>
          </w:p>
        </w:tc>
      </w:tr>
      <w:tr>
        <w:tc>
          <w:tcPr/>
          <w:p>
            <w:pPr>
              <w:pStyle w:val="Compact"/>
            </w:pPr>
            <w:r>
              <w:t xml:space="preserve">8</w:t>
            </w:r>
          </w:p>
        </w:tc>
        <w:tc>
          <w:tcPr/>
          <w:p>
            <w:pPr>
              <w:pStyle w:val="Compact"/>
            </w:pPr>
            <w:r>
              <w:rPr>
                <w:rFonts w:hint="eastAsia"/>
              </w:rPr>
              <w:t xml:space="preserve">瑞士企业对美投资承诺总额约2000亿美元</w:t>
            </w:r>
          </w:p>
        </w:tc>
        <w:tc>
          <w:tcPr/>
          <w:p>
            <w:pPr>
              <w:pStyle w:val="Compact"/>
            </w:pPr>
            <w:r>
              <w:rPr>
                <w:rFonts w:hint="eastAsia"/>
              </w:rPr>
              <w:t xml:space="preserve">来源为财经媒体转述</w:t>
            </w:r>
          </w:p>
        </w:tc>
        <w:tc>
          <w:tcPr/>
          <w:p>
            <w:pPr>
              <w:pStyle w:val="Compact"/>
            </w:pPr>
            <w:r>
              <w:rPr>
                <w:rFonts w:hint="eastAsia"/>
              </w:rPr>
              <w:t xml:space="preserve">以瑞士经济事务秘书处或企业公告核实</w:t>
            </w:r>
          </w:p>
        </w:tc>
      </w:tr>
      <w:tr>
        <w:tc>
          <w:tcPr/>
          <w:p>
            <w:pPr>
              <w:pStyle w:val="Compact"/>
            </w:pPr>
            <w:r>
              <w:t xml:space="preserve">9</w:t>
            </w:r>
          </w:p>
        </w:tc>
        <w:tc>
          <w:tcPr/>
          <w:p>
            <w:pPr>
              <w:pStyle w:val="Compact"/>
            </w:pPr>
            <w:r>
              <w:rPr>
                <w:rFonts w:hint="eastAsia"/>
              </w:rPr>
              <w:t xml:space="preserve">英国跨国药企投资收缩事件的企业表述</w:t>
            </w:r>
          </w:p>
        </w:tc>
        <w:tc>
          <w:tcPr/>
          <w:p>
            <w:pPr>
              <w:pStyle w:val="Compact"/>
            </w:pPr>
            <w:r>
              <w:rPr>
                <w:rFonts w:hint="eastAsia"/>
              </w:rPr>
              <w:t xml:space="preserve">现依据行业媒体报道</w:t>
            </w:r>
          </w:p>
        </w:tc>
        <w:tc>
          <w:tcPr/>
          <w:p>
            <w:pPr>
              <w:pStyle w:val="Compact"/>
            </w:pPr>
            <w:r>
              <w:rPr>
                <w:rFonts w:hint="eastAsia"/>
              </w:rPr>
              <w:t xml:space="preserve">补充企业新闻稿原文</w:t>
            </w:r>
          </w:p>
        </w:tc>
      </w:tr>
    </w:tbl>
    <w:bookmarkEnd w:id="98"/>
    <w:bookmarkEnd w:id="99"/>
    <w:sectPr>
      <w:footerReference w:type="default" r:id="rIdFtr1"/>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line="240" w:lineRule="auto"/>
      <w:ind w:left="0" w:firstLine="0" w:firstLineChars="0"/>
    </w:pPr>
    <w:r>
      <w:rPr>
        <w:rFonts w:ascii="Times New Roman" w:hAnsi="Times New Roman" w:eastAsia="宋体"/>
        <w:sz w:val="21"/>
      </w:rPr>
      <w:fldChar w:fldCharType="begin"/>
    </w:r>
    <w:r>
      <w:rPr>
        <w:rFonts w:ascii="Times New Roman" w:hAnsi="Times New Roman" w:eastAsia="宋体"/>
        <w:sz w:val="21"/>
      </w:rPr>
      <w:instrText xml:space="preserve"> PAGE </w:instrText>
    </w:r>
    <w:r>
      <w:rPr>
        <w:rFonts w:ascii="Times New Roman" w:hAnsi="Times New Roman" w:eastAsia="宋体"/>
        <w:sz w:val="21"/>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Switzerland Global Enterprise. Life Sciences. https://www.s-ge.com/en/life-sciences</w:t>
      </w:r>
    </w:p>
  </w:footnote>
  <w:footnote w:id="10">
    <w:p>
      <w:pPr>
        <w:pStyle w:val="FootnoteText"/>
      </w:pPr>
      <w:r>
        <w:rPr>
          <w:rStyle w:val="FootnoteReference"/>
        </w:rPr>
        <w:footnoteRef/>
      </w:r>
      <w:r>
        <w:t xml:space="preserve"> </w:t>
      </w:r>
      <w:r>
        <w:t xml:space="preserve">PharmaSource. China biopharma out-licensing surges to record $137.7B in 2025. https://pharmasource.global/content/china-biopharma-out-licensing-surges-to-record-137-7b-in-2025-2026-on-pace-to-break-it-again/</w:t>
      </w:r>
    </w:p>
  </w:footnote>
  <w:footnote w:id="11">
    <w:p>
      <w:pPr>
        <w:pStyle w:val="FootnoteText"/>
      </w:pPr>
      <w:r>
        <w:rPr>
          <w:rStyle w:val="FootnoteReference"/>
        </w:rPr>
        <w:footnoteRef/>
      </w:r>
      <w:r>
        <w:t xml:space="preserve"> </w:t>
      </w:r>
      <w:r>
        <w:t xml:space="preserve">PharmaSource. China now sources 32% of global biopharma out-licensing deals, up from 5% in 2020. https://pharmasource.global/content/chart/china-now-sources-32-of-global-biopharma-out-licensing-deals-up-from-5-in-2020/</w:t>
      </w:r>
    </w:p>
  </w:footnote>
  <w:footnote w:id="12">
    <w:p>
      <w:pPr>
        <w:pStyle w:val="FootnoteText"/>
      </w:pPr>
      <w:r>
        <w:rPr>
          <w:rStyle w:val="FootnoteReference"/>
        </w:rPr>
        <w:footnoteRef/>
      </w:r>
      <w:r>
        <w:t xml:space="preserve"> </w:t>
      </w:r>
      <w:r>
        <w:t xml:space="preserve">scienceindustries. Chemical and pharmaceutical industries remain the backbone. 2026. https://www.scienceindustries.ch/en/article/49475/chemical-and-pharmaceutical-industries-remain-the-backbone</w:t>
      </w:r>
    </w:p>
  </w:footnote>
  <w:footnote w:id="13">
    <w:p>
      <w:pPr>
        <w:pStyle w:val="FootnoteText"/>
      </w:pPr>
      <w:r>
        <w:rPr>
          <w:rStyle w:val="FootnoteReference"/>
        </w:rPr>
        <w:footnoteRef/>
      </w:r>
      <w:r>
        <w:t xml:space="preserve"> </w:t>
      </w:r>
      <w:r>
        <w:t xml:space="preserve">Swiss Biotech Association, EY. Swiss Biotech Report 2026. https://www.swissbiotech.org/news/swiss-biotech-report-2026-strong-performance-with-new-records-in-revenues-and-investments-in-privately-funded-companies/</w:t>
      </w:r>
    </w:p>
  </w:footnote>
  <w:footnote w:id="14">
    <w:p>
      <w:pPr>
        <w:pStyle w:val="FootnoteText"/>
      </w:pPr>
      <w:r>
        <w:rPr>
          <w:rStyle w:val="FootnoteReference"/>
        </w:rPr>
        <w:footnoteRef/>
      </w:r>
      <w:r>
        <w:t xml:space="preserve"> </w:t>
      </w:r>
      <w:r>
        <w:t xml:space="preserve">EY. Global spending on R&amp;D – Switzerland ranks 6th. 2026-05. https://www.ey.com/en_ch/newsroom/2026/05/global-spending-on-desearch-and-development-continues-to-grow-switzerland-ranks-6th</w:t>
      </w:r>
    </w:p>
  </w:footnote>
  <w:footnote w:id="15">
    <w:p>
      <w:pPr>
        <w:pStyle w:val="FootnoteText"/>
      </w:pPr>
      <w:r>
        <w:rPr>
          <w:rStyle w:val="FootnoteReference"/>
        </w:rPr>
        <w:footnoteRef/>
      </w:r>
      <w:r>
        <w:t xml:space="preserve"> </w:t>
      </w:r>
      <w:r>
        <w:t xml:space="preserve">Statista. Roche’s expenditure on research and development since 2007. https://statista.com/statistics/266518/roches-expenditure-on-research-and-development-since-2007/</w:t>
      </w:r>
    </w:p>
  </w:footnote>
  <w:footnote w:id="16">
    <w:p>
      <w:pPr>
        <w:pStyle w:val="FootnoteText"/>
      </w:pPr>
      <w:r>
        <w:rPr>
          <w:rStyle w:val="FootnoteReference"/>
        </w:rPr>
        <w:footnoteRef/>
      </w:r>
      <w:r>
        <w:t xml:space="preserve"> </w:t>
      </w:r>
      <w:r>
        <w:t xml:space="preserve">WIPO. Global Innovation Index 2025. https://www.wipo.int/gii-ranking/en/switzerland/</w:t>
      </w:r>
    </w:p>
  </w:footnote>
  <w:footnote w:id="17">
    <w:p>
      <w:pPr>
        <w:pStyle w:val="FootnoteText"/>
      </w:pPr>
      <w:r>
        <w:rPr>
          <w:rStyle w:val="FootnoteReference"/>
        </w:rPr>
        <w:footnoteRef/>
      </w:r>
      <w:r>
        <w:t xml:space="preserve"> </w:t>
      </w:r>
      <w:r>
        <w:t xml:space="preserve">Swissmedic. Swissmedic confirmed as WHO Listed Authority. 2023-10-30. https://www.swissmedic.ch/swissmedic/en/home/news/mitteilungen/smc-als-who-anerkannte-behoerde-wla-bestaetigt.html</w:t>
      </w:r>
    </w:p>
  </w:footnote>
  <w:footnote w:id="19">
    <w:p>
      <w:pPr>
        <w:pStyle w:val="FootnoteText"/>
      </w:pPr>
      <w:r>
        <w:rPr>
          <w:rStyle w:val="FootnoteReference"/>
        </w:rPr>
        <w:footnoteRef/>
      </w:r>
      <w:r>
        <w:t xml:space="preserve"> </w:t>
      </w:r>
      <w:r>
        <w:t xml:space="preserve">Novartis. Company History. https://www.novartis.com/uk-en/about/who-we-are/company-history</w:t>
      </w:r>
    </w:p>
  </w:footnote>
  <w:footnote w:id="20">
    <w:p>
      <w:pPr>
        <w:pStyle w:val="FootnoteText"/>
      </w:pPr>
      <w:r>
        <w:rPr>
          <w:rStyle w:val="FootnoteReference"/>
        </w:rPr>
        <w:footnoteRef/>
      </w:r>
      <w:r>
        <w:t xml:space="preserve"> </w:t>
      </w:r>
      <w:r>
        <w:t xml:space="preserve">pharmaphorum. A history of Roche. https://pharmaphorum.com/articles/a_history_of-_roche</w:t>
      </w:r>
    </w:p>
  </w:footnote>
  <w:footnote w:id="21">
    <w:p>
      <w:pPr>
        <w:pStyle w:val="FootnoteText"/>
      </w:pPr>
      <w:r>
        <w:rPr>
          <w:rStyle w:val="FootnoteReference"/>
        </w:rPr>
        <w:footnoteRef/>
      </w:r>
      <w:r>
        <w:t xml:space="preserve"> </w:t>
      </w:r>
      <w:r>
        <w:t xml:space="preserve">Novartis. Company History. https://www.novartis.com/uk-en/about/who-we-are/company-history</w:t>
      </w:r>
    </w:p>
  </w:footnote>
  <w:footnote w:id="22">
    <w:p>
      <w:pPr>
        <w:pStyle w:val="FootnoteText"/>
      </w:pPr>
      <w:r>
        <w:rPr>
          <w:rStyle w:val="FootnoteReference"/>
        </w:rPr>
        <w:footnoteRef/>
      </w:r>
      <w:r>
        <w:t xml:space="preserve"> </w:t>
      </w:r>
      <w:r>
        <w:t xml:space="preserve">Then Do Better. Why 1857 French patent law made Basel wealthy and birthed Swiss Pharmaceuticals. https://www.thendobetter.com/investing/2021/3/9/why-1857-french-patent-law-made-basel-wealthy-and-birthed-swiss-pharmaceuticals</w:t>
      </w:r>
    </w:p>
  </w:footnote>
  <w:footnote w:id="23">
    <w:p>
      <w:pPr>
        <w:pStyle w:val="FootnoteText"/>
      </w:pPr>
      <w:r>
        <w:rPr>
          <w:rStyle w:val="FootnoteReference"/>
        </w:rPr>
        <w:footnoteRef/>
      </w:r>
      <w:r>
        <w:t xml:space="preserve"> </w:t>
      </w:r>
      <w:r>
        <w:t xml:space="preserve">DrugPatentWatch. Switzerland’s Pharmaceutical Industry. https://www.drugpatentwatch.com/blog/unveiling-the-hidden-drivers-of-switzerlands-pharma-industry/</w:t>
      </w:r>
    </w:p>
  </w:footnote>
  <w:footnote w:id="24">
    <w:p>
      <w:pPr>
        <w:pStyle w:val="FootnoteText"/>
      </w:pPr>
      <w:r>
        <w:rPr>
          <w:rStyle w:val="FootnoteReference"/>
        </w:rPr>
        <w:footnoteRef/>
      </w:r>
      <w:r>
        <w:t xml:space="preserve"> </w:t>
      </w:r>
      <w:r>
        <w:t xml:space="preserve">Swissmedic. Die Chronik. https://www.swissmedic.ch/swissmedic/it/home/ueber-uns/publikationen/visible/swissmedic-visible-mai-2022.spa.v5.app/de/die-chronik.html</w:t>
      </w:r>
    </w:p>
  </w:footnote>
  <w:footnote w:id="25">
    <w:p>
      <w:pPr>
        <w:pStyle w:val="FootnoteText"/>
      </w:pPr>
      <w:r>
        <w:rPr>
          <w:rStyle w:val="FootnoteReference"/>
        </w:rPr>
        <w:footnoteRef/>
      </w:r>
      <w:r>
        <w:t xml:space="preserve"> </w:t>
      </w:r>
      <w:r>
        <w:t xml:space="preserve">Redoxon. Wikipedia. https://en.wikipedia.org/wiki/Redoxon</w:t>
      </w:r>
    </w:p>
  </w:footnote>
  <w:footnote w:id="26">
    <w:p>
      <w:pPr>
        <w:pStyle w:val="FootnoteText"/>
      </w:pPr>
      <w:r>
        <w:rPr>
          <w:rStyle w:val="FootnoteReference"/>
        </w:rPr>
        <w:footnoteRef/>
      </w:r>
      <w:r>
        <w:t xml:space="preserve"> </w:t>
      </w:r>
      <w:r>
        <w:t xml:space="preserve">Historical view on ergot alkaloids. PubMed. https://pubmed.ncbi.nlm.nih.gov/347462/</w:t>
      </w:r>
    </w:p>
  </w:footnote>
  <w:footnote w:id="27">
    <w:p>
      <w:pPr>
        <w:pStyle w:val="FootnoteText"/>
      </w:pPr>
      <w:r>
        <w:rPr>
          <w:rStyle w:val="FootnoteReference"/>
        </w:rPr>
        <w:footnoteRef/>
      </w:r>
      <w:r>
        <w:t xml:space="preserve"> </w:t>
      </w:r>
      <w:r>
        <w:t xml:space="preserve">The history of benzodiazepines. PubMed. https://pubmed.ncbi.nlm.nih.gov/24007886/</w:t>
      </w:r>
    </w:p>
  </w:footnote>
  <w:footnote w:id="28">
    <w:p>
      <w:pPr>
        <w:pStyle w:val="FootnoteText"/>
      </w:pPr>
      <w:r>
        <w:rPr>
          <w:rStyle w:val="FootnoteReference"/>
        </w:rPr>
        <w:footnoteRef/>
      </w:r>
      <w:r>
        <w:t xml:space="preserve"> </w:t>
      </w:r>
      <w:r>
        <w:t xml:space="preserve">Novartis. Company History. https://www.novartis.com/uk-en/about/who-we-are/company-history</w:t>
      </w:r>
    </w:p>
  </w:footnote>
  <w:footnote w:id="29">
    <w:p>
      <w:pPr>
        <w:pStyle w:val="FootnoteText"/>
      </w:pPr>
      <w:r>
        <w:rPr>
          <w:rStyle w:val="FootnoteReference"/>
        </w:rPr>
        <w:footnoteRef/>
      </w:r>
      <w:r>
        <w:t xml:space="preserve"> </w:t>
      </w:r>
      <w:r>
        <w:t xml:space="preserve">Novartis. Company History. https://www.novartis.com/uk-en/about/who-we-are/company-history</w:t>
      </w:r>
    </w:p>
  </w:footnote>
  <w:footnote w:id="30">
    <w:p>
      <w:pPr>
        <w:pStyle w:val="FootnoteText"/>
      </w:pPr>
      <w:r>
        <w:rPr>
          <w:rStyle w:val="FootnoteReference"/>
        </w:rPr>
        <w:footnoteRef/>
      </w:r>
      <w:r>
        <w:t xml:space="preserve"> </w:t>
      </w:r>
      <w:r>
        <w:t xml:space="preserve">Roche to take over Genentech for $47 billion. 2009-03. https://medicalxpress.com/news/2009-03-roche-genentech-billion.html</w:t>
      </w:r>
    </w:p>
  </w:footnote>
  <w:footnote w:id="31">
    <w:p>
      <w:pPr>
        <w:pStyle w:val="FootnoteText"/>
      </w:pPr>
      <w:r>
        <w:rPr>
          <w:rStyle w:val="FootnoteReference"/>
        </w:rPr>
        <w:footnoteRef/>
      </w:r>
      <w:r>
        <w:t xml:space="preserve"> </w:t>
      </w:r>
      <w:r>
        <w:t xml:space="preserve">Novartis. Novartis completes the Alcon spin-off. 2019-04. https://www.novartis.com/news/media-releases/novartis-continues-transformation-leading-medicines-company-completion-alcon-spin</w:t>
      </w:r>
    </w:p>
  </w:footnote>
  <w:footnote w:id="32">
    <w:p>
      <w:pPr>
        <w:pStyle w:val="FootnoteText"/>
      </w:pPr>
      <w:r>
        <w:rPr>
          <w:rStyle w:val="FootnoteReference"/>
        </w:rPr>
        <w:footnoteRef/>
      </w:r>
      <w:r>
        <w:t xml:space="preserve"> </w:t>
      </w:r>
      <w:r>
        <w:t xml:space="preserve">Novartis. Novartis executes Sandoz Spin-off. 2023-10. https://www.novartis.com/news/media-releases/novartis-executes-sandoz-spin-completing-strategic-transformation-leading-focused-innovative-medicines-company</w:t>
      </w:r>
    </w:p>
  </w:footnote>
  <w:footnote w:id="33">
    <w:p>
      <w:pPr>
        <w:pStyle w:val="FootnoteText"/>
      </w:pPr>
      <w:r>
        <w:rPr>
          <w:rStyle w:val="FootnoteReference"/>
        </w:rPr>
        <w:footnoteRef/>
      </w:r>
      <w:r>
        <w:t xml:space="preserve"> </w:t>
      </w:r>
      <w:r>
        <w:t xml:space="preserve">SWI swissinfo.ch. Roche and Novartis reach tariff agreement with US. 2025-11. https://www.swissinfo.ch/eng/various/roche-and-novartis-reach-customs-agreement-with-usa/90671519</w:t>
      </w:r>
    </w:p>
  </w:footnote>
  <w:footnote w:id="34">
    <w:p>
      <w:pPr>
        <w:pStyle w:val="FootnoteText"/>
      </w:pPr>
      <w:r>
        <w:rPr>
          <w:rStyle w:val="FootnoteReference"/>
        </w:rPr>
        <w:footnoteRef/>
      </w:r>
      <w:r>
        <w:t xml:space="preserve"> </w:t>
      </w:r>
      <w:r>
        <w:t xml:space="preserve">Reuters. Switzerland wins US tariff rate cut to 15%. 2025-11. https://finance.yahoo.com/news/details-swiss-u-trade-deal-102124639.html</w:t>
      </w:r>
    </w:p>
  </w:footnote>
  <w:footnote w:id="35">
    <w:p>
      <w:pPr>
        <w:pStyle w:val="FootnoteText"/>
      </w:pPr>
      <w:r>
        <w:rPr>
          <w:rStyle w:val="FootnoteReference"/>
        </w:rPr>
        <w:footnoteRef/>
      </w:r>
      <w:r>
        <w:t xml:space="preserve"> </w:t>
      </w:r>
      <w:r>
        <w:t xml:space="preserve">Swissmedic. Reliance Practices at Swissmedic. 2025. https://www.casss.org/docs/default-source/cmc-strategy-forum-europe/2025-speaker-presentations/dalla-torre-simon-swissmedic-2025.pdf</w:t>
      </w:r>
    </w:p>
  </w:footnote>
  <w:footnote w:id="36">
    <w:p>
      <w:pPr>
        <w:pStyle w:val="FootnoteText"/>
      </w:pPr>
      <w:r>
        <w:rPr>
          <w:rStyle w:val="FootnoteReference"/>
        </w:rPr>
        <w:footnoteRef/>
      </w:r>
      <w:r>
        <w:t xml:space="preserve"> </w:t>
      </w:r>
      <w:r>
        <w:t xml:space="preserve">Swissmedic. Marketing Authorisation Procedure for Global Health Products (MAGHP). https://www.swissmedic.ch/swissmedic/en/home/about-us/development-cooperation/marketing-authorisation-for-global-health-products.html</w:t>
      </w:r>
    </w:p>
  </w:footnote>
  <w:footnote w:id="37">
    <w:p>
      <w:pPr>
        <w:pStyle w:val="FootnoteText"/>
      </w:pPr>
      <w:r>
        <w:rPr>
          <w:rStyle w:val="FootnoteReference"/>
        </w:rPr>
        <w:footnoteRef/>
      </w:r>
      <w:r>
        <w:t xml:space="preserve"> </w:t>
      </w:r>
      <w:r>
        <w:rPr>
          <w:rFonts w:hint="eastAsia"/>
        </w:rPr>
        <w:t xml:space="preserve">瑞士联邦政府.</w:t>
      </w:r>
      <w:r>
        <w:t xml:space="preserve"> Swissmedic authorises a medicinal product under the MAGHP procedure for the first time. 2020-05-14. https://www.admin.ch/gov/en/start/documentation/media-releases.msg-id-79079.html</w:t>
      </w:r>
    </w:p>
  </w:footnote>
  <w:footnote w:id="39">
    <w:p>
      <w:pPr>
        <w:pStyle w:val="FootnoteText"/>
      </w:pPr>
      <w:r>
        <w:rPr>
          <w:rStyle w:val="FootnoteReference"/>
        </w:rPr>
        <w:footnoteRef/>
      </w:r>
      <w:r>
        <w:t xml:space="preserve"> </w:t>
      </w:r>
      <w:r>
        <w:t xml:space="preserve">Swissmedic. Federal contribution to Swissmedic to be increased. https://www.swissmedic.ch/swissmedic/en/home/news/mitteilungen/bundesbeitrag-swissmedic-erhoeht.html</w:t>
      </w:r>
    </w:p>
  </w:footnote>
  <w:footnote w:id="40">
    <w:p>
      <w:pPr>
        <w:pStyle w:val="FootnoteText"/>
      </w:pPr>
      <w:r>
        <w:rPr>
          <w:rStyle w:val="FootnoteReference"/>
        </w:rPr>
        <w:footnoteRef/>
      </w:r>
      <w:r>
        <w:t xml:space="preserve"> </w:t>
      </w:r>
      <w:r>
        <w:t xml:space="preserve">The Local Switzerland. Immigration sees population of Basel enjoy growth spurt. 2026-01-23. https://www.thelocal.ch/20260123/immigration-sees-population-of-basel-enjoy-growth-spurt</w:t>
      </w:r>
    </w:p>
  </w:footnote>
  <w:footnote w:id="41">
    <w:p>
      <w:pPr>
        <w:pStyle w:val="FootnoteText"/>
      </w:pPr>
      <w:r>
        <w:rPr>
          <w:rStyle w:val="FootnoteReference"/>
        </w:rPr>
        <w:footnoteRef/>
      </w:r>
      <w:r>
        <w:t xml:space="preserve"> </w:t>
      </w:r>
      <w:r>
        <w:t xml:space="preserve">PwC. Switzerland – Corporate – Taxes on corporate income. https://taxsummaries.pwc.com/switzerland/corporate/taxes-on-corporate-income</w:t>
      </w:r>
    </w:p>
  </w:footnote>
  <w:footnote w:id="42">
    <w:p>
      <w:pPr>
        <w:pStyle w:val="FootnoteText"/>
      </w:pPr>
      <w:r>
        <w:rPr>
          <w:rStyle w:val="FootnoteReference"/>
        </w:rPr>
        <w:footnoteRef/>
      </w:r>
      <w:r>
        <w:t xml:space="preserve"> </w:t>
      </w:r>
      <w:r>
        <w:t xml:space="preserve">ETH Zürich.</w:t>
      </w:r>
      <w:r>
        <w:t xml:space="preserve"> </w:t>
      </w:r>
      <w:r>
        <w:t xml:space="preserve">“Horizon Europe”</w:t>
      </w:r>
      <w:r>
        <w:t xml:space="preserve">: Switzerland fully associated again. 2025-11. https://ethz.ch/staffnet/en/news-and-events/internal-news/archive/2025/11/horizon-europe-switzerland-fully-associated-again.html</w:t>
      </w:r>
    </w:p>
  </w:footnote>
  <w:footnote w:id="44">
    <w:p>
      <w:pPr>
        <w:pStyle w:val="FootnoteText"/>
      </w:pPr>
      <w:r>
        <w:rPr>
          <w:rStyle w:val="FootnoteReference"/>
        </w:rPr>
        <w:footnoteRef/>
      </w:r>
      <w:r>
        <w:t xml:space="preserve"> </w:t>
      </w:r>
      <w:r>
        <w:t xml:space="preserve">Switzerland Global Enterprise. Our network. https://www.s-ge.com/en/network-switzerland-global-enterprise</w:t>
      </w:r>
    </w:p>
  </w:footnote>
  <w:footnote w:id="45">
    <w:p>
      <w:pPr>
        <w:pStyle w:val="FootnoteText"/>
      </w:pPr>
      <w:r>
        <w:rPr>
          <w:rStyle w:val="FootnoteReference"/>
        </w:rPr>
        <w:footnoteRef/>
      </w:r>
      <w:r>
        <w:t xml:space="preserve"> </w:t>
      </w:r>
      <w:r>
        <w:t xml:space="preserve">Switzerland Global Enterprise. Cooperation with Swissnex Network. https://www.s-ge.com/en/cooperation-swissnex-network</w:t>
      </w:r>
    </w:p>
  </w:footnote>
  <w:footnote w:id="46">
    <w:p>
      <w:pPr>
        <w:pStyle w:val="FootnoteText"/>
      </w:pPr>
      <w:r>
        <w:rPr>
          <w:rStyle w:val="FootnoteReference"/>
        </w:rPr>
        <w:footnoteRef/>
      </w:r>
      <w:r>
        <w:t xml:space="preserve"> </w:t>
      </w:r>
      <w:r>
        <w:rPr>
          <w:rFonts w:hint="eastAsia"/>
        </w:rPr>
        <w:t xml:space="preserve">央视网（英语频道）.</w:t>
      </w:r>
      <w:r>
        <w:t xml:space="preserve"> China, Switzerland reach agreement on an upgraded free trade deal. 2026-08-21. https://english.cctv.com/2026/08/21/ARTIucKArFSLV7NKiqCiE5GU260821.shtml</w:t>
      </w:r>
    </w:p>
  </w:footnote>
  <w:footnote w:id="47">
    <w:p>
      <w:pPr>
        <w:pStyle w:val="FootnoteText"/>
      </w:pPr>
      <w:r>
        <w:rPr>
          <w:rStyle w:val="FootnoteReference"/>
        </w:rPr>
        <w:footnoteRef/>
      </w:r>
      <w:r>
        <w:t xml:space="preserve"> </w:t>
      </w:r>
      <w:r>
        <w:rPr>
          <w:rFonts w:hint="eastAsia"/>
        </w:rPr>
        <w:t xml:space="preserve">瑞士联邦经济事务、教育与科研部（WBF）.</w:t>
      </w:r>
      <w:r>
        <w:t xml:space="preserve"> Switzerland and China conclude negotiations on optimisation of free trade agreement. 2026-08-20. https://www.wbf.admin.ch/en/newnsb/aGSlWc_NOHlHRbL77edlo</w:t>
      </w:r>
    </w:p>
  </w:footnote>
  <w:footnote w:id="48">
    <w:p>
      <w:pPr>
        <w:pStyle w:val="FootnoteText"/>
      </w:pPr>
      <w:r>
        <w:rPr>
          <w:rStyle w:val="FootnoteReference"/>
        </w:rPr>
        <w:footnoteRef/>
      </w:r>
      <w:r>
        <w:t xml:space="preserve"> </w:t>
      </w:r>
      <w:r>
        <w:rPr>
          <w:rFonts w:hint="eastAsia"/>
        </w:rPr>
        <w:t xml:space="preserve">瑞士联邦公共卫生局.</w:t>
      </w:r>
      <w:r>
        <w:t xml:space="preserve"> Prices of medicines in Switzerland – FAQs. https://www.bag.admin.ch/en/prices-of-medicines-in-switzerland-faqs</w:t>
      </w:r>
    </w:p>
  </w:footnote>
  <w:footnote w:id="50">
    <w:p>
      <w:pPr>
        <w:pStyle w:val="FootnoteText"/>
      </w:pPr>
      <w:r>
        <w:rPr>
          <w:rStyle w:val="FootnoteReference"/>
        </w:rPr>
        <w:footnoteRef/>
      </w:r>
      <w:r>
        <w:t xml:space="preserve"> </w:t>
      </w:r>
      <w:r>
        <w:rPr>
          <w:rFonts w:hint="eastAsia"/>
        </w:rPr>
        <w:t xml:space="preserve">瑞士联邦政府.</w:t>
      </w:r>
      <w:r>
        <w:t xml:space="preserve"> Popular vote on 14 June 2026. https://www.admin.ch/en/popular-vote-of-14-june-2026</w:t>
      </w:r>
    </w:p>
  </w:footnote>
  <w:footnote w:id="51">
    <w:p>
      <w:pPr>
        <w:pStyle w:val="FootnoteText"/>
      </w:pPr>
      <w:r>
        <w:rPr>
          <w:rStyle w:val="FootnoteReference"/>
        </w:rPr>
        <w:footnoteRef/>
      </w:r>
      <w:r>
        <w:t xml:space="preserve"> </w:t>
      </w:r>
      <w:r>
        <w:t xml:space="preserve">2026 Swiss referendums. https://en.wikipedia.org/wiki/2026_Swiss_referendums</w:t>
      </w:r>
    </w:p>
  </w:footnote>
  <w:footnote w:id="52">
    <w:p>
      <w:pPr>
        <w:pStyle w:val="FootnoteText"/>
      </w:pPr>
      <w:r>
        <w:rPr>
          <w:rStyle w:val="FootnoteReference"/>
        </w:rPr>
        <w:footnoteRef/>
      </w:r>
      <w:r>
        <w:t xml:space="preserve"> </w:t>
      </w:r>
      <w:r>
        <w:t xml:space="preserve">Deloitte. Pillar Two incentives guide: Switzerland. https://www.deloitte.com/ch/en/services/tax/perspectives/pillar-two-incentives-guide-switzerland.html</w:t>
      </w:r>
    </w:p>
  </w:footnote>
  <w:footnote w:id="55">
    <w:p>
      <w:pPr>
        <w:pStyle w:val="FootnoteText"/>
      </w:pPr>
      <w:r>
        <w:rPr>
          <w:rStyle w:val="FootnoteReference"/>
        </w:rPr>
        <w:footnoteRef/>
      </w:r>
      <w:r>
        <w:t xml:space="preserve"> </w:t>
      </w:r>
      <w:r>
        <w:t xml:space="preserve">WIPO. Global Innovation Index 2025. https://www.wipo.int/gii-ranking/en/switzerland/</w:t>
      </w:r>
    </w:p>
  </w:footnote>
  <w:footnote w:id="56">
    <w:p>
      <w:pPr>
        <w:pStyle w:val="FootnoteText"/>
      </w:pPr>
      <w:r>
        <w:rPr>
          <w:rStyle w:val="FootnoteReference"/>
        </w:rPr>
        <w:footnoteRef/>
      </w:r>
      <w:r>
        <w:t xml:space="preserve"> </w:t>
      </w:r>
      <w:r>
        <w:t xml:space="preserve">UK Government. Life Sciences Sector Plan. 2025-07. https://www.gov.uk/government/publications/life-sciences-sector-plan/life-sciences-sector-plan</w:t>
      </w:r>
    </w:p>
  </w:footnote>
  <w:footnote w:id="57">
    <w:p>
      <w:pPr>
        <w:pStyle w:val="FootnoteText"/>
      </w:pPr>
      <w:r>
        <w:rPr>
          <w:rStyle w:val="FootnoteReference"/>
        </w:rPr>
        <w:footnoteRef/>
      </w:r>
      <w:r>
        <w:t xml:space="preserve"> </w:t>
      </w:r>
      <w:r>
        <w:t xml:space="preserve">WHO. WHO designates new WHO-Listed Authorities. 2025-08-07. https://www.who.int/news/item/07-08-2025-who-designates-new-who-listed-authorities–strengthening-global-access-to-quality-assured-medical-products</w:t>
      </w:r>
    </w:p>
  </w:footnote>
  <w:footnote w:id="58">
    <w:p>
      <w:pPr>
        <w:pStyle w:val="FootnoteText"/>
      </w:pPr>
      <w:r>
        <w:rPr>
          <w:rStyle w:val="FootnoteReference"/>
        </w:rPr>
        <w:footnoteRef/>
      </w:r>
      <w:r>
        <w:t xml:space="preserve"> </w:t>
      </w:r>
      <w:r>
        <w:t xml:space="preserve">PharmaSource. Merck abandons £1bn London research centre. https://pharmasource.global/content/expert-insight/merck-abandons-1bn-london-research-centre-dealing-fresh-blow-to-post-brexit-britains-life-sciences-ambitions/</w:t>
      </w:r>
    </w:p>
  </w:footnote>
  <w:footnote w:id="59">
    <w:p>
      <w:pPr>
        <w:pStyle w:val="FootnoteText"/>
      </w:pPr>
      <w:r>
        <w:rPr>
          <w:rStyle w:val="FootnoteReference"/>
        </w:rPr>
        <w:footnoteRef/>
      </w:r>
      <w:r>
        <w:t xml:space="preserve"> </w:t>
      </w:r>
      <w:r>
        <w:t xml:space="preserve">pharmaphorum. AZ halts UK investment, and Lilly, Sanofi follow suit. https://pharmaphorum.com/news/az-halts-uk-investment-and-lilly-sanofi-follow-suit</w:t>
      </w:r>
    </w:p>
  </w:footnote>
  <w:footnote w:id="60">
    <w:p>
      <w:pPr>
        <w:pStyle w:val="FootnoteText"/>
      </w:pPr>
      <w:r>
        <w:rPr>
          <w:rStyle w:val="FootnoteReference"/>
        </w:rPr>
        <w:footnoteRef/>
      </w:r>
      <w:r>
        <w:t xml:space="preserve"> </w:t>
      </w:r>
      <w:r>
        <w:t xml:space="preserve">FierceBiotech. AstraZeneca restarts £300M investment in UK, but Merck not budging. 2026. https://www.fiercebiotech.com/biotech/astrazeneca-restarts-300m-investment-england-merck-not-budging</w:t>
      </w:r>
    </w:p>
  </w:footnote>
  <w:footnote w:id="62">
    <w:p>
      <w:pPr>
        <w:pStyle w:val="FootnoteText"/>
      </w:pPr>
      <w:r>
        <w:rPr>
          <w:rStyle w:val="FootnoteReference"/>
        </w:rPr>
        <w:footnoteRef/>
      </w:r>
      <w:r>
        <w:t xml:space="preserve"> </w:t>
      </w:r>
      <w:r>
        <w:t xml:space="preserve">Burroughs Wellcome Fund. History. https://www.bwfund.org/about/history/</w:t>
      </w:r>
    </w:p>
  </w:footnote>
  <w:footnote w:id="63">
    <w:p>
      <w:pPr>
        <w:pStyle w:val="FootnoteText"/>
      </w:pPr>
      <w:r>
        <w:rPr>
          <w:rStyle w:val="FootnoteReference"/>
        </w:rPr>
        <w:footnoteRef/>
      </w:r>
      <w:r>
        <w:t xml:space="preserve"> </w:t>
      </w:r>
      <w:r>
        <w:t xml:space="preserve">Wellcome Research Laboratories. https://www.wikimd.org/wiki/Wellcome_Research_Laboratories</w:t>
      </w:r>
    </w:p>
  </w:footnote>
  <w:footnote w:id="64">
    <w:p>
      <w:pPr>
        <w:pStyle w:val="FootnoteText"/>
      </w:pPr>
      <w:r>
        <w:rPr>
          <w:rStyle w:val="FootnoteReference"/>
        </w:rPr>
        <w:footnoteRef/>
      </w:r>
      <w:r>
        <w:t xml:space="preserve"> </w:t>
      </w:r>
      <w:r>
        <w:t xml:space="preserve">Beecham Group. https://en.wikipedia.org/wiki/Beecham_Group</w:t>
      </w:r>
    </w:p>
  </w:footnote>
  <w:footnote w:id="65">
    <w:p>
      <w:pPr>
        <w:pStyle w:val="FootnoteText"/>
      </w:pPr>
      <w:r>
        <w:rPr>
          <w:rStyle w:val="FootnoteReference"/>
        </w:rPr>
        <w:footnoteRef/>
      </w:r>
      <w:r>
        <w:t xml:space="preserve"> </w:t>
      </w:r>
      <w:r>
        <w:t xml:space="preserve">Beecham Group. https://en.wikipedia.org/wiki/Beecham_Group</w:t>
      </w:r>
    </w:p>
  </w:footnote>
  <w:footnote w:id="66">
    <w:p>
      <w:pPr>
        <w:pStyle w:val="FootnoteText"/>
      </w:pPr>
      <w:r>
        <w:rPr>
          <w:rStyle w:val="FootnoteReference"/>
        </w:rPr>
        <w:footnoteRef/>
      </w:r>
      <w:r>
        <w:t xml:space="preserve"> </w:t>
      </w:r>
      <w:r>
        <w:t xml:space="preserve">James Black (pharmacologist). https://en.wikipedia.org/wiki/James_Black_(pharmacologist)</w:t>
      </w:r>
    </w:p>
  </w:footnote>
  <w:footnote w:id="67">
    <w:p>
      <w:pPr>
        <w:pStyle w:val="FootnoteText"/>
      </w:pPr>
      <w:r>
        <w:rPr>
          <w:rStyle w:val="FootnoteReference"/>
        </w:rPr>
        <w:footnoteRef/>
      </w:r>
      <w:r>
        <w:t xml:space="preserve"> </w:t>
      </w:r>
      <w:r>
        <w:t xml:space="preserve">Cambridge University Press. Putting Theory into Practice: James Black. Medical History, 2006, 50: 69–92.</w:t>
      </w:r>
    </w:p>
  </w:footnote>
  <w:footnote w:id="68">
    <w:p>
      <w:pPr>
        <w:pStyle w:val="FootnoteText"/>
      </w:pPr>
      <w:r>
        <w:rPr>
          <w:rStyle w:val="FootnoteReference"/>
        </w:rPr>
        <w:footnoteRef/>
      </w:r>
      <w:r>
        <w:t xml:space="preserve"> </w:t>
      </w:r>
      <w:r>
        <w:t xml:space="preserve">pharmaphorum. A history of GlaxoSmithKline. https://pharmaphorum.com/views-and-analysis/a_history_of-_glaxosmithkline</w:t>
      </w:r>
    </w:p>
  </w:footnote>
  <w:footnote w:id="69">
    <w:p>
      <w:pPr>
        <w:pStyle w:val="FootnoteText"/>
      </w:pPr>
      <w:r>
        <w:rPr>
          <w:rStyle w:val="FootnoteReference"/>
        </w:rPr>
        <w:footnoteRef/>
      </w:r>
      <w:r>
        <w:t xml:space="preserve"> </w:t>
      </w:r>
      <w:r>
        <w:t xml:space="preserve">Pharmaceutical Price Regulation Scheme. https://en.wikipedia.org/wiki/Pharmaceutical_Price_Regulation_Scheme</w:t>
      </w:r>
    </w:p>
  </w:footnote>
  <w:footnote w:id="70">
    <w:p>
      <w:pPr>
        <w:pStyle w:val="FootnoteText"/>
      </w:pPr>
      <w:r>
        <w:rPr>
          <w:rStyle w:val="FootnoteReference"/>
        </w:rPr>
        <w:footnoteRef/>
      </w:r>
      <w:r>
        <w:t xml:space="preserve"> </w:t>
      </w:r>
      <w:r>
        <w:t xml:space="preserve">Mondaq. The UK Pharmaceutical Price Regulation Scheme (PPRS). https://www.mondaq.com/uk/healthcare/334180/</w:t>
      </w:r>
    </w:p>
  </w:footnote>
  <w:footnote w:id="71">
    <w:p>
      <w:pPr>
        <w:pStyle w:val="FootnoteText"/>
      </w:pPr>
      <w:r>
        <w:rPr>
          <w:rStyle w:val="FootnoteReference"/>
        </w:rPr>
        <w:footnoteRef/>
      </w:r>
      <w:r>
        <w:t xml:space="preserve"> </w:t>
      </w:r>
      <w:r>
        <w:t xml:space="preserve">Medicines Act 1968. https://en.wikipedia.org/wiki/Medicines_Act_1968</w:t>
      </w:r>
    </w:p>
  </w:footnote>
  <w:footnote w:id="72">
    <w:p>
      <w:pPr>
        <w:pStyle w:val="FootnoteText"/>
      </w:pPr>
      <w:r>
        <w:rPr>
          <w:rStyle w:val="FootnoteReference"/>
        </w:rPr>
        <w:footnoteRef/>
      </w:r>
      <w:r>
        <w:t xml:space="preserve"> </w:t>
      </w:r>
      <w:r>
        <w:t xml:space="preserve">Committee on Safety of Medicines. https://en.wikipedia.org/wiki/Committee_on_Safety_of_Medicines</w:t>
      </w:r>
    </w:p>
  </w:footnote>
  <w:footnote w:id="73">
    <w:p>
      <w:pPr>
        <w:pStyle w:val="FootnoteText"/>
      </w:pPr>
      <w:r>
        <w:rPr>
          <w:rStyle w:val="FootnoteReference"/>
        </w:rPr>
        <w:footnoteRef/>
      </w:r>
      <w:r>
        <w:t xml:space="preserve"> </w:t>
      </w:r>
      <w:r>
        <w:t xml:space="preserve">pharmaphorum. A history of GlaxoSmithKline. https://pharmaphorum.com/views-and-analysis/a_history_of-_glaxosmithkline</w:t>
      </w:r>
    </w:p>
  </w:footnote>
  <w:footnote w:id="74">
    <w:p>
      <w:pPr>
        <w:pStyle w:val="FootnoteText"/>
      </w:pPr>
      <w:r>
        <w:rPr>
          <w:rStyle w:val="FootnoteReference"/>
        </w:rPr>
        <w:footnoteRef/>
      </w:r>
      <w:r>
        <w:t xml:space="preserve"> </w:t>
      </w:r>
      <w:r>
        <w:t xml:space="preserve">Smith, Kline &amp; French. https://en.wikipedia.org/wiki/Smith,</w:t>
      </w:r>
      <w:r>
        <w:rPr>
          <w:i/>
          <w:iCs/>
        </w:rPr>
        <w:t xml:space="preserve">Kline</w:t>
      </w:r>
      <w:r>
        <w:t xml:space="preserve">%26_French</w:t>
      </w:r>
    </w:p>
  </w:footnote>
  <w:footnote w:id="75">
    <w:p>
      <w:pPr>
        <w:pStyle w:val="FootnoteText"/>
      </w:pPr>
      <w:r>
        <w:rPr>
          <w:rStyle w:val="FootnoteReference"/>
        </w:rPr>
        <w:footnoteRef/>
      </w:r>
      <w:r>
        <w:t xml:space="preserve"> </w:t>
      </w:r>
      <w:r>
        <w:t xml:space="preserve">GSK plc. https://en.wikipedia.org/wiki/GSK_plc</w:t>
      </w:r>
    </w:p>
  </w:footnote>
  <w:footnote w:id="76">
    <w:p>
      <w:pPr>
        <w:pStyle w:val="FootnoteText"/>
      </w:pPr>
      <w:r>
        <w:rPr>
          <w:rStyle w:val="FootnoteReference"/>
        </w:rPr>
        <w:footnoteRef/>
      </w:r>
      <w:r>
        <w:t xml:space="preserve"> </w:t>
      </w:r>
      <w:r>
        <w:t xml:space="preserve">Zeneca. https://en.wikipedia.org/wiki/Zeneca</w:t>
      </w:r>
    </w:p>
  </w:footnote>
  <w:footnote w:id="77">
    <w:p>
      <w:pPr>
        <w:pStyle w:val="FootnoteText"/>
      </w:pPr>
      <w:r>
        <w:rPr>
          <w:rStyle w:val="FootnoteReference"/>
        </w:rPr>
        <w:footnoteRef/>
      </w:r>
      <w:r>
        <w:t xml:space="preserve"> </w:t>
      </w:r>
      <w:r>
        <w:t xml:space="preserve">AstraZeneca. A timeline of our company history. https://www.astrazeneca.com/our-company/history.html</w:t>
      </w:r>
    </w:p>
  </w:footnote>
  <w:footnote w:id="78">
    <w:p>
      <w:pPr>
        <w:pStyle w:val="FootnoteText"/>
      </w:pPr>
      <w:r>
        <w:rPr>
          <w:rStyle w:val="FootnoteReference"/>
        </w:rPr>
        <w:footnoteRef/>
      </w:r>
      <w:r>
        <w:t xml:space="preserve"> </w:t>
      </w:r>
      <w:r>
        <w:t xml:space="preserve">G&amp;L Scientific. MHRA’s 2025–26 Regulatory Overhaul. https://gandlscientific.com/knowledge-hub/mhras-2025-26-regulatory-overhaul</w:t>
      </w:r>
    </w:p>
  </w:footnote>
  <w:footnote w:id="79">
    <w:p>
      <w:pPr>
        <w:pStyle w:val="FootnoteText"/>
      </w:pPr>
      <w:r>
        <w:rPr>
          <w:rStyle w:val="FootnoteReference"/>
        </w:rPr>
        <w:footnoteRef/>
      </w:r>
      <w:r>
        <w:t xml:space="preserve"> </w:t>
      </w:r>
      <w:r>
        <w:t xml:space="preserve">UK Government. Government drives forward its 150-day clinical trial target. 2025-10-02. https://www.gov.uk/government/news/government-drives-forward-its-150-day-clinical-trial-target</w:t>
      </w:r>
    </w:p>
  </w:footnote>
  <w:footnote w:id="80">
    <w:p>
      <w:pPr>
        <w:pStyle w:val="FootnoteText"/>
      </w:pPr>
      <w:r>
        <w:rPr>
          <w:rStyle w:val="FootnoteReference"/>
        </w:rPr>
        <w:footnoteRef/>
      </w:r>
      <w:r>
        <w:t xml:space="preserve"> </w:t>
      </w:r>
      <w:r>
        <w:t xml:space="preserve">NIHR. NIHR at the heart of UK clinical research transformation. https://www.nihr.ac.uk/news/nihr-heart-uk-clinical-research-transformation-delivering-faster-access-innovation</w:t>
      </w:r>
    </w:p>
  </w:footnote>
  <w:footnote w:id="81">
    <w:p>
      <w:pPr>
        <w:pStyle w:val="FootnoteText"/>
      </w:pPr>
      <w:r>
        <w:rPr>
          <w:rStyle w:val="FootnoteReference"/>
        </w:rPr>
        <w:footnoteRef/>
      </w:r>
      <w:r>
        <w:t xml:space="preserve"> </w:t>
      </w:r>
      <w:r>
        <w:t xml:space="preserve">ABPI. MHRA’s new International Recognition Procedure (IRP). https://www.abpi.org.uk/media/blogs/2023/september/mhra-s-new-international-recognition-procedure-irp-how-does-it-shape-up/</w:t>
      </w:r>
    </w:p>
  </w:footnote>
  <w:footnote w:id="82">
    <w:p>
      <w:pPr>
        <w:pStyle w:val="FootnoteText"/>
      </w:pPr>
      <w:r>
        <w:rPr>
          <w:rStyle w:val="FootnoteReference"/>
        </w:rPr>
        <w:footnoteRef/>
      </w:r>
      <w:r>
        <w:t xml:space="preserve"> </w:t>
      </w:r>
      <w:r>
        <w:t xml:space="preserve">Sidley GoodLifeSci.</w:t>
      </w:r>
      <w:r>
        <w:t xml:space="preserve"> </w:t>
      </w:r>
      <w:r>
        <w:t xml:space="preserve">“Refreshed”</w:t>
      </w:r>
      <w:r>
        <w:t xml:space="preserve"> </w:t>
      </w:r>
      <w:r>
        <w:t xml:space="preserve">UK-wide ILAP Applications Now Open. 2025-04-01. https://goodlifesci.sidley.com/2025/04/01/refreshed-uk-wide-innovative-licensing-and-access-pathway-ilap-applications-now-open/</w:t>
      </w:r>
    </w:p>
  </w:footnote>
  <w:footnote w:id="83">
    <w:p>
      <w:pPr>
        <w:pStyle w:val="FootnoteText"/>
      </w:pPr>
      <w:r>
        <w:rPr>
          <w:rStyle w:val="FootnoteReference"/>
        </w:rPr>
        <w:footnoteRef/>
      </w:r>
      <w:r>
        <w:t xml:space="preserve"> </w:t>
      </w:r>
      <w:r>
        <w:t xml:space="preserve">ABPI. Understanding NHS medicines spending in England. 2025-03. https://www.abpi.org.uk/media/blogs/2025/march/understanding-nhs-medicines-spending-in-england/</w:t>
      </w:r>
    </w:p>
  </w:footnote>
  <w:footnote w:id="84">
    <w:p>
      <w:pPr>
        <w:pStyle w:val="FootnoteText"/>
      </w:pPr>
      <w:r>
        <w:rPr>
          <w:rStyle w:val="FootnoteReference"/>
        </w:rPr>
        <w:footnoteRef/>
      </w:r>
      <w:r>
        <w:t xml:space="preserve"> </w:t>
      </w:r>
      <w:r>
        <w:t xml:space="preserve">The King’s Fund. Access to new medicines in the English NHS. https://www.kingsfund.org.uk/insight-and-analysis/long-reads/access-new-medicines-english-nhs</w:t>
      </w:r>
    </w:p>
  </w:footnote>
  <w:footnote w:id="85">
    <w:p>
      <w:pPr>
        <w:pStyle w:val="FootnoteText"/>
      </w:pPr>
      <w:r>
        <w:rPr>
          <w:rStyle w:val="FootnoteReference"/>
        </w:rPr>
        <w:footnoteRef/>
      </w:r>
      <w:r>
        <w:t xml:space="preserve"> </w:t>
      </w:r>
      <w:r>
        <w:t xml:space="preserve">ABPI. VPAG payment rate for newer medicines will be 14.5% in 2026. 2025-12. https://www.abpi.org.uk/media/news/2025/december/vpag-payment-rate-for-newer-medicines-will-be-145-in-2026/</w:t>
      </w:r>
    </w:p>
  </w:footnote>
  <w:footnote w:id="87">
    <w:p>
      <w:pPr>
        <w:pStyle w:val="FootnoteText"/>
      </w:pPr>
      <w:r>
        <w:rPr>
          <w:rStyle w:val="FootnoteReference"/>
        </w:rPr>
        <w:footnoteRef/>
      </w:r>
      <w:r>
        <w:t xml:space="preserve"> </w:t>
      </w:r>
      <w:r>
        <w:t xml:space="preserve">UK Government. Life Sciences Sector Plan. 2025-07. https://www.gov.uk/government/publications/life-sciences-sector-plan/life-sciences-sector-plan</w:t>
      </w:r>
    </w:p>
  </w:footnote>
  <w:footnote w:id="88">
    <w:p>
      <w:pPr>
        <w:pStyle w:val="FootnoteText"/>
      </w:pPr>
      <w:r>
        <w:rPr>
          <w:rStyle w:val="FootnoteReference"/>
        </w:rPr>
        <w:footnoteRef/>
      </w:r>
      <w:r>
        <w:t xml:space="preserve"> </w:t>
      </w:r>
      <w:r>
        <w:t xml:space="preserve">UK Government. Government drives forward its 150-day clinical trial target. 2025-10-02. https://www.gov.uk/government/news/government-drives-forward-its-150-day-clinical-trial-target</w:t>
      </w:r>
    </w:p>
  </w:footnote>
  <w:footnote w:id="89">
    <w:p>
      <w:pPr>
        <w:pStyle w:val="FootnoteText"/>
      </w:pPr>
      <w:r>
        <w:rPr>
          <w:rStyle w:val="FootnoteReference"/>
        </w:rPr>
        <w:footnoteRef/>
      </w:r>
      <w:r>
        <w:t xml:space="preserve"> </w:t>
      </w:r>
      <w:r>
        <w:t xml:space="preserve">NIHR. NIHR at the heart of UK clinical research transformation. https://www.nihr.ac.uk/news/nihr-heart-uk-clinical-research-transformation-delivering-faster-access-innovation</w:t>
      </w:r>
    </w:p>
  </w:footnote>
  <w:footnote w:id="91">
    <w:p>
      <w:pPr>
        <w:pStyle w:val="FootnoteText"/>
      </w:pPr>
      <w:r>
        <w:rPr>
          <w:rStyle w:val="FootnoteReference"/>
        </w:rPr>
        <w:footnoteRef/>
      </w:r>
      <w:r>
        <w:t xml:space="preserve"> </w:t>
      </w:r>
      <w:r>
        <w:t xml:space="preserve">NHS Confederation. Life Sciences Sector Plan: what you need to know. https://www.nhsconfed.org/publications/life-sciences-sector-plan</w:t>
      </w:r>
    </w:p>
  </w:footnote>
  <w:footnote w:id="92">
    <w:p>
      <w:pPr>
        <w:pStyle w:val="FootnoteText"/>
      </w:pPr>
      <w:r>
        <w:rPr>
          <w:rStyle w:val="FootnoteReference"/>
        </w:rPr>
        <w:footnoteRef/>
      </w:r>
      <w:r>
        <w:t xml:space="preserve"> </w:t>
      </w:r>
      <w:r>
        <w:t xml:space="preserve">UK Government.</w:t>
      </w:r>
      <w:r>
        <w:t xml:space="preserve"> </w:t>
      </w:r>
      <w:r>
        <w:t xml:space="preserve">‘Innovator passports’</w:t>
      </w:r>
      <w:r>
        <w:t xml:space="preserve"> </w:t>
      </w:r>
      <w:r>
        <w:t xml:space="preserve">set to accelerate cutting-edge NHS care. https://www.gov.uk/government/news/innovator-passports-set-to-accelerate-cutting-edge-nhs-care</w:t>
      </w:r>
    </w:p>
  </w:footnote>
  <w:footnote w:id="94">
    <w:p>
      <w:pPr>
        <w:pStyle w:val="FootnoteText"/>
      </w:pPr>
      <w:r>
        <w:rPr>
          <w:rStyle w:val="FootnoteReference"/>
        </w:rPr>
        <w:footnoteRef/>
      </w:r>
      <w:r>
        <w:t xml:space="preserve"> </w:t>
      </w:r>
      <w:r>
        <w:t xml:space="preserve">BIA. UK biotech finishes on high despite challenging 2025. https://www.bioindustry.org/resource/uk-biotech-finishes-on-high-despite-challenging-2025-bia-report-finds.html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kern w:val="2"/>
        <w:sz w:val="32"/>
        <w:szCs w:val="32"/>
        <w:lang w:eastAsia="zh-CN" w:val="en-US"/>
      </w:rPr>
    </w:rPrDefault>
    <w:pPrDefault>
      <w:pPr>
        <w:widowControl w:val="0"/>
        <w:jc w:val="both"/>
      </w:pPr>
    </w:pPrDefault>
  </w:docDefaults>
  <w:latentStyles w:count="276" w:defLockedState="0" w:defQFormat="0" w:defSemiHidden="0" w:defUIPriority="0" w:defUnhideWhenUsed="0"/>
  <w:style w:default="1" w:styleId="Normal" w:type="paragraph">
    <w:name w:val="Normal"/>
    <w:pPr>
      <w:widowControl w:val="0"/>
      <w:spacing w:after="0" w:before="0" w:line="440" w:lineRule="exact"/>
      <w:ind w:firstLine="640" w:firstLineChars="200"/>
      <w:jc w:val="both"/>
    </w:pPr>
    <w:rPr>
      <w:rFonts w:ascii="Times New Roman" w:cs="Times New Roman" w:eastAsia="宋体" w:hAnsi="Times New Roman"/>
      <w:kern w:val="2"/>
      <w:sz w:val="28"/>
      <w:szCs w:val="28"/>
    </w:rPr>
  </w:style>
  <w:style w:styleId="BodyText" w:type="paragraph">
    <w:name w:val="Body Text"/>
    <w:basedOn w:val="Normal"/>
    <w:link w:val="BodyTextChar"/>
    <w:pPr>
      <w:widowControl w:val="0"/>
      <w:spacing w:after="0" w:before="0" w:line="440" w:lineRule="exact"/>
      <w:ind w:firstLine="640" w:firstLineChars="200"/>
      <w:jc w:val="both"/>
    </w:pPr>
    <w:rPr>
      <w:rFonts w:ascii="Times New Roman" w:cs="Times New Roman" w:eastAsia="宋体" w:hAnsi="Times New Roman"/>
      <w:kern w:val="2"/>
      <w:sz w:val="28"/>
      <w:szCs w:val="28"/>
    </w:rPr>
  </w:style>
  <w:style w:customStyle="1" w:styleId="FirstParagraph" w:type="paragraph">
    <w:name w:val="First Paragraph"/>
    <w:basedOn w:val="BodyText"/>
    <w:next w:val="BodyText"/>
    <w:pPr>
      <w:widowControl w:val="0"/>
      <w:spacing w:after="0" w:before="0" w:line="440" w:lineRule="exact"/>
      <w:ind w:firstLine="640" w:firstLineChars="200"/>
      <w:jc w:val="both"/>
    </w:pPr>
    <w:rPr>
      <w:rFonts w:ascii="Times New Roman" w:cs="Times New Roman" w:eastAsia="宋体" w:hAnsi="Times New Roman"/>
      <w:kern w:val="2"/>
      <w:sz w:val="28"/>
      <w:szCs w:val="28"/>
    </w:rPr>
  </w:style>
  <w:style w:customStyle="1" w:styleId="Compact" w:type="paragraph">
    <w:name w:val="Compact"/>
    <w:basedOn w:val="BodyText"/>
    <w:pPr>
      <w:widowControl w:val="0"/>
      <w:spacing w:after="20" w:before="20" w:line="280" w:lineRule="exact"/>
      <w:ind w:firstLine="0" w:firstLineChars="0" w:left="0"/>
      <w:jc w:val="left"/>
    </w:pPr>
    <w:rPr>
      <w:rFonts w:ascii="Times New Roman" w:cs="Times New Roman" w:eastAsia="宋体" w:hAnsi="Times New Roman"/>
      <w:sz w:val="18"/>
      <w:szCs w:val="18"/>
    </w:rPr>
  </w:style>
  <w:style w:styleId="Title" w:type="paragraph">
    <w:name w:val="Title"/>
    <w:basedOn w:val="Normal"/>
    <w:next w:val="BodyText"/>
    <w:link w:val="TitleChar"/>
    <w:uiPriority w:val="10"/>
    <w:pPr>
      <w:spacing w:after="240" w:before="0" w:line="480" w:lineRule="exact"/>
      <w:ind w:firstLine="0" w:firstLineChars="0" w:left="0"/>
      <w:jc w:val="center"/>
    </w:pPr>
    <w:rPr>
      <w:rFonts w:ascii="Times New Roman" w:cs="Times New Roman" w:eastAsia="黑体" w:hAnsi="Times New Roman"/>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pPr>
      <w:keepNext/>
      <w:keepLines/>
      <w:spacing w:after="360" w:before="240" w:line="480" w:lineRule="exact"/>
      <w:ind w:firstLine="0" w:firstLineChars="0" w:left="0"/>
      <w:jc w:val="center"/>
      <w:outlineLvl w:val="0"/>
    </w:pPr>
    <w:rPr>
      <w:rFonts w:ascii="Times New Roman" w:cs="Times New Roman" w:eastAsia="黑体" w:hAnsi="Times New Roman"/>
      <w:b w:val="0"/>
      <w:sz w:val="32"/>
      <w:szCs w:val="32"/>
    </w:rPr>
  </w:style>
  <w:style w:styleId="Heading2" w:type="paragraph">
    <w:name w:val="heading 2"/>
    <w:basedOn w:val="Normal"/>
    <w:next w:val="BodyText"/>
    <w:link w:val="Heading2Char"/>
    <w:uiPriority w:val="9"/>
    <w:pPr>
      <w:keepNext/>
      <w:keepLines/>
      <w:spacing w:after="120" w:before="240" w:line="440" w:lineRule="exact"/>
      <w:ind w:firstLine="640" w:firstLineChars="200"/>
      <w:jc w:val="both"/>
      <w:outlineLvl w:val="1"/>
    </w:pPr>
    <w:rPr>
      <w:rFonts w:ascii="Times New Roman" w:cs="Times New Roman" w:eastAsia="黑体" w:hAnsi="Times New Roman"/>
      <w:b w:val="0"/>
      <w:sz w:val="28"/>
      <w:szCs w:val="28"/>
    </w:rPr>
  </w:style>
  <w:style w:styleId="Heading3" w:type="paragraph">
    <w:name w:val="heading 3"/>
    <w:basedOn w:val="Normal"/>
    <w:next w:val="BodyText"/>
    <w:link w:val="Heading3Char"/>
    <w:uiPriority w:val="9"/>
    <w:pPr>
      <w:keepNext/>
      <w:keepLines/>
      <w:spacing w:after="0" w:before="120" w:line="440" w:lineRule="exact"/>
      <w:ind w:firstLine="640" w:firstLineChars="200"/>
      <w:jc w:val="both"/>
      <w:outlineLvl w:val="2"/>
    </w:pPr>
    <w:rPr>
      <w:rFonts w:ascii="Times New Roman" w:cs="Times New Roman" w:eastAsia="楷体" w:hAnsi="Times New Roman"/>
      <w:b w:val="0"/>
      <w:sz w:val="28"/>
      <w:szCs w:val="28"/>
    </w:rPr>
  </w:style>
  <w:style w:styleId="Heading4" w:type="paragraph">
    <w:name w:val="heading 4"/>
    <w:basedOn w:val="Normal"/>
    <w:next w:val="BodyText"/>
    <w:link w:val="Heading4Char"/>
    <w:uiPriority w:val="9"/>
    <w:pPr>
      <w:keepNext/>
      <w:keepLines/>
      <w:spacing w:after="0" w:before="0" w:line="440" w:lineRule="exact"/>
      <w:ind w:firstLine="640" w:firstLineChars="200"/>
      <w:jc w:val="both"/>
      <w:outlineLvl w:val="3"/>
    </w:pPr>
    <w:rPr>
      <w:rFonts w:ascii="Times New Roman" w:cs="Times New Roman" w:eastAsia="宋体" w:hAnsi="Times New Roman"/>
      <w:b/>
      <w:sz w:val="28"/>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pPr>
      <w:widowControl w:val="0"/>
      <w:spacing w:after="0" w:before="0" w:line="240" w:lineRule="auto"/>
      <w:ind w:firstLine="0" w:firstLineChars="0" w:left="0"/>
      <w:jc w:val="both"/>
    </w:pPr>
    <w:rPr>
      <w:rFonts w:ascii="Times New Roman" w:cs="Times New Roman" w:eastAsia="宋体" w:hAnsi="Times New Roman"/>
      <w:sz w:val="18"/>
      <w:szCs w:val="18"/>
    </w:rPr>
  </w:style>
  <w:style w:styleId="FootnoteBlockText" w:type="paragraph">
    <w:name w:val="Footnote Block Text"/>
    <w:basedOn w:val="FootnoteText"/>
    <w:next w:val="FootnoteText"/>
    <w:uiPriority w:val="9"/>
    <w:pPr>
      <w:widowControl w:val="0"/>
      <w:spacing w:after="0" w:before="0" w:line="240" w:lineRule="auto"/>
      <w:ind w:firstLine="0" w:firstLineChars="0" w:left="0"/>
      <w:jc w:val="both"/>
    </w:pPr>
    <w:rPr>
      <w:rFonts w:ascii="Times New Roman" w:cs="Times New Roman" w:eastAsia="宋体" w:hAnsi="Times New Roman"/>
      <w:sz w:val="18"/>
      <w:szCs w:val="18"/>
    </w:rPr>
  </w:style>
  <w:style w:default="1" w:styleId="DefaultParagraphFont" w:type="character">
    <w:name w:val="Default Paragraph Font"/>
    <w:semiHidden/>
    <w:unhideWhenUsed/>
  </w:style>
  <w:style w:default="1" w:styleId="Table" w:type="table">
    <w:name w:val="Table"/>
    <w:pPr>
      <w:spacing w:after="20" w:before="20" w:line="280" w:lineRule="exact"/>
      <w:ind w:firstLine="0" w:firstLineChars="0" w:left="0"/>
      <w:jc w:val="left"/>
    </w:pPr>
    <w:rPr>
      <w:rFonts w:ascii="Times New Roman" w:cs="Times New Roman" w:eastAsia="宋体" w:hAnsi="Times New Roman"/>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72"/>
        <w:right w:type="dxa" w:w="72"/>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60" w:line="280" w:lineRule="exact"/>
      <w:ind w:firstLine="0" w:firstLineChars="0" w:left="0"/>
      <w:jc w:val="center"/>
    </w:pPr>
    <w:rPr>
      <w:rFonts w:ascii="Times New Roman" w:cs="Times New Roman" w:eastAsia="宋体" w:hAnsi="Times New Roman"/>
      <w:sz w:val="18"/>
      <w:szCs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1"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2026-08-24T08:03:44Z</dcterms:created>
  <dcterms:modified xsi:type="dcterms:W3CDTF">2026-08-24T08:03:44Z</dcterms:modified>
</cp:coreProperties>
</file>

<file path=docProps/custom.xml><?xml version="1.0" encoding="utf-8"?>
<Properties xmlns="http://schemas.openxmlformats.org/officeDocument/2006/custom-properties" xmlns:vt="http://schemas.openxmlformats.org/officeDocument/2006/docPropsVTypes"/>
</file>