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D97EA">
      <w:pPr>
        <w:spacing w:line="360" w:lineRule="auto"/>
        <w:ind w:firstLine="480" w:firstLineChars="200"/>
        <w:rPr>
          <w:rFonts w:hint="eastAsia" w:ascii="仿宋_GB2312" w:hAnsi="仿宋_GB2312" w:eastAsia="仿宋_GB2312" w:cs="仿宋_GB2312"/>
          <w:sz w:val="24"/>
        </w:rPr>
      </w:pPr>
    </w:p>
    <w:p w14:paraId="1770D5E1">
      <w:pPr>
        <w:spacing w:line="360" w:lineRule="auto"/>
        <w:ind w:firstLine="562" w:firstLineChars="200"/>
        <w:jc w:val="center"/>
        <w:rPr>
          <w:rFonts w:hint="eastAsia" w:ascii="仿宋_GB2312" w:hAnsi="仿宋_GB2312" w:eastAsia="仿宋_GB2312" w:cs="仿宋_GB2312"/>
          <w:sz w:val="24"/>
        </w:rPr>
      </w:pPr>
      <w:r>
        <w:rPr>
          <w:rFonts w:hint="eastAsia" w:ascii="仿宋_GB2312" w:hAnsi="仿宋_GB2312" w:eastAsia="仿宋_GB2312" w:cs="仿宋_GB2312"/>
          <w:b/>
          <w:bCs/>
          <w:sz w:val="28"/>
          <w:szCs w:val="28"/>
        </w:rPr>
        <w:t>关于我国医药基础研究投入与欧美对比情况的分析报告</w:t>
      </w:r>
    </w:p>
    <w:p w14:paraId="5D452573">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近年来，我国科技投入规模持续增长，2025年全社会研究与试验发展（R&amp;D）经费投入达到39,262亿元（约合3.93万亿元），稳居世界第二位；研发经费投入强度达到2.8%，首次超过OECD国家平均水平</w:t>
      </w:r>
      <w:r>
        <w:rPr>
          <w:rStyle w:val="6"/>
          <w:rFonts w:hint="eastAsia" w:ascii="仿宋_GB2312" w:hAnsi="仿宋_GB2312" w:eastAsia="仿宋_GB2312" w:cs="仿宋_GB2312"/>
          <w:sz w:val="24"/>
        </w:rPr>
        <w:footnoteReference w:id="0"/>
      </w:r>
      <w:r>
        <w:rPr>
          <w:rFonts w:hint="eastAsia" w:ascii="仿宋_GB2312" w:hAnsi="仿宋_GB2312" w:eastAsia="仿宋_GB2312" w:cs="仿宋_GB2312"/>
          <w:sz w:val="24"/>
        </w:rPr>
        <w:t>。然而，在医药基础研究这一关键领域，与欧美发达国家相比，我国在投入规模、结构占比和源头创新能力方面仍存在显著差距。</w:t>
      </w:r>
    </w:p>
    <w:p w14:paraId="3D3D242A">
      <w:pPr>
        <w:numPr>
          <w:ilvl w:val="0"/>
          <w:numId w:val="1"/>
        </w:numPr>
        <w:spacing w:line="360" w:lineRule="auto"/>
        <w:ind w:firstLine="562" w:firstLineChars="20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总体投入规模</w:t>
      </w:r>
    </w:p>
    <w:p w14:paraId="4539EEC3">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从全国整体研发投入看，2024年我国研究与试验发展（R&amp;D）经费投入总量突破3.6万亿，达到36326.8亿元，总量位居世界第二位</w:t>
      </w:r>
      <w:r>
        <w:rPr>
          <w:rStyle w:val="6"/>
          <w:rFonts w:hint="eastAsia" w:ascii="仿宋_GB2312" w:hAnsi="仿宋_GB2312" w:eastAsia="仿宋_GB2312" w:cs="仿宋_GB2312"/>
          <w:sz w:val="24"/>
        </w:rPr>
        <w:footnoteReference w:id="1"/>
      </w:r>
      <w:r>
        <w:rPr>
          <w:rFonts w:hint="eastAsia" w:ascii="仿宋_GB2312" w:hAnsi="仿宋_GB2312" w:eastAsia="仿宋_GB2312" w:cs="仿宋_GB2312"/>
          <w:sz w:val="24"/>
        </w:rPr>
        <w:t>。2025年，美国国立卫生研究院（NIH）预算达到约469.95亿美元，其中近82%用于资助大学、医学院等外部研究机构的研究（即院外研究）</w:t>
      </w:r>
      <w:r>
        <w:rPr>
          <w:rStyle w:val="6"/>
          <w:rFonts w:hint="eastAsia" w:ascii="仿宋_GB2312" w:hAnsi="仿宋_GB2312" w:eastAsia="仿宋_GB2312" w:cs="仿宋_GB2312"/>
          <w:sz w:val="24"/>
          <w:vertAlign w:val="superscript"/>
        </w:rPr>
        <w:footnoteReference w:id="2"/>
      </w:r>
      <w:r>
        <w:rPr>
          <w:rFonts w:hint="default" w:ascii="仿宋_GB2312" w:hAnsi="仿宋_GB2312" w:eastAsia="仿宋_GB2312" w:cs="仿宋_GB2312"/>
          <w:sz w:val="24"/>
          <w:vertAlign w:val="superscript"/>
          <w:lang w:val="en-US"/>
        </w:rPr>
        <w:t>,</w:t>
      </w:r>
      <w:r>
        <w:rPr>
          <w:rStyle w:val="6"/>
          <w:rFonts w:hint="eastAsia" w:ascii="仿宋_GB2312" w:hAnsi="仿宋_GB2312" w:eastAsia="仿宋_GB2312" w:cs="仿宋_GB2312"/>
          <w:sz w:val="24"/>
          <w:vertAlign w:val="superscript"/>
        </w:rPr>
        <w:footnoteReference w:id="3"/>
      </w:r>
      <w:r>
        <w:rPr>
          <w:rFonts w:hint="eastAsia" w:ascii="仿宋_GB2312" w:hAnsi="仿宋_GB2312" w:eastAsia="仿宋_GB2312" w:cs="仿宋_GB2312"/>
          <w:sz w:val="24"/>
        </w:rPr>
        <w:t>。相比之下，我国医药基础研究缺乏类似的集中化、体系化投入机制，资金分散在科技部、卫健委、自然科学基金委等多个渠道。</w:t>
      </w:r>
    </w:p>
    <w:p w14:paraId="70CA4D82">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在产业层面，2025年我国创新药对外授权（License-out）交易总额突破1,300亿美元，授权数量超过150笔，均创历史新高</w:t>
      </w:r>
      <w:r>
        <w:rPr>
          <w:rStyle w:val="6"/>
          <w:rFonts w:hint="eastAsia" w:ascii="仿宋_GB2312" w:hAnsi="仿宋_GB2312" w:eastAsia="仿宋_GB2312" w:cs="仿宋_GB2312"/>
          <w:sz w:val="24"/>
        </w:rPr>
        <w:footnoteReference w:id="4"/>
      </w:r>
      <w:r>
        <w:rPr>
          <w:rFonts w:hint="eastAsia" w:ascii="仿宋_GB2312" w:hAnsi="仿宋_GB2312" w:eastAsia="仿宋_GB2312" w:cs="仿宋_GB2312"/>
          <w:sz w:val="24"/>
        </w:rPr>
        <w:t>。国家药监局数据显示，2025年批准的76个创新药中，具有全新治疗机制的首创药物（First-in-class）仅11个，其中我国自主研发的仅占4个</w:t>
      </w:r>
      <w:r>
        <w:rPr>
          <w:rStyle w:val="6"/>
          <w:rFonts w:hint="eastAsia" w:ascii="仿宋_GB2312" w:hAnsi="仿宋_GB2312" w:eastAsia="仿宋_GB2312" w:cs="仿宋_GB2312"/>
          <w:sz w:val="24"/>
        </w:rPr>
        <w:footnoteReference w:id="5"/>
      </w:r>
      <w:r>
        <w:rPr>
          <w:rFonts w:hint="eastAsia" w:ascii="仿宋_GB2312" w:hAnsi="仿宋_GB2312" w:eastAsia="仿宋_GB2312" w:cs="仿宋_GB2312"/>
          <w:sz w:val="24"/>
        </w:rPr>
        <w:t>。这表明，尽管我国已成为全球生物医药创新的重要力量，但在靶点发现、机制研究等源头创新环节仍高度依赖欧美。</w:t>
      </w:r>
    </w:p>
    <w:p w14:paraId="3F21FE4F">
      <w:pPr>
        <w:numPr>
          <w:ilvl w:val="0"/>
          <w:numId w:val="1"/>
        </w:numPr>
        <w:spacing w:line="360" w:lineRule="auto"/>
        <w:ind w:firstLine="562" w:firstLineChars="20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投入结构失衡，基础研究占比仍显著低于欧美发达国家</w:t>
      </w:r>
    </w:p>
    <w:p w14:paraId="35F365B1">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我国研发投入呈现典型的“重开发、轻研究”特征。2024年，我国基础研究经费占研发总投入的比重为6.88%，2025年提升至7.08%，虽创历史新高，但仍未达成“十四五”规划设定的8%目标，更低于世界主要创新型国家15%-25%的水平</w:t>
      </w:r>
      <w:r>
        <w:rPr>
          <w:rStyle w:val="6"/>
          <w:rFonts w:hint="eastAsia" w:ascii="仿宋_GB2312" w:hAnsi="仿宋_GB2312" w:eastAsia="仿宋_GB2312" w:cs="仿宋_GB2312"/>
          <w:sz w:val="24"/>
          <w:vertAlign w:val="superscript"/>
        </w:rPr>
        <w:footnoteReference w:id="6"/>
      </w:r>
      <w:r>
        <w:rPr>
          <w:rFonts w:hint="default" w:ascii="仿宋_GB2312" w:hAnsi="仿宋_GB2312" w:eastAsia="仿宋_GB2312" w:cs="仿宋_GB2312"/>
          <w:sz w:val="24"/>
          <w:vertAlign w:val="superscript"/>
          <w:lang w:val="en-US"/>
        </w:rPr>
        <w:t>,</w:t>
      </w:r>
      <w:r>
        <w:rPr>
          <w:rStyle w:val="6"/>
          <w:rFonts w:hint="default" w:ascii="仿宋_GB2312" w:hAnsi="仿宋_GB2312" w:eastAsia="仿宋_GB2312" w:cs="仿宋_GB2312"/>
          <w:sz w:val="24"/>
          <w:vertAlign w:val="superscript"/>
          <w:lang w:val="en-US"/>
        </w:rPr>
        <w:footnoteReference w:id="7"/>
      </w:r>
      <w:r>
        <w:rPr>
          <w:rFonts w:hint="default" w:ascii="仿宋_GB2312" w:hAnsi="仿宋_GB2312" w:eastAsia="仿宋_GB2312" w:cs="仿宋_GB2312"/>
          <w:sz w:val="24"/>
          <w:vertAlign w:val="superscript"/>
          <w:lang w:val="en-US"/>
        </w:rPr>
        <w:t>,</w:t>
      </w:r>
      <w:r>
        <w:rPr>
          <w:rStyle w:val="6"/>
          <w:rFonts w:hint="default" w:ascii="仿宋_GB2312" w:hAnsi="仿宋_GB2312" w:eastAsia="仿宋_GB2312" w:cs="仿宋_GB2312"/>
          <w:sz w:val="24"/>
          <w:vertAlign w:val="superscript"/>
          <w:lang w:val="en-US"/>
        </w:rPr>
        <w:footnoteReference w:id="8"/>
      </w:r>
      <w:r>
        <w:rPr>
          <w:rFonts w:hint="eastAsia" w:ascii="仿宋_GB2312" w:hAnsi="仿宋_GB2312" w:eastAsia="仿宋_GB2312" w:cs="仿宋_GB2312"/>
          <w:sz w:val="24"/>
        </w:rPr>
        <w:t>。美国整体研发中基础研究占比为15%，应用研究占比为18%</w:t>
      </w:r>
      <w:r>
        <w:rPr>
          <w:rStyle w:val="6"/>
          <w:rFonts w:hint="eastAsia" w:ascii="仿宋_GB2312" w:hAnsi="仿宋_GB2312" w:eastAsia="仿宋_GB2312" w:cs="仿宋_GB2312"/>
          <w:sz w:val="24"/>
        </w:rPr>
        <w:footnoteReference w:id="9"/>
      </w:r>
      <w:r>
        <w:rPr>
          <w:rFonts w:hint="eastAsia" w:ascii="仿宋_GB2312" w:hAnsi="仿宋_GB2312" w:eastAsia="仿宋_GB2312" w:cs="仿宋_GB2312"/>
          <w:sz w:val="24"/>
          <w:lang w:eastAsia="zh-CN"/>
        </w:rPr>
        <w:t>；欧盟研发强度约为2.3%</w:t>
      </w:r>
      <w:r>
        <w:rPr>
          <w:rStyle w:val="6"/>
          <w:rFonts w:hint="eastAsia" w:ascii="仿宋_GB2312" w:hAnsi="仿宋_GB2312" w:eastAsia="仿宋_GB2312" w:cs="仿宋_GB2312"/>
          <w:sz w:val="24"/>
          <w:lang w:eastAsia="zh-CN"/>
        </w:rPr>
        <w:footnoteReference w:id="10"/>
      </w:r>
      <w:r>
        <w:rPr>
          <w:rFonts w:hint="eastAsia" w:ascii="仿宋_GB2312" w:hAnsi="仿宋_GB2312" w:eastAsia="仿宋_GB2312" w:cs="仿宋_GB2312"/>
          <w:sz w:val="24"/>
        </w:rPr>
        <w:t>。</w:t>
      </w:r>
    </w:p>
    <w:p w14:paraId="589EE051">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具体到医药领域，这种结构性失衡更为严重。当前生物医药领域的核心技术（如抗体技术、CAR-T、基因治疗等）均非源自中国，我国在生物医学领域中的源头创新技术体系尚未建立</w:t>
      </w:r>
      <w:r>
        <w:rPr>
          <w:rStyle w:val="6"/>
          <w:rFonts w:hint="eastAsia" w:ascii="仿宋_GB2312" w:hAnsi="仿宋_GB2312" w:eastAsia="仿宋_GB2312" w:cs="仿宋_GB2312"/>
          <w:sz w:val="24"/>
        </w:rPr>
        <w:footnoteReference w:id="11"/>
      </w:r>
      <w:r>
        <w:rPr>
          <w:rFonts w:hint="eastAsia" w:ascii="仿宋_GB2312" w:hAnsi="仿宋_GB2312" w:eastAsia="仿宋_GB2312" w:cs="仿宋_GB2312"/>
          <w:sz w:val="24"/>
        </w:rPr>
        <w:t>。专家指出，我国新药创制面临的主要问题是新药靶点的源头创新不足，自主创新药物少，在研靶点以追随为主，基础研究向应用的转化匮乏，关键核心技术存在差距。另有观点认为，我国创新药的研发主要集中在国外已成药的成熟靶点，技术很大一部分来源于模仿和从国外引进，原创靶点和原创技术少</w:t>
      </w:r>
      <w:r>
        <w:rPr>
          <w:rStyle w:val="6"/>
          <w:rFonts w:hint="eastAsia" w:ascii="仿宋_GB2312" w:hAnsi="仿宋_GB2312" w:eastAsia="仿宋_GB2312" w:cs="仿宋_GB2312"/>
          <w:sz w:val="24"/>
        </w:rPr>
        <w:footnoteReference w:id="12"/>
      </w:r>
      <w:r>
        <w:rPr>
          <w:rFonts w:hint="eastAsia" w:ascii="仿宋_GB2312" w:hAnsi="仿宋_GB2312" w:eastAsia="仿宋_GB2312" w:cs="仿宋_GB2312"/>
          <w:sz w:val="24"/>
        </w:rPr>
        <w:t>。从研发投入结构看，中国在健康科学领域仍偏弱</w:t>
      </w:r>
      <w:r>
        <w:rPr>
          <w:rStyle w:val="6"/>
          <w:rFonts w:hint="eastAsia" w:ascii="仿宋_GB2312" w:hAnsi="仿宋_GB2312" w:eastAsia="仿宋_GB2312" w:cs="仿宋_GB2312"/>
          <w:sz w:val="24"/>
        </w:rPr>
        <w:footnoteReference w:id="13"/>
      </w:r>
      <w:r>
        <w:rPr>
          <w:rFonts w:hint="eastAsia" w:ascii="仿宋_GB2312" w:hAnsi="仿宋_GB2312" w:eastAsia="仿宋_GB2312" w:cs="仿宋_GB2312"/>
          <w:sz w:val="24"/>
        </w:rPr>
        <w:t>。中国医药创新虽已进入“量质转型的分水岭阶段”，但“出海”热潮主要源于工程化创新和效率优势，而非原始科学突破</w:t>
      </w:r>
      <w:r>
        <w:rPr>
          <w:rStyle w:val="6"/>
          <w:rFonts w:hint="eastAsia" w:ascii="仿宋_GB2312" w:hAnsi="仿宋_GB2312" w:eastAsia="仿宋_GB2312" w:cs="仿宋_GB2312"/>
          <w:sz w:val="24"/>
        </w:rPr>
        <w:footnoteReference w:id="14"/>
      </w:r>
      <w:r>
        <w:rPr>
          <w:rFonts w:hint="eastAsia" w:ascii="仿宋_GB2312" w:hAnsi="仿宋_GB2312" w:eastAsia="仿宋_GB2312" w:cs="仿宋_GB2312"/>
          <w:sz w:val="24"/>
        </w:rPr>
        <w:t>。</w:t>
      </w:r>
    </w:p>
    <w:p w14:paraId="63FF33D1">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从投入主体看，2024年我国企业R&amp;D经费占全国77.7%</w:t>
      </w:r>
      <w:r>
        <w:rPr>
          <w:rStyle w:val="6"/>
          <w:rFonts w:hint="eastAsia" w:ascii="仿宋_GB2312" w:hAnsi="仿宋_GB2312" w:eastAsia="仿宋_GB2312" w:cs="仿宋_GB2312"/>
          <w:sz w:val="24"/>
        </w:rPr>
        <w:footnoteReference w:id="15"/>
      </w:r>
      <w:r>
        <w:rPr>
          <w:rFonts w:hint="eastAsia" w:ascii="仿宋_GB2312" w:hAnsi="仿宋_GB2312" w:eastAsia="仿宋_GB2312" w:cs="仿宋_GB2312"/>
          <w:sz w:val="24"/>
        </w:rPr>
        <w:t>，但企业投入高度集中于短期可见回报的试验发展阶段。美国企业资助了全国约37%的基础研究</w:t>
      </w:r>
      <w:r>
        <w:rPr>
          <w:rStyle w:val="6"/>
          <w:rFonts w:hint="eastAsia" w:ascii="仿宋_GB2312" w:hAnsi="仿宋_GB2312" w:eastAsia="仿宋_GB2312" w:cs="仿宋_GB2312"/>
          <w:sz w:val="24"/>
        </w:rPr>
        <w:footnoteReference w:id="16"/>
      </w:r>
      <w:r>
        <w:rPr>
          <w:rFonts w:hint="eastAsia" w:ascii="仿宋_GB2312" w:hAnsi="仿宋_GB2312" w:eastAsia="仿宋_GB2312" w:cs="仿宋_GB2312"/>
          <w:sz w:val="24"/>
        </w:rPr>
        <w:t>。</w:t>
      </w:r>
    </w:p>
    <w:p w14:paraId="0E5C7D9E">
      <w:pPr>
        <w:numPr>
          <w:ilvl w:val="0"/>
          <w:numId w:val="1"/>
        </w:numPr>
        <w:spacing w:line="360" w:lineRule="auto"/>
        <w:ind w:firstLine="562" w:firstLineChars="20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典型案例分析</w:t>
      </w:r>
    </w:p>
    <w:p w14:paraId="30E884F9">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2025年，我国创新药批准数量达到76个，同比增长58.3%，创历史新高</w:t>
      </w:r>
      <w:r>
        <w:rPr>
          <w:rStyle w:val="6"/>
          <w:rFonts w:hint="eastAsia" w:ascii="仿宋_GB2312" w:hAnsi="仿宋_GB2312" w:eastAsia="仿宋_GB2312" w:cs="仿宋_GB2312"/>
          <w:sz w:val="24"/>
        </w:rPr>
        <w:footnoteReference w:id="17"/>
      </w:r>
      <w:r>
        <w:rPr>
          <w:rFonts w:hint="eastAsia" w:ascii="仿宋_GB2312" w:hAnsi="仿宋_GB2312" w:eastAsia="仿宋_GB2312" w:cs="仿宋_GB2312"/>
          <w:sz w:val="24"/>
        </w:rPr>
        <w:t>。其中国产创新药在化学药领域占比达80.85%，在生物制品领域占比达91.30%</w:t>
      </w:r>
      <w:r>
        <w:rPr>
          <w:rStyle w:val="6"/>
          <w:rFonts w:hint="eastAsia" w:ascii="仿宋_GB2312" w:hAnsi="仿宋_GB2312" w:eastAsia="仿宋_GB2312" w:cs="仿宋_GB2312"/>
          <w:sz w:val="24"/>
        </w:rPr>
        <w:footnoteReference w:id="18"/>
      </w:r>
      <w:r>
        <w:rPr>
          <w:rFonts w:hint="eastAsia" w:ascii="仿宋_GB2312" w:hAnsi="仿宋_GB2312" w:eastAsia="仿宋_GB2312" w:cs="仿宋_GB2312"/>
          <w:sz w:val="24"/>
        </w:rPr>
        <w:t>。然而，深入分析表明，我国医药创新仍面临</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靶点拥挤</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和</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同质化竞争</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的困境。数据显示，国内前20个热门靶点的研发项目集中度高达41%，而同期美国仅为28%，大量企业集中在CD19、PD-1、EGFR等少数成熟靶点上重复投入，源头创新能力与欧美存在本质差距</w:t>
      </w:r>
      <w:r>
        <w:rPr>
          <w:rStyle w:val="6"/>
          <w:rFonts w:hint="eastAsia" w:ascii="仿宋_GB2312" w:hAnsi="仿宋_GB2312" w:eastAsia="仿宋_GB2312" w:cs="仿宋_GB2312"/>
          <w:sz w:val="24"/>
        </w:rPr>
        <w:footnoteReference w:id="19"/>
      </w:r>
      <w:r>
        <w:rPr>
          <w:rFonts w:hint="eastAsia" w:ascii="仿宋_GB2312" w:hAnsi="仿宋_GB2312" w:eastAsia="仿宋_GB2312" w:cs="仿宋_GB2312"/>
          <w:sz w:val="24"/>
        </w:rPr>
        <w:t>。</w:t>
      </w:r>
    </w:p>
    <w:p w14:paraId="67BCDC3E">
      <w:pPr>
        <w:spacing w:line="360" w:lineRule="auto"/>
        <w:ind w:firstLine="482" w:firstLineChars="200"/>
        <w:rPr>
          <w:rFonts w:hint="eastAsia" w:ascii="仿宋_GB2312" w:hAnsi="仿宋_GB2312" w:eastAsia="仿宋_GB2312" w:cs="仿宋_GB2312"/>
          <w:b/>
          <w:bCs/>
          <w:sz w:val="24"/>
        </w:rPr>
      </w:pPr>
      <w:r>
        <w:rPr>
          <w:rFonts w:hint="eastAsia" w:ascii="仿宋_GB2312" w:hAnsi="仿宋_GB2312" w:eastAsia="仿宋_GB2312" w:cs="仿宋_GB2312"/>
          <w:b/>
          <w:bCs/>
          <w:sz w:val="24"/>
        </w:rPr>
        <w:t>（1）泽尼达妥单抗：授权引进模式反映基础研究短板</w:t>
      </w:r>
    </w:p>
    <w:p w14:paraId="272BEEBA">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2025年5月，百济神州的泽尼达妥单抗在中国获批，用于治疗HER2阳性胆道癌，这是我国首个获批用于靶向治疗HER2高表达胆道癌的双特异性抗体。然而，该药物的原始研发并非来自中国。泽尼达妥单抗由加拿大Zymeworks公司基于其Azymetric平台开发，百济神州通过合作获得其在中国的权益。这一案例反映了我国在First-in-class药物领域，核心知识产权和原始创新仍掌握在欧美机构手中</w:t>
      </w:r>
      <w:r>
        <w:rPr>
          <w:rStyle w:val="6"/>
          <w:rFonts w:hint="eastAsia" w:ascii="仿宋_GB2312" w:hAnsi="仿宋_GB2312" w:eastAsia="仿宋_GB2312" w:cs="仿宋_GB2312"/>
          <w:sz w:val="24"/>
        </w:rPr>
        <w:footnoteReference w:id="20"/>
      </w:r>
      <w:r>
        <w:rPr>
          <w:rFonts w:hint="eastAsia" w:ascii="仿宋_GB2312" w:hAnsi="仿宋_GB2312" w:eastAsia="仿宋_GB2312" w:cs="仿宋_GB2312"/>
          <w:sz w:val="24"/>
        </w:rPr>
        <w:t>。</w:t>
      </w:r>
    </w:p>
    <w:p w14:paraId="6475218A">
      <w:pPr>
        <w:spacing w:line="360" w:lineRule="auto"/>
        <w:ind w:firstLine="482" w:firstLineChars="200"/>
        <w:rPr>
          <w:rFonts w:hint="eastAsia" w:ascii="仿宋_GB2312" w:hAnsi="仿宋_GB2312" w:eastAsia="仿宋_GB2312" w:cs="仿宋_GB2312"/>
          <w:b/>
          <w:bCs/>
          <w:sz w:val="24"/>
        </w:rPr>
      </w:pPr>
      <w:r>
        <w:rPr>
          <w:rFonts w:hint="eastAsia" w:ascii="仿宋_GB2312" w:hAnsi="仿宋_GB2312" w:eastAsia="仿宋_GB2312" w:cs="仿宋_GB2312"/>
          <w:b/>
          <w:bCs/>
          <w:sz w:val="24"/>
        </w:rPr>
        <w:t>（2）帕博利珠单抗：NIH长期基础研究的标杆产物</w:t>
      </w:r>
    </w:p>
    <w:p w14:paraId="3353AED7">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相比之下，美国默沙东的帕博利珠单抗是NIH长期基础研究资助的标杆产物。加州大学洛杉矶分校的Edward Garon教授获得NIH为期5年、320万美元的资助，其研究推动了帕博利珠单抗在非小细胞肺癌治疗中的FDA批准，为免疫疗法在肺癌领域的应用奠定了基础。这种“从0到1”的原创性研究投入巨大、周期漫长，但产生了丰硕回报</w:t>
      </w:r>
      <w:r>
        <w:rPr>
          <w:rStyle w:val="6"/>
          <w:rFonts w:hint="eastAsia" w:ascii="仿宋_GB2312" w:hAnsi="仿宋_GB2312" w:eastAsia="仿宋_GB2312" w:cs="仿宋_GB2312"/>
          <w:sz w:val="24"/>
        </w:rPr>
        <w:footnoteReference w:id="21"/>
      </w:r>
      <w:r>
        <w:rPr>
          <w:rFonts w:hint="eastAsia" w:ascii="仿宋_GB2312" w:hAnsi="仿宋_GB2312" w:eastAsia="仿宋_GB2312" w:cs="仿宋_GB2312"/>
          <w:sz w:val="24"/>
        </w:rPr>
        <w:t>。</w:t>
      </w:r>
    </w:p>
    <w:p w14:paraId="701C21A0">
      <w:pPr>
        <w:spacing w:line="360" w:lineRule="auto"/>
        <w:ind w:firstLine="482" w:firstLineChars="200"/>
        <w:rPr>
          <w:rFonts w:hint="eastAsia" w:ascii="仿宋_GB2312" w:hAnsi="仿宋_GB2312" w:eastAsia="仿宋_GB2312" w:cs="仿宋_GB2312"/>
          <w:b/>
          <w:bCs/>
          <w:sz w:val="24"/>
        </w:rPr>
      </w:pPr>
      <w:r>
        <w:rPr>
          <w:rFonts w:hint="eastAsia" w:ascii="仿宋_GB2312" w:hAnsi="仿宋_GB2312" w:eastAsia="仿宋_GB2312" w:cs="仿宋_GB2312"/>
          <w:b/>
          <w:bCs/>
          <w:sz w:val="24"/>
        </w:rPr>
        <w:t>（3）CAR-T细胞治疗：核心技术依赖进口</w:t>
      </w:r>
    </w:p>
    <w:p w14:paraId="6886AF38">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在CAR-T细胞治疗领域，中国临床试验数量已位居全球前列。徐州医科大学附属医院的一项研究显示，中国在CAR-T细胞治疗领域开展了多项临床试验。然而，支撑这些产品的核心技术——如慢病毒载体、基因编辑工具等——均源于欧美基础研究。我国企业虽然工程化能力强、临床转化效率高，但在原创性靶点发现等基础研究环节仍依赖进口技术</w:t>
      </w:r>
      <w:r>
        <w:rPr>
          <w:rStyle w:val="6"/>
          <w:rFonts w:hint="eastAsia" w:ascii="仿宋_GB2312" w:hAnsi="仿宋_GB2312" w:eastAsia="仿宋_GB2312" w:cs="仿宋_GB2312"/>
          <w:sz w:val="24"/>
        </w:rPr>
        <w:footnoteReference w:id="22"/>
      </w:r>
      <w:r>
        <w:rPr>
          <w:rFonts w:hint="eastAsia" w:ascii="仿宋_GB2312" w:hAnsi="仿宋_GB2312" w:eastAsia="仿宋_GB2312" w:cs="仿宋_GB2312"/>
          <w:sz w:val="24"/>
        </w:rPr>
        <w:t>。</w:t>
      </w:r>
    </w:p>
    <w:p w14:paraId="48D1E58F">
      <w:pPr>
        <w:spacing w:line="360" w:lineRule="auto"/>
        <w:ind w:firstLine="482" w:firstLineChars="200"/>
        <w:rPr>
          <w:rFonts w:hint="eastAsia" w:ascii="仿宋_GB2312" w:hAnsi="仿宋_GB2312" w:eastAsia="仿宋_GB2312" w:cs="仿宋_GB2312"/>
          <w:b/>
          <w:bCs/>
          <w:sz w:val="24"/>
        </w:rPr>
      </w:pPr>
      <w:r>
        <w:rPr>
          <w:rFonts w:hint="eastAsia" w:ascii="仿宋_GB2312" w:hAnsi="仿宋_GB2312" w:eastAsia="仿宋_GB2312" w:cs="仿宋_GB2312"/>
          <w:b/>
          <w:bCs/>
          <w:sz w:val="24"/>
        </w:rPr>
        <w:t>（4）靶点拥挤与同质化竞争”PD-1抑制剂的教训</w:t>
      </w:r>
    </w:p>
    <w:p w14:paraId="2D2F6CA2">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我国医药创新面临严重的“靶点拥挤”问题。以PD-1抑制剂为例，国内曾有超过50家企业同时开发，导致严重同质化竞争。研究显示，中国细胞治疗临床试验中存在研发重复和靶点集中的挑战，大量临床试验集中在CD19和BCMA等成熟靶点。这种“内卷”根源在于基础研究薄弱——我国缺乏发现新靶点的能力，只能扎堆跟随欧美已验证的靶点</w:t>
      </w:r>
      <w:r>
        <w:rPr>
          <w:rStyle w:val="6"/>
          <w:rFonts w:hint="eastAsia" w:ascii="仿宋_GB2312" w:hAnsi="仿宋_GB2312" w:eastAsia="仿宋_GB2312" w:cs="仿宋_GB2312"/>
          <w:sz w:val="24"/>
        </w:rPr>
        <w:footnoteReference w:id="23"/>
      </w:r>
      <w:r>
        <w:rPr>
          <w:rFonts w:hint="eastAsia" w:ascii="仿宋_GB2312" w:hAnsi="仿宋_GB2312" w:eastAsia="仿宋_GB2312" w:cs="仿宋_GB2312"/>
          <w:sz w:val="24"/>
        </w:rPr>
        <w:t>。</w:t>
      </w:r>
    </w:p>
    <w:p w14:paraId="013E15E5">
      <w:pPr>
        <w:spacing w:line="360" w:lineRule="auto"/>
        <w:ind w:firstLine="482" w:firstLineChars="200"/>
        <w:rPr>
          <w:rFonts w:hint="eastAsia" w:ascii="仿宋_GB2312" w:hAnsi="仿宋_GB2312" w:eastAsia="仿宋_GB2312" w:cs="仿宋_GB2312"/>
          <w:b/>
          <w:bCs/>
          <w:sz w:val="24"/>
        </w:rPr>
      </w:pPr>
      <w:r>
        <w:rPr>
          <w:rFonts w:hint="eastAsia" w:ascii="仿宋_GB2312" w:hAnsi="仿宋_GB2312" w:eastAsia="仿宋_GB2312" w:cs="仿宋_GB2312"/>
          <w:b/>
          <w:bCs/>
          <w:sz w:val="24"/>
        </w:rPr>
        <w:t>（5）全新靶点药物：欧美基础研究的直接产出</w:t>
      </w:r>
    </w:p>
    <w:p w14:paraId="5BA6AFDF">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2024-2025年，FDA批准的多个First-in-class药物针对全新靶点，其发现均依赖于长期基础研究。相比之下，我国2025年批准的4个自主研发First-in-class药物，多集中于技术形式创新（如双抗、ADC），而针对全新生物学机制的原创新药仍属空白</w:t>
      </w:r>
      <w:r>
        <w:rPr>
          <w:rStyle w:val="6"/>
          <w:rFonts w:hint="eastAsia" w:ascii="仿宋_GB2312" w:hAnsi="仿宋_GB2312" w:eastAsia="仿宋_GB2312" w:cs="仿宋_GB2312"/>
          <w:sz w:val="24"/>
        </w:rPr>
        <w:footnoteReference w:id="24"/>
      </w:r>
      <w:r>
        <w:rPr>
          <w:rFonts w:hint="eastAsia" w:ascii="仿宋_GB2312" w:hAnsi="仿宋_GB2312" w:eastAsia="仿宋_GB2312" w:cs="仿宋_GB2312"/>
          <w:sz w:val="24"/>
        </w:rPr>
        <w:t>。</w:t>
      </w:r>
    </w:p>
    <w:p w14:paraId="7619873A">
      <w:pPr>
        <w:numPr>
          <w:ilvl w:val="0"/>
          <w:numId w:val="1"/>
        </w:numPr>
        <w:spacing w:line="360" w:lineRule="auto"/>
        <w:ind w:firstLine="562" w:firstLineChars="20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欧美的经验是长期稳定的基础研究投入机制</w:t>
      </w:r>
    </w:p>
    <w:p w14:paraId="6EA76411">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从美国模式来看，NIH通过27个研究所和中心协调全美前沿医学研究，2025财年NIH预算约为469.95亿美元（含ARPA-H后为484.95亿美元）</w:t>
      </w:r>
      <w:r>
        <w:rPr>
          <w:rStyle w:val="6"/>
          <w:rFonts w:hint="eastAsia" w:ascii="仿宋_GB2312" w:hAnsi="仿宋_GB2312" w:eastAsia="仿宋_GB2312" w:cs="仿宋_GB2312"/>
          <w:sz w:val="24"/>
        </w:rPr>
        <w:footnoteReference w:id="25"/>
      </w:r>
      <w:r>
        <w:rPr>
          <w:rFonts w:hint="eastAsia" w:ascii="仿宋_GB2312" w:hAnsi="仿宋_GB2312" w:eastAsia="仿宋_GB2312" w:cs="仿宋_GB2312"/>
          <w:sz w:val="24"/>
        </w:rPr>
        <w:t>，其中近82%用于竞争性资助大学、医学院等外部研究机构的研究</w:t>
      </w:r>
      <w:r>
        <w:rPr>
          <w:rStyle w:val="6"/>
          <w:rFonts w:hint="eastAsia" w:ascii="仿宋_GB2312" w:hAnsi="仿宋_GB2312" w:eastAsia="仿宋_GB2312" w:cs="仿宋_GB2312"/>
          <w:sz w:val="24"/>
        </w:rPr>
        <w:footnoteReference w:id="26"/>
      </w:r>
      <w:r>
        <w:rPr>
          <w:rFonts w:hint="eastAsia" w:ascii="仿宋_GB2312" w:hAnsi="仿宋_GB2312" w:eastAsia="仿宋_GB2312" w:cs="仿宋_GB2312"/>
          <w:sz w:val="24"/>
        </w:rPr>
        <w:t>。NIH采用</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自下而上</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的科学家主导模式，通过R01、P01等机制支持高风险、长周期的基础研究</w:t>
      </w:r>
      <w:r>
        <w:rPr>
          <w:rStyle w:val="6"/>
          <w:rFonts w:hint="eastAsia" w:ascii="仿宋_GB2312" w:hAnsi="仿宋_GB2312" w:eastAsia="仿宋_GB2312" w:cs="仿宋_GB2312"/>
          <w:sz w:val="24"/>
        </w:rPr>
        <w:footnoteReference w:id="27"/>
      </w:r>
      <w:r>
        <w:rPr>
          <w:rFonts w:hint="eastAsia" w:ascii="仿宋_GB2312" w:hAnsi="仿宋_GB2312" w:eastAsia="仿宋_GB2312" w:cs="仿宋_GB2312"/>
          <w:sz w:val="24"/>
        </w:rPr>
        <w:t>，容忍失败。这种长期投入产生了丰硕回报：2010-2016年FDA批准的210个新药中，每一个都可追溯到NIH资助的原创性基础研究</w:t>
      </w:r>
      <w:r>
        <w:rPr>
          <w:rStyle w:val="6"/>
          <w:rFonts w:hint="eastAsia" w:ascii="仿宋_GB2312" w:hAnsi="仿宋_GB2312" w:eastAsia="仿宋_GB2312" w:cs="仿宋_GB2312"/>
          <w:sz w:val="24"/>
        </w:rPr>
        <w:footnoteReference w:id="28"/>
      </w:r>
      <w:r>
        <w:rPr>
          <w:rFonts w:hint="eastAsia" w:ascii="仿宋_GB2312" w:hAnsi="仿宋_GB2312" w:eastAsia="仿宋_GB2312" w:cs="仿宋_GB2312"/>
          <w:sz w:val="24"/>
        </w:rPr>
        <w:t>。</w:t>
      </w:r>
    </w:p>
    <w:p w14:paraId="118886AA">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从欧盟模式来看，通过"地平线欧洲"计划支持从基础研究到临床应用的连贯创新，2025年健康领域预算约9.6亿欧元（健康集群8.43亿欧元，癌症使命1.17亿欧元）</w:t>
      </w:r>
      <w:r>
        <w:rPr>
          <w:rStyle w:val="6"/>
          <w:rFonts w:hint="eastAsia" w:ascii="仿宋_GB2312" w:hAnsi="仿宋_GB2312" w:eastAsia="仿宋_GB2312" w:cs="仿宋_GB2312"/>
          <w:sz w:val="24"/>
        </w:rPr>
        <w:footnoteReference w:id="29"/>
      </w:r>
      <w:r>
        <w:rPr>
          <w:rFonts w:hint="eastAsia" w:ascii="仿宋_GB2312" w:hAnsi="仿宋_GB2312" w:eastAsia="仿宋_GB2312" w:cs="仿宋_GB2312"/>
          <w:sz w:val="24"/>
        </w:rPr>
        <w:t>。根据欧盟发布的公共研发资助比较报告，欧盟公共研发资金中56%投向高等教育机构，基础研究占比达21%，应用研究占比39%</w:t>
      </w:r>
      <w:r>
        <w:rPr>
          <w:rStyle w:val="6"/>
          <w:rFonts w:hint="eastAsia" w:ascii="仿宋_GB2312" w:hAnsi="仿宋_GB2312" w:eastAsia="仿宋_GB2312" w:cs="仿宋_GB2312"/>
          <w:sz w:val="24"/>
        </w:rPr>
        <w:footnoteReference w:id="30"/>
      </w:r>
      <w:r>
        <w:rPr>
          <w:rFonts w:hint="eastAsia" w:ascii="仿宋_GB2312" w:hAnsi="仿宋_GB2312" w:eastAsia="仿宋_GB2312" w:cs="仿宋_GB2312"/>
          <w:sz w:val="24"/>
        </w:rPr>
        <w:t>。</w:t>
      </w:r>
    </w:p>
    <w:p w14:paraId="7ABBE6AB">
      <w:pPr>
        <w:numPr>
          <w:ilvl w:val="0"/>
          <w:numId w:val="1"/>
        </w:numPr>
        <w:spacing w:line="360" w:lineRule="auto"/>
        <w:ind w:firstLine="562" w:firstLineChars="20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我国存在的结构性短板</w:t>
      </w:r>
    </w:p>
    <w:p w14:paraId="4E146B31">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一是经费投入阶段分布存在结构性特点。2025年，我国全社会研究与试验发展经费投入达39262亿元，基础研究经费占比为7.08%，创历史新高</w:t>
      </w:r>
      <w:r>
        <w:rPr>
          <w:rStyle w:val="6"/>
          <w:rFonts w:hint="eastAsia" w:ascii="仿宋_GB2312" w:hAnsi="仿宋_GB2312" w:eastAsia="仿宋_GB2312" w:cs="仿宋_GB2312"/>
          <w:sz w:val="24"/>
        </w:rPr>
        <w:footnoteReference w:id="31"/>
      </w:r>
      <w:r>
        <w:rPr>
          <w:rFonts w:hint="eastAsia" w:ascii="仿宋_GB2312" w:hAnsi="仿宋_GB2312" w:eastAsia="仿宋_GB2312" w:cs="仿宋_GB2312"/>
          <w:sz w:val="24"/>
        </w:rPr>
        <w:t>。从投入主体看，企业研发经费已占全社会研发经费的四分之三以上</w:t>
      </w:r>
      <w:r>
        <w:rPr>
          <w:rStyle w:val="6"/>
          <w:rFonts w:hint="eastAsia" w:ascii="仿宋_GB2312" w:hAnsi="仿宋_GB2312" w:eastAsia="仿宋_GB2312" w:cs="仿宋_GB2312"/>
          <w:sz w:val="24"/>
        </w:rPr>
        <w:footnoteReference w:id="32"/>
      </w:r>
      <w:r>
        <w:rPr>
          <w:rFonts w:hint="eastAsia" w:ascii="仿宋_GB2312" w:hAnsi="仿宋_GB2312" w:eastAsia="仿宋_GB2312" w:cs="仿宋_GB2312"/>
          <w:sz w:val="24"/>
        </w:rPr>
        <w:t>。在早期投资方面，2025年我国创投市场呈现</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投早投小</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趋势，早期项目（A轮及以前）获投次数占比达67%，但早期投资（种子轮、天使轮、A轮）的交易规模仅占市场总额的9%左右，呈现</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项目数量多、单笔金额小</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的特点，真正投向最早期的种子轮、天使轮，仍是资本最谨慎的环节</w:t>
      </w:r>
      <w:r>
        <w:rPr>
          <w:rStyle w:val="6"/>
          <w:rFonts w:hint="eastAsia" w:ascii="仿宋_GB2312" w:hAnsi="仿宋_GB2312" w:eastAsia="仿宋_GB2312" w:cs="仿宋_GB2312"/>
          <w:sz w:val="24"/>
        </w:rPr>
        <w:footnoteReference w:id="33"/>
      </w:r>
      <w:r>
        <w:rPr>
          <w:rFonts w:hint="eastAsia" w:ascii="仿宋_GB2312" w:hAnsi="仿宋_GB2312" w:eastAsia="仿宋_GB2312" w:cs="仿宋_GB2312"/>
          <w:sz w:val="24"/>
        </w:rPr>
        <w:t>。</w:t>
      </w:r>
    </w:p>
    <w:p w14:paraId="573F441C">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二是缺乏统筹机制。我国生物医药基础研究资金分散在科技部、卫健委、自然科学基金委等多个渠道，缺乏NIH式的统一管理机构，导致资源配置碎片化，难以形成攻坚合力。从地方实践看，部分省份已开始探索科技资金整合改革，例如安徽省实施“零基预算”改革，将原先分散在多个部门的科技攻关经费整合为统一的科技创新攻坚专项资金，扭转了过去科技项目“小而散”、科技资金“撒胡椒面”的局面，实现了“集中财力办大事”</w:t>
      </w:r>
      <w:r>
        <w:rPr>
          <w:rStyle w:val="6"/>
          <w:rFonts w:hint="eastAsia" w:ascii="仿宋_GB2312" w:hAnsi="仿宋_GB2312" w:eastAsia="仿宋_GB2312" w:cs="仿宋_GB2312"/>
          <w:sz w:val="24"/>
        </w:rPr>
        <w:footnoteReference w:id="34"/>
      </w:r>
      <w:r>
        <w:rPr>
          <w:rFonts w:hint="eastAsia" w:ascii="仿宋_GB2312" w:hAnsi="仿宋_GB2312" w:eastAsia="仿宋_GB2312" w:cs="仿宋_GB2312"/>
          <w:sz w:val="24"/>
        </w:rPr>
        <w:t>。这种改革思路值得在生物医药基础研究领域借鉴推广。</w:t>
      </w:r>
    </w:p>
    <w:p w14:paraId="51E8E42B">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三是企业基础研究动力不足。现行科研评价体系偏重短期产出，企业为追求快速回报，倾向于选择风险低、周期短的跟随式创新。从研发投入结构看，根据美国国家科学基金会（NSF）发布的数据，2023年美国企业研发投入总额超过7220亿美元</w:t>
      </w:r>
      <w:r>
        <w:rPr>
          <w:rStyle w:val="6"/>
          <w:rFonts w:hint="eastAsia" w:ascii="仿宋_GB2312" w:hAnsi="仿宋_GB2312" w:eastAsia="仿宋_GB2312" w:cs="仿宋_GB2312"/>
          <w:sz w:val="24"/>
        </w:rPr>
        <w:footnoteReference w:id="35"/>
      </w:r>
      <w:r>
        <w:rPr>
          <w:rFonts w:hint="eastAsia" w:ascii="仿宋_GB2312" w:hAnsi="仿宋_GB2312" w:eastAsia="仿宋_GB2312" w:cs="仿宋_GB2312"/>
          <w:sz w:val="24"/>
        </w:rPr>
        <w:t>。尽管具体占比数据需参考更详细的分类统计报告，但可以明确的是，我国企业在基础研究领域的参与度与发达国家相比仍有差距。数据显示，2023年我国企业执行的基础研究经费已占全国基础研究经费总额的8.25%</w:t>
      </w:r>
      <w:r>
        <w:rPr>
          <w:rStyle w:val="6"/>
          <w:rFonts w:hint="eastAsia" w:ascii="仿宋_GB2312" w:hAnsi="仿宋_GB2312" w:eastAsia="仿宋_GB2312" w:cs="仿宋_GB2312"/>
          <w:sz w:val="24"/>
        </w:rPr>
        <w:footnoteReference w:id="36"/>
      </w:r>
      <w:r>
        <w:rPr>
          <w:rFonts w:hint="eastAsia" w:ascii="仿宋_GB2312" w:hAnsi="仿宋_GB2312" w:eastAsia="仿宋_GB2312" w:cs="仿宋_GB2312"/>
          <w:sz w:val="24"/>
        </w:rPr>
        <w:t>，但与基础研究实力雄厚的国家相比，我国企业开展基础研究的投入依然处于较低水平。</w:t>
      </w:r>
    </w:p>
    <w:p w14:paraId="34980187">
      <w:pPr>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四是人才储备结构性短缺。尽管我国生物医药本硕毕业人数高于美国，但在靶点发现、化合物设计等源头创新环节，具备深厚基础科学背景的领军人才仍显不足。根据最新学术研究</w:t>
      </w:r>
      <w:r>
        <w:rPr>
          <w:rStyle w:val="6"/>
          <w:rFonts w:hint="eastAsia" w:ascii="仿宋_GB2312" w:hAnsi="仿宋_GB2312" w:eastAsia="仿宋_GB2312" w:cs="仿宋_GB2312"/>
          <w:sz w:val="24"/>
        </w:rPr>
        <w:footnoteReference w:id="37"/>
      </w:r>
      <w:r>
        <w:rPr>
          <w:rFonts w:hint="eastAsia" w:ascii="仿宋_GB2312" w:hAnsi="仿宋_GB2312" w:eastAsia="仿宋_GB2312" w:cs="仿宋_GB2312"/>
          <w:sz w:val="24"/>
        </w:rPr>
        <w:t>，国内一流医学机构与国际顶尖医学机构的最大差距正体现在高层次人才方面：国内一流医学机构的科睿唯安高被引科学家平均仅1.00人，而国际一流医学机构平均高达131.46人；诺奖生理学或医学奖获得者方面，国内平均仅0.09人，国际平均高达118.25人；在Cell及“四大顶级医学期刊”编委会任职人数、医学领域Top 2000科学家数量等方面，国际机构分别是国内的9.72倍和6.76倍。此外，在顶尖学术产出方面，国内一流医学机构在《新英格兰医学杂志》《柳叶刀》等四大顶刊的论文发表数仅为国际机构的六分之一左右。这些数据表明，我国在高层次医药领军人才队伍建设方面仍有较大提升空间。</w:t>
      </w:r>
    </w:p>
    <w:p w14:paraId="4103E9D6">
      <w:pPr>
        <w:numPr>
          <w:ilvl w:val="0"/>
          <w:numId w:val="1"/>
        </w:numPr>
        <w:spacing w:line="360" w:lineRule="auto"/>
        <w:ind w:firstLine="562" w:firstLineChars="20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政策建议</w:t>
      </w:r>
    </w:p>
    <w:p w14:paraId="5CEA6668">
      <w:pPr>
        <w:spacing w:line="360" w:lineRule="auto"/>
        <w:ind w:firstLine="480" w:firstLineChars="200"/>
        <w:rPr>
          <w:rFonts w:hint="eastAsia" w:ascii="仿宋_GB2312" w:hAnsi="仿宋_GB2312" w:eastAsia="仿宋_GB2312" w:cs="仿宋_GB2312"/>
          <w:b/>
          <w:bCs/>
          <w:sz w:val="24"/>
        </w:rPr>
      </w:pPr>
      <w:r>
        <w:rPr>
          <w:rFonts w:hint="eastAsia" w:ascii="仿宋_GB2312" w:hAnsi="仿宋_GB2312" w:eastAsia="仿宋_GB2312" w:cs="仿宋_GB2312"/>
          <w:sz w:val="24"/>
        </w:rPr>
        <w:t>针对上述问题，建议从以下方面着力：一是优化投入结构，2025年我国基础研究经费占比已达7.08%</w:t>
      </w:r>
      <w:r>
        <w:rPr>
          <w:rStyle w:val="6"/>
          <w:rFonts w:hint="eastAsia" w:ascii="仿宋_GB2312" w:hAnsi="仿宋_GB2312" w:eastAsia="仿宋_GB2312" w:cs="仿宋_GB2312"/>
          <w:sz w:val="24"/>
        </w:rPr>
        <w:footnoteReference w:id="38"/>
      </w:r>
      <w:r>
        <w:rPr>
          <w:rFonts w:hint="eastAsia" w:ascii="仿宋_GB2312" w:hAnsi="仿宋_GB2312" w:eastAsia="仿宋_GB2312" w:cs="仿宋_GB2312"/>
          <w:sz w:val="24"/>
        </w:rPr>
        <w:t>，创历史新高。“十五五”期间应进一步提高基础研究投入比重，力争将基础研究占比提升至创新型国家水平，同时显著提高医药领域基础研究投入强度，为原始创新夯实根基；二是参照NIH模式，整合分散在各部门的生物医药基础研究资金，设立国家生物医学研究专项基金；三是完善企业投入基础研究的税收优惠政策，建立长周期考核机制，容忍创新失败；四是加强靶点发现、疾病机制等前沿领域的前瞻布局，避免同质化竞争，引导资源向真正的原始创新倾斜。</w:t>
      </w:r>
    </w:p>
    <w:p w14:paraId="03251D91">
      <w:pPr>
        <w:rPr>
          <w:rFonts w:hint="eastAsia" w:ascii="仿宋_GB2312" w:hAnsi="仿宋_GB2312" w:eastAsia="仿宋_GB2312" w:cs="仿宋_GB2312"/>
          <w:sz w:val="22"/>
          <w:szCs w:val="22"/>
        </w:rPr>
      </w:pPr>
    </w:p>
    <w:p w14:paraId="19945DB4">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仿宋_GB2312">
    <w:altName w:val="方正仿宋_GBK"/>
    <w:panose1 w:val="02010609030101010101"/>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8">
    <w:p>
      <w:r>
        <w:separator/>
      </w:r>
    </w:p>
  </w:footnote>
  <w:footnote w:type="continuationSeparator" w:id="79">
    <w:p>
      <w:r>
        <w:continuationSeparator/>
      </w:r>
    </w:p>
  </w:footnote>
  <w:footnote w:id="0">
    <w:p w14:paraId="5B7F4E0C">
      <w:pPr>
        <w:pStyle w:val="2"/>
        <w:snapToGrid w:val="0"/>
        <w:rPr>
          <w:rFonts w:hint="eastAsia"/>
        </w:rPr>
      </w:pPr>
      <w:r>
        <w:rPr>
          <w:rStyle w:val="6"/>
        </w:rPr>
        <w:footnoteRef/>
      </w:r>
      <w:r>
        <w:t xml:space="preserve"> </w:t>
      </w:r>
      <w:r>
        <w:rPr>
          <w:rFonts w:hint="eastAsia"/>
        </w:rPr>
        <w:t xml:space="preserve">国家统计局. 《国家统计局局长就2025年全年国民经济运行情况答记者问》. 2026年1月19日.  </w:t>
      </w:r>
    </w:p>
    <w:p w14:paraId="20F771D4">
      <w:pPr>
        <w:pStyle w:val="2"/>
        <w:snapToGrid w:val="0"/>
      </w:pPr>
      <w:r>
        <w:rPr>
          <w:rFonts w:hint="eastAsia"/>
        </w:rPr>
        <w:t>https://www.stats.gov.cn/sj/sjjd/202601/t20260119_1962345.html</w:t>
      </w:r>
    </w:p>
  </w:footnote>
  <w:footnote w:id="1">
    <w:p w14:paraId="21A72656">
      <w:pPr>
        <w:pStyle w:val="2"/>
        <w:snapToGrid w:val="0"/>
      </w:pPr>
      <w:r>
        <w:rPr>
          <w:rStyle w:val="6"/>
        </w:rPr>
        <w:footnoteRef/>
      </w:r>
      <w:r>
        <w:t xml:space="preserve"> </w:t>
      </w:r>
      <w:r>
        <w:rPr>
          <w:rFonts w:hint="eastAsia"/>
        </w:rPr>
        <w:t>国家统计局. 2024年全国科技经费投入统计公报. 2025年9月29日. https://www.gov.cn/lianbo/bumen/202509/content_7042859.htm</w:t>
      </w:r>
    </w:p>
  </w:footnote>
  <w:footnote w:id="2">
    <w:p w14:paraId="1A6C4A5D">
      <w:pPr>
        <w:pStyle w:val="2"/>
        <w:snapToGrid w:val="0"/>
        <w:rPr>
          <w:rFonts w:hint="eastAsia"/>
        </w:rPr>
      </w:pPr>
      <w:r>
        <w:rPr>
          <w:rStyle w:val="6"/>
        </w:rPr>
        <w:footnoteRef/>
      </w:r>
      <w:r>
        <w:t xml:space="preserve"> </w:t>
      </w:r>
      <w:r>
        <w:rPr>
          <w:rFonts w:hint="eastAsia"/>
        </w:rPr>
        <w:t xml:space="preserve">Congressional Research Service. National Institutes of Health (NIH) Funding: FY1996-FY2026 Request. 2025年12月22日. </w:t>
      </w:r>
      <w:r>
        <w:rPr>
          <w:rFonts w:hint="eastAsia"/>
        </w:rPr>
        <w:fldChar w:fldCharType="begin"/>
      </w:r>
      <w:r>
        <w:rPr>
          <w:rFonts w:hint="eastAsia"/>
        </w:rPr>
        <w:instrText xml:space="preserve"> HYPERLINK "https://www.congress.gov/crs-product/R43341" </w:instrText>
      </w:r>
      <w:r>
        <w:rPr>
          <w:rFonts w:hint="eastAsia"/>
        </w:rPr>
        <w:fldChar w:fldCharType="separate"/>
      </w:r>
      <w:r>
        <w:rPr>
          <w:rStyle w:val="5"/>
          <w:rFonts w:hint="eastAsia"/>
        </w:rPr>
        <w:t>https://www.congress.gov/crs-product/R43341</w:t>
      </w:r>
      <w:r>
        <w:rPr>
          <w:rFonts w:hint="eastAsia"/>
        </w:rPr>
        <w:fldChar w:fldCharType="end"/>
      </w:r>
    </w:p>
  </w:footnote>
  <w:footnote w:id="3">
    <w:p w14:paraId="2BDEF603">
      <w:pPr>
        <w:pStyle w:val="2"/>
        <w:snapToGrid w:val="0"/>
        <w:rPr>
          <w:rFonts w:hint="eastAsia"/>
        </w:rPr>
      </w:pPr>
      <w:r>
        <w:rPr>
          <w:rStyle w:val="6"/>
        </w:rPr>
        <w:footnoteRef/>
      </w:r>
      <w:r>
        <w:t xml:space="preserve"> </w:t>
      </w:r>
      <w:r>
        <w:rPr>
          <w:rFonts w:hint="eastAsia"/>
        </w:rPr>
        <w:t xml:space="preserve">National Institutes of Health. Budget. </w:t>
      </w:r>
      <w:r>
        <w:rPr>
          <w:rFonts w:hint="eastAsia"/>
        </w:rPr>
        <w:fldChar w:fldCharType="begin"/>
      </w:r>
      <w:r>
        <w:rPr>
          <w:rFonts w:hint="eastAsia"/>
        </w:rPr>
        <w:instrText xml:space="preserve"> HYPERLINK "https://www.nih.gov/about-nih/organization/budget" </w:instrText>
      </w:r>
      <w:r>
        <w:rPr>
          <w:rFonts w:hint="eastAsia"/>
        </w:rPr>
        <w:fldChar w:fldCharType="separate"/>
      </w:r>
      <w:r>
        <w:rPr>
          <w:rStyle w:val="5"/>
          <w:rFonts w:hint="eastAsia"/>
        </w:rPr>
        <w:t>https://www.nih.gov/about-nih/organization/budget</w:t>
      </w:r>
      <w:r>
        <w:rPr>
          <w:rFonts w:hint="eastAsia"/>
        </w:rPr>
        <w:fldChar w:fldCharType="end"/>
      </w:r>
    </w:p>
  </w:footnote>
  <w:footnote w:id="4">
    <w:p w14:paraId="1C01EC60">
      <w:pPr>
        <w:pStyle w:val="2"/>
        <w:snapToGrid w:val="0"/>
      </w:pPr>
      <w:r>
        <w:rPr>
          <w:rStyle w:val="6"/>
        </w:rPr>
        <w:footnoteRef/>
      </w:r>
      <w:r>
        <w:t xml:space="preserve"> </w:t>
      </w:r>
      <w:r>
        <w:rPr>
          <w:rFonts w:hint="eastAsia"/>
        </w:rPr>
        <w:t>央广网. 2025年我国批准创新药76个 创历史新高. 2026年1月4日. https://china.cnr.cn/news/20260104/t20260104_527482340.shtml</w:t>
      </w:r>
    </w:p>
  </w:footnote>
  <w:footnote w:id="5">
    <w:p w14:paraId="0CC0E40D">
      <w:pPr>
        <w:pStyle w:val="2"/>
        <w:snapToGrid w:val="0"/>
      </w:pPr>
      <w:r>
        <w:rPr>
          <w:rStyle w:val="6"/>
        </w:rPr>
        <w:footnoteRef/>
      </w:r>
      <w:r>
        <w:t xml:space="preserve"> </w:t>
      </w:r>
      <w:r>
        <w:rPr>
          <w:rFonts w:hint="eastAsia"/>
        </w:rPr>
        <w:t>央广网. 2025年我国批准创新药76个 创历史新高. 2026年1月4日. https://china.cnr.cn/news/20260104/t20260104_527482340.shtml</w:t>
      </w:r>
    </w:p>
  </w:footnote>
  <w:footnote w:id="6">
    <w:p w14:paraId="72699CDC">
      <w:pPr>
        <w:pStyle w:val="2"/>
        <w:snapToGrid w:val="0"/>
        <w:rPr>
          <w:rFonts w:hint="eastAsia"/>
        </w:rPr>
      </w:pPr>
      <w:r>
        <w:rPr>
          <w:rStyle w:val="6"/>
        </w:rPr>
        <w:footnoteRef/>
      </w:r>
      <w:r>
        <w:t xml:space="preserve"> </w:t>
      </w:r>
      <w:r>
        <w:rPr>
          <w:rFonts w:hint="eastAsia"/>
        </w:rPr>
        <w:t xml:space="preserve">国家统计局. 《国家统计局局长就2025年全年国民经济运行情况答记者问》. 2026年1月19日.  </w:t>
      </w:r>
    </w:p>
    <w:p w14:paraId="129C53A6">
      <w:pPr>
        <w:pStyle w:val="2"/>
        <w:snapToGrid w:val="0"/>
      </w:pPr>
      <w:r>
        <w:rPr>
          <w:rFonts w:hint="eastAsia"/>
        </w:rPr>
        <w:t>https://www.stats.gov.cn/sj/sjjd/202601/t20260119_1962345.html</w:t>
      </w:r>
    </w:p>
  </w:footnote>
  <w:footnote w:id="7">
    <w:p w14:paraId="3C4BB5A6">
      <w:pPr>
        <w:pStyle w:val="2"/>
        <w:snapToGrid w:val="0"/>
        <w:rPr>
          <w:rFonts w:hint="eastAsia"/>
        </w:rPr>
      </w:pPr>
      <w:r>
        <w:rPr>
          <w:rStyle w:val="6"/>
        </w:rPr>
        <w:footnoteRef/>
      </w:r>
      <w:r>
        <w:t xml:space="preserve"> </w:t>
      </w:r>
      <w:r>
        <w:rPr>
          <w:rFonts w:hint="eastAsia"/>
        </w:rPr>
        <w:t xml:space="preserve">欧盟政策研究中心/中国科学院科技战略咨询研究院. 《欧中美公共研发资助比较分析》.  </w:t>
      </w:r>
    </w:p>
    <w:p w14:paraId="0CFF7A09">
      <w:pPr>
        <w:pStyle w:val="2"/>
        <w:snapToGrid w:val="0"/>
      </w:pPr>
      <w:r>
        <w:rPr>
          <w:rFonts w:hint="eastAsia"/>
        </w:rPr>
        <w:t>http://www.casisd.cn/zkcg/ydkb/kjqykb/2023/kjqykb202302/202304/t20230427_6746610.html</w:t>
      </w:r>
    </w:p>
  </w:footnote>
  <w:footnote w:id="8">
    <w:p w14:paraId="7CAF0938">
      <w:pPr>
        <w:pStyle w:val="2"/>
        <w:snapToGrid w:val="0"/>
        <w:rPr>
          <w:rFonts w:hint="eastAsia"/>
        </w:rPr>
      </w:pPr>
      <w:r>
        <w:rPr>
          <w:rStyle w:val="6"/>
        </w:rPr>
        <w:footnoteRef/>
      </w:r>
      <w:r>
        <w:t xml:space="preserve"> </w:t>
      </w:r>
      <w:r>
        <w:rPr>
          <w:rFonts w:hint="eastAsia"/>
        </w:rPr>
        <w:t xml:space="preserve">国家统计局. 《2024年全国科技经费投入统计公报》. 2025年9月29日.  </w:t>
      </w:r>
    </w:p>
    <w:p w14:paraId="3C868129">
      <w:pPr>
        <w:pStyle w:val="2"/>
        <w:snapToGrid w:val="0"/>
      </w:pPr>
      <w:r>
        <w:rPr>
          <w:rFonts w:hint="eastAsia"/>
        </w:rPr>
        <w:t>https://www.stats.gov.cn/english/PressRelease/202510/t20251010_1961462.html</w:t>
      </w:r>
    </w:p>
  </w:footnote>
  <w:footnote w:id="9">
    <w:p w14:paraId="3D863999">
      <w:pPr>
        <w:pStyle w:val="2"/>
        <w:snapToGrid w:val="0"/>
      </w:pPr>
      <w:r>
        <w:rPr>
          <w:rStyle w:val="6"/>
        </w:rPr>
        <w:footnoteRef/>
      </w:r>
      <w:r>
        <w:t xml:space="preserve"> </w:t>
      </w:r>
      <w:r>
        <w:rPr>
          <w:rFonts w:hint="eastAsia"/>
        </w:rPr>
        <w:t>中国科学院科技战略咨询研究院. 美国NSF发布《美国研发活动统计》报告. 2025年10月14日. https://casisd.cas.cn/zkcg/ydkb/kjzcyzxkb/2025/zczxkb_202510/202510/t20251014_7988227.html</w:t>
      </w:r>
    </w:p>
  </w:footnote>
  <w:footnote w:id="10">
    <w:p w14:paraId="6AB1CE4E">
      <w:pPr>
        <w:pStyle w:val="2"/>
        <w:snapToGrid w:val="0"/>
      </w:pPr>
      <w:r>
        <w:rPr>
          <w:rStyle w:val="6"/>
        </w:rPr>
        <w:footnoteRef/>
      </w:r>
      <w:r>
        <w:t xml:space="preserve"> </w:t>
      </w:r>
      <w:r>
        <w:rPr>
          <w:rFonts w:hint="eastAsia"/>
        </w:rPr>
        <w:t>中国科学院科技战略咨询研究院. 欧盟发布2024版科学、研究和创新绩效报告. 2024年10月30日. http://www.casisd.cas.cn/zkcg/ydkb/kjzcyzxkb/2024/zczxkb202408/202410/t20241030_7410485.html</w:t>
      </w:r>
    </w:p>
  </w:footnote>
  <w:footnote w:id="11">
    <w:p w14:paraId="68577095">
      <w:pPr>
        <w:pStyle w:val="2"/>
        <w:snapToGrid w:val="0"/>
        <w:rPr>
          <w:rFonts w:hint="eastAsia"/>
        </w:rPr>
      </w:pPr>
      <w:r>
        <w:rPr>
          <w:rStyle w:val="6"/>
        </w:rPr>
        <w:footnoteRef/>
      </w:r>
      <w:r>
        <w:t xml:space="preserve"> </w:t>
      </w:r>
      <w:r>
        <w:rPr>
          <w:rFonts w:hint="eastAsia"/>
        </w:rPr>
        <w:t>敖翼, 濮润, 展勇, 等. 我国新药创制的发展现状及问题浅析</w:t>
      </w:r>
      <w:bookmarkStart w:id="0" w:name="_GoBack"/>
      <w:bookmarkEnd w:id="0"/>
      <w:r>
        <w:rPr>
          <w:rFonts w:hint="eastAsia"/>
        </w:rPr>
        <w:t>[J]. 中国新药杂志. http://www.zgxyzz.cn/index.php?m=content&amp;c=index&amp;a=show&amp;catid=230&amp;id=6108</w:t>
      </w:r>
    </w:p>
  </w:footnote>
  <w:footnote w:id="12">
    <w:p w14:paraId="47D5856E">
      <w:pPr>
        <w:pStyle w:val="2"/>
        <w:snapToGrid w:val="0"/>
      </w:pPr>
      <w:r>
        <w:rPr>
          <w:rStyle w:val="6"/>
        </w:rPr>
        <w:footnoteRef/>
      </w:r>
      <w:r>
        <w:t xml:space="preserve"> </w:t>
      </w:r>
      <w:r>
        <w:rPr>
          <w:rFonts w:hint="eastAsia"/>
        </w:rPr>
        <w:t>段建新. 高质量发展具有中国特色的原创新药事业. 人民论坛网. 2025年6月4日. https://www.rmlt.com.cn/2025/0604/731841.shtml</w:t>
      </w:r>
    </w:p>
  </w:footnote>
  <w:footnote w:id="13">
    <w:p w14:paraId="115A1E3F">
      <w:pPr>
        <w:pStyle w:val="2"/>
        <w:snapToGrid w:val="0"/>
      </w:pPr>
      <w:r>
        <w:rPr>
          <w:rStyle w:val="6"/>
        </w:rPr>
        <w:footnoteRef/>
      </w:r>
      <w:r>
        <w:t xml:space="preserve"> </w:t>
      </w:r>
      <w:r>
        <w:rPr>
          <w:rFonts w:hint="eastAsia"/>
        </w:rPr>
        <w:t>Research Fronts 2025. Institutes of Science and Development, Chinese Academy of Sciences; National Science Library, Chinese Academy of Sciences; Clarivate. 2025. http://english.casisd.cn/media/202512/t20251204_1134680.html</w:t>
      </w:r>
    </w:p>
  </w:footnote>
  <w:footnote w:id="14">
    <w:p w14:paraId="6F86CD97">
      <w:pPr>
        <w:pStyle w:val="2"/>
        <w:snapToGrid w:val="0"/>
      </w:pPr>
      <w:r>
        <w:rPr>
          <w:rStyle w:val="6"/>
        </w:rPr>
        <w:footnoteRef/>
      </w:r>
      <w:r>
        <w:t xml:space="preserve"> </w:t>
      </w:r>
      <w:r>
        <w:rPr>
          <w:rFonts w:hint="eastAsia"/>
        </w:rPr>
        <w:t>中国医药创新促进会. 屹立潮头——中国医药创新的全球新位势与未来十年演进. 2026年2月7日. https://www.phirda.com/artilce_41629.html</w:t>
      </w:r>
    </w:p>
  </w:footnote>
  <w:footnote w:id="15">
    <w:p w14:paraId="411B9A0C">
      <w:pPr>
        <w:pStyle w:val="2"/>
        <w:snapToGrid w:val="0"/>
      </w:pPr>
      <w:r>
        <w:rPr>
          <w:rStyle w:val="6"/>
        </w:rPr>
        <w:footnoteRef/>
      </w:r>
      <w:r>
        <w:t xml:space="preserve"> </w:t>
      </w:r>
      <w:r>
        <w:rPr>
          <w:rFonts w:hint="eastAsia"/>
        </w:rPr>
        <w:t>国家统计局. 2024年全国科技经费投入统计公报. 2025年9月29日. https://www.gov.cn/lianbo/bumen/202509/content_7042859.htm</w:t>
      </w:r>
    </w:p>
  </w:footnote>
  <w:footnote w:id="16">
    <w:p w14:paraId="3F5AF07C">
      <w:pPr>
        <w:pStyle w:val="2"/>
        <w:snapToGrid w:val="0"/>
      </w:pPr>
      <w:r>
        <w:rPr>
          <w:rStyle w:val="6"/>
        </w:rPr>
        <w:footnoteRef/>
      </w:r>
      <w:r>
        <w:t xml:space="preserve"> </w:t>
      </w:r>
      <w:r>
        <w:rPr>
          <w:rFonts w:hint="eastAsia"/>
        </w:rPr>
        <w:t>National Center for Science and Engineering Statistics. Analysis of Federal Funding for Research and Development in 2022: Basic Research. 2024年8月15日. https://ncses.nsf.gov/pubs/nsf24332</w:t>
      </w:r>
    </w:p>
  </w:footnote>
  <w:footnote w:id="17">
    <w:p w14:paraId="5CF8C501">
      <w:pPr>
        <w:pStyle w:val="2"/>
        <w:snapToGrid w:val="0"/>
      </w:pPr>
      <w:r>
        <w:rPr>
          <w:rStyle w:val="6"/>
        </w:rPr>
        <w:footnoteRef/>
      </w:r>
      <w:r>
        <w:t xml:space="preserve"> </w:t>
      </w:r>
      <w:r>
        <w:rPr>
          <w:rFonts w:hint="eastAsia"/>
        </w:rPr>
        <w:t>经济参考报. 2025年我国批准创新药76个 对外授权超千亿美元. 2026年1月5日. http://www.jjckb.cn/20260105/ed78b5dda3bb4de6bd57ac8b619d54b9/c.html</w:t>
      </w:r>
    </w:p>
  </w:footnote>
  <w:footnote w:id="18">
    <w:p w14:paraId="20C93055">
      <w:pPr>
        <w:pStyle w:val="2"/>
        <w:snapToGrid w:val="0"/>
      </w:pPr>
      <w:r>
        <w:rPr>
          <w:rStyle w:val="6"/>
        </w:rPr>
        <w:footnoteRef/>
      </w:r>
      <w:r>
        <w:t xml:space="preserve"> </w:t>
      </w:r>
      <w:r>
        <w:rPr>
          <w:rFonts w:hint="eastAsia"/>
        </w:rPr>
        <w:t>人民日报. 2025年我国有76个创新药获批上市. 2026年1月5日. http://paper.people.com.cn/rmrb/pc/content/202601/05/content_30129342.html</w:t>
      </w:r>
    </w:p>
  </w:footnote>
  <w:footnote w:id="19">
    <w:p w14:paraId="4F2C21D9">
      <w:pPr>
        <w:pStyle w:val="2"/>
        <w:snapToGrid w:val="0"/>
      </w:pPr>
      <w:r>
        <w:rPr>
          <w:rStyle w:val="6"/>
        </w:rPr>
        <w:footnoteRef/>
      </w:r>
      <w:r>
        <w:t xml:space="preserve"> </w:t>
      </w:r>
      <w:r>
        <w:rPr>
          <w:rFonts w:hint="eastAsia"/>
        </w:rPr>
        <w:t>经济参考报. 2025年我国批准创新药76个 对外授权超千亿美元. 2026年1月5日. http://www.jjckb.cn/20260105/ed78b5dda3bb4de6bd57ac8b619d54b9/c.html</w:t>
      </w:r>
    </w:p>
  </w:footnote>
  <w:footnote w:id="20">
    <w:p w14:paraId="3A92B944">
      <w:pPr>
        <w:pStyle w:val="2"/>
        <w:snapToGrid w:val="0"/>
      </w:pPr>
      <w:r>
        <w:rPr>
          <w:rStyle w:val="6"/>
        </w:rPr>
        <w:footnoteRef/>
      </w:r>
      <w:r>
        <w:t xml:space="preserve"> </w:t>
      </w:r>
      <w:r>
        <w:rPr>
          <w:rFonts w:hint="eastAsia"/>
        </w:rPr>
        <w:t>全国体外诊断网. 百济神州宣布百赫安®在中国正式投入临床使用. 2025年6月25日. http://caivd-org.cn/m/article.asp?id=18058</w:t>
      </w:r>
    </w:p>
  </w:footnote>
  <w:footnote w:id="21">
    <w:p w14:paraId="5EFD0E24">
      <w:pPr>
        <w:pStyle w:val="2"/>
        <w:snapToGrid w:val="0"/>
      </w:pPr>
      <w:r>
        <w:rPr>
          <w:rStyle w:val="6"/>
        </w:rPr>
        <w:footnoteRef/>
      </w:r>
      <w:r>
        <w:t xml:space="preserve"> </w:t>
      </w:r>
      <w:r>
        <w:rPr>
          <w:rFonts w:hint="eastAsia"/>
        </w:rPr>
        <w:t>UCLA Health. With $3.2M grant, UCLA researcher to study cancer patients' response to immunotherapy. 2017年1月12日. https://www.uclahealth.org/news/release/with-32m-grant-ucla-researcher-to-study-cancer-patients-response-to-immunotherapy</w:t>
      </w:r>
    </w:p>
  </w:footnote>
  <w:footnote w:id="22">
    <w:p w14:paraId="15934E38">
      <w:pPr>
        <w:pStyle w:val="2"/>
        <w:snapToGrid w:val="0"/>
      </w:pPr>
      <w:r>
        <w:rPr>
          <w:rStyle w:val="6"/>
        </w:rPr>
        <w:footnoteRef/>
      </w:r>
      <w:r>
        <w:t xml:space="preserve"> </w:t>
      </w:r>
      <w:r>
        <w:rPr>
          <w:rFonts w:hint="eastAsia"/>
        </w:rPr>
        <w:t>Zhou D, et al. Anti-BCMA/GPRC5D bispecific CAR T cells in patients with relapsed or refractory multiple myeloma: a phase 1 trial. Lancet Haematol. 2024 Oct;11(10):e739-e748. https://pubmed.ncbi.nlm.nih.gov/39059405/</w:t>
      </w:r>
    </w:p>
  </w:footnote>
  <w:footnote w:id="23">
    <w:p w14:paraId="4486A082">
      <w:pPr>
        <w:pStyle w:val="2"/>
        <w:snapToGrid w:val="0"/>
      </w:pPr>
      <w:r>
        <w:rPr>
          <w:rStyle w:val="6"/>
        </w:rPr>
        <w:footnoteRef/>
      </w:r>
      <w:r>
        <w:t xml:space="preserve"> </w:t>
      </w:r>
      <w:r>
        <w:rPr>
          <w:rFonts w:hint="eastAsia"/>
        </w:rPr>
        <w:t>Li P, et al. C-CAR066, a novel fully human anti-CD20 CAR-T therapy for relapsed or refractory large B-cell lymphoma after failure of anti-CD19 CAR-T therapy: A phase I clinical study. Am J Hematol. 2024 Dec;99(12):2306-2312. https://pubmed.ncbi.nlm.nih.gov/39351902/</w:t>
      </w:r>
    </w:p>
  </w:footnote>
  <w:footnote w:id="24">
    <w:p w14:paraId="422811FF">
      <w:pPr>
        <w:pStyle w:val="2"/>
        <w:snapToGrid w:val="0"/>
      </w:pPr>
      <w:r>
        <w:rPr>
          <w:rStyle w:val="6"/>
        </w:rPr>
        <w:footnoteRef/>
      </w:r>
      <w:r>
        <w:t xml:space="preserve"> </w:t>
      </w:r>
      <w:r>
        <w:rPr>
          <w:rFonts w:hint="eastAsia"/>
        </w:rPr>
        <w:t>The Nurse Practitioner. The Drug Update: Recent drug approvals, winter 2025 edition. 2025年2月. https://journals.lww.com/tnpj/fulltext/2025/02000/the_drug_update__recent_drug_approvals,_winter.8.aspx</w:t>
      </w:r>
    </w:p>
  </w:footnote>
  <w:footnote w:id="25">
    <w:p w14:paraId="69FA2A00">
      <w:pPr>
        <w:pStyle w:val="2"/>
        <w:snapToGrid w:val="0"/>
      </w:pPr>
      <w:r>
        <w:rPr>
          <w:rStyle w:val="6"/>
        </w:rPr>
        <w:footnoteRef/>
      </w:r>
      <w:r>
        <w:t xml:space="preserve"> </w:t>
      </w:r>
      <w:r>
        <w:rPr>
          <w:rFonts w:hint="eastAsia"/>
        </w:rPr>
        <w:t>National Institute on Aging. September 2025 Director's Status Report. 2025年9月. https://www.nia.nih.gov/about/naca/september-2025-directors-status-report</w:t>
      </w:r>
    </w:p>
  </w:footnote>
  <w:footnote w:id="26">
    <w:p w14:paraId="29B59261">
      <w:pPr>
        <w:pStyle w:val="2"/>
        <w:snapToGrid w:val="0"/>
      </w:pPr>
      <w:r>
        <w:rPr>
          <w:rStyle w:val="6"/>
        </w:rPr>
        <w:footnoteRef/>
      </w:r>
      <w:r>
        <w:t xml:space="preserve"> </w:t>
      </w:r>
      <w:r>
        <w:rPr>
          <w:rFonts w:hint="eastAsia"/>
        </w:rPr>
        <w:t>National Institutes of Health. Budget. https://www.nih.gov/about-nih/organization/budget</w:t>
      </w:r>
    </w:p>
  </w:footnote>
  <w:footnote w:id="27">
    <w:p w14:paraId="5CC0C8E3">
      <w:pPr>
        <w:pStyle w:val="2"/>
        <w:snapToGrid w:val="0"/>
      </w:pPr>
      <w:r>
        <w:rPr>
          <w:rStyle w:val="6"/>
        </w:rPr>
        <w:footnoteRef/>
      </w:r>
      <w:r>
        <w:t xml:space="preserve"> </w:t>
      </w:r>
      <w:r>
        <w:rPr>
          <w:rFonts w:hint="eastAsia"/>
        </w:rPr>
        <w:t>https://www.niddk.nih.gov/research-funding/process/apply/funding-mechanisms</w:t>
      </w:r>
    </w:p>
  </w:footnote>
  <w:footnote w:id="28">
    <w:p w14:paraId="6137778F">
      <w:pPr>
        <w:pStyle w:val="2"/>
        <w:snapToGrid w:val="0"/>
      </w:pPr>
      <w:r>
        <w:rPr>
          <w:rStyle w:val="6"/>
        </w:rPr>
        <w:footnoteRef/>
      </w:r>
      <w:r>
        <w:t xml:space="preserve"> </w:t>
      </w:r>
      <w:r>
        <w:rPr>
          <w:rFonts w:hint="eastAsia"/>
        </w:rPr>
        <w:t>Galkina Cleary E, et al. Contribution of NIH funding to new drug approvals 2010-2016. Proc Natl Acad Sci USA. 2018;115(10):2329-2334. https://www.pnas.org/doi/full/10.1073/pnas.1715368115</w:t>
      </w:r>
    </w:p>
  </w:footnote>
  <w:footnote w:id="29">
    <w:p w14:paraId="3DD48538">
      <w:pPr>
        <w:pStyle w:val="2"/>
        <w:snapToGrid w:val="0"/>
      </w:pPr>
      <w:r>
        <w:rPr>
          <w:rStyle w:val="6"/>
        </w:rPr>
        <w:footnoteRef/>
      </w:r>
      <w:r>
        <w:t xml:space="preserve"> </w:t>
      </w:r>
      <w:r>
        <w:rPr>
          <w:rFonts w:hint="eastAsia"/>
        </w:rPr>
        <w:t>Health Research Board. Horizon Europe 2025: €960 million funding for health and cancer research. 2025年5月30日. https://www.hrb.ie/news-stories/horizon-europe-2025-e960-million-funding-for-health-and-cancer-research/</w:t>
      </w:r>
    </w:p>
  </w:footnote>
  <w:footnote w:id="30">
    <w:p w14:paraId="4A0823D2">
      <w:pPr>
        <w:pStyle w:val="2"/>
        <w:snapToGrid w:val="0"/>
      </w:pPr>
      <w:r>
        <w:rPr>
          <w:rStyle w:val="6"/>
        </w:rPr>
        <w:footnoteRef/>
      </w:r>
      <w:r>
        <w:t xml:space="preserve"> </w:t>
      </w:r>
      <w:r>
        <w:rPr>
          <w:rFonts w:hint="eastAsia"/>
        </w:rPr>
        <w:t>中国科学院科技战略咨询研究院. 欧盟报告比较中美欧公共研发资助情况. 2025年9月29日. http://www.casisd.cas.cn/zkcg/ydkb/kjzcyzxkb/2025/zczxkb202508/202509/t20250929_7982106.html</w:t>
      </w:r>
    </w:p>
  </w:footnote>
  <w:footnote w:id="31">
    <w:p w14:paraId="01347421">
      <w:pPr>
        <w:pStyle w:val="2"/>
        <w:snapToGrid w:val="0"/>
      </w:pPr>
      <w:r>
        <w:rPr>
          <w:rStyle w:val="6"/>
        </w:rPr>
        <w:footnoteRef/>
      </w:r>
      <w:r>
        <w:t xml:space="preserve"> </w:t>
      </w:r>
      <w:r>
        <w:rPr>
          <w:rFonts w:hint="eastAsia"/>
        </w:rPr>
        <w:t>人民日报. 从0.44个百分点看科技创新"加速度". 2026年2月10日. http://sc.people.com.cn/BIG5/n2/2026/0210/c345167-41498456.html</w:t>
      </w:r>
    </w:p>
  </w:footnote>
  <w:footnote w:id="32">
    <w:p w14:paraId="7C22E8AD">
      <w:pPr>
        <w:pStyle w:val="2"/>
        <w:snapToGrid w:val="0"/>
        <w:rPr>
          <w:rFonts w:hint="eastAsia"/>
        </w:rPr>
      </w:pPr>
      <w:r>
        <w:rPr>
          <w:rStyle w:val="6"/>
        </w:rPr>
        <w:footnoteRef/>
      </w:r>
      <w:r>
        <w:t xml:space="preserve"> </w:t>
      </w:r>
      <w:r>
        <w:rPr>
          <w:rFonts w:hint="eastAsia"/>
        </w:rPr>
        <w:t>中国新闻网. 工信部：我国企业研发经费占全社会研发经费3/4以上. 2025年9月9日. https://www.chinanews.com.cn/cj/2025/09-09/10479012.shtml</w:t>
      </w:r>
    </w:p>
  </w:footnote>
  <w:footnote w:id="33">
    <w:p w14:paraId="21A41B1D">
      <w:pPr>
        <w:pStyle w:val="2"/>
        <w:snapToGrid w:val="0"/>
      </w:pPr>
      <w:r>
        <w:rPr>
          <w:rStyle w:val="6"/>
        </w:rPr>
        <w:footnoteRef/>
      </w:r>
      <w:r>
        <w:t xml:space="preserve"> </w:t>
      </w:r>
      <w:r>
        <w:rPr>
          <w:rFonts w:hint="eastAsia"/>
        </w:rPr>
        <w:t>证券时报. 政策红利及产业需求升级驱动 中国PE/VC市场今年上半年呈现回暖态势. 2025年8月31日. https://www.stcn.com/article/detail/3313953.html</w:t>
      </w:r>
    </w:p>
  </w:footnote>
  <w:footnote w:id="34">
    <w:p w14:paraId="4B80917B">
      <w:pPr>
        <w:pStyle w:val="2"/>
        <w:snapToGrid w:val="0"/>
      </w:pPr>
      <w:r>
        <w:rPr>
          <w:rStyle w:val="6"/>
        </w:rPr>
        <w:footnoteRef/>
      </w:r>
      <w:r>
        <w:t xml:space="preserve"> </w:t>
      </w:r>
      <w:r>
        <w:rPr>
          <w:rFonts w:hint="eastAsia"/>
        </w:rPr>
        <w:t>科技日报. 不让科技资金“撒胡椒面”——安徽省实施“零基预算”改革纪实. 2024年7月17日. https://pykj.puyang.gov.cn/pc/fwzx.asp?a=newsview&amp;id=43451</w:t>
      </w:r>
    </w:p>
  </w:footnote>
  <w:footnote w:id="35">
    <w:p w14:paraId="64C0ADA5">
      <w:pPr>
        <w:pStyle w:val="2"/>
        <w:snapToGrid w:val="0"/>
      </w:pPr>
      <w:r>
        <w:rPr>
          <w:rStyle w:val="6"/>
        </w:rPr>
        <w:footnoteRef/>
      </w:r>
      <w:r>
        <w:t xml:space="preserve"> </w:t>
      </w:r>
      <w:r>
        <w:rPr>
          <w:rFonts w:hint="eastAsia"/>
        </w:rPr>
        <w:t>National Center for Science and Engineering Statistics (NCSES). Business R&amp;D Performance in the United States Increases to $722 Billion in 2023. 2025年9月. https://ncses.nsf.gov/pubs/nsf25353</w:t>
      </w:r>
    </w:p>
  </w:footnote>
  <w:footnote w:id="36">
    <w:p w14:paraId="37C27A7C">
      <w:pPr>
        <w:pStyle w:val="2"/>
        <w:snapToGrid w:val="0"/>
      </w:pPr>
      <w:r>
        <w:rPr>
          <w:rStyle w:val="6"/>
        </w:rPr>
        <w:footnoteRef/>
      </w:r>
      <w:r>
        <w:t xml:space="preserve"> </w:t>
      </w:r>
      <w:r>
        <w:rPr>
          <w:rFonts w:hint="eastAsia"/>
        </w:rPr>
        <w:t>中国科学技术发展战略研究院. 企业投入基础研究税收激励政策分析与建议. 2025年7月22日. https://www.casted.org.cn/2025-07/22/news_11940.shtml</w:t>
      </w:r>
    </w:p>
  </w:footnote>
  <w:footnote w:id="37">
    <w:p w14:paraId="11E63D29">
      <w:pPr>
        <w:pStyle w:val="2"/>
        <w:snapToGrid w:val="0"/>
      </w:pPr>
      <w:r>
        <w:rPr>
          <w:rStyle w:val="6"/>
        </w:rPr>
        <w:footnoteRef/>
      </w:r>
      <w:r>
        <w:t xml:space="preserve"> </w:t>
      </w:r>
      <w:r>
        <w:rPr>
          <w:rFonts w:hint="eastAsia"/>
        </w:rPr>
        <w:t>杨桂, 等. 国内外一流医学机构的差距分析与定量研究[J]. 四川大学学报(医学版), 2025, 56(1): 166-174. https://pubmed.ncbi.nlm.nih.gov/40109462/</w:t>
      </w:r>
    </w:p>
  </w:footnote>
  <w:footnote w:id="38">
    <w:p w14:paraId="1D3CC7E8">
      <w:pPr>
        <w:pStyle w:val="2"/>
        <w:snapToGrid w:val="0"/>
      </w:pPr>
      <w:r>
        <w:rPr>
          <w:rStyle w:val="6"/>
        </w:rPr>
        <w:footnoteRef/>
      </w:r>
      <w:r>
        <w:t xml:space="preserve"> </w:t>
      </w:r>
      <w:r>
        <w:rPr>
          <w:rFonts w:hint="eastAsia"/>
        </w:rPr>
        <w:t xml:space="preserve">人民日报. 从0.44个百分点看科技创新“加速度”. 2026年2月10日. http://sc.people.com.cn/BIG5/n2/2026/0210/c345167-41498456.html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7BF202"/>
    <w:multiLevelType w:val="singleLevel"/>
    <w:tmpl w:val="FD7BF20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78"/>
    <w:footnote w:id="79"/>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9FFC1C"/>
    <w:rsid w:val="95FFA6B8"/>
    <w:rsid w:val="FF9FF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character" w:styleId="5">
    <w:name w:val="Hyperlink"/>
    <w:basedOn w:val="4"/>
    <w:uiPriority w:val="0"/>
    <w:rPr>
      <w:color w:val="0000FF"/>
      <w:u w:val="single"/>
    </w:rPr>
  </w:style>
  <w:style w:type="character" w:styleId="6">
    <w:name w:val="footnote reference"/>
    <w:basedOn w:val="4"/>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2026-02-25T15:09:00Z</dcterms:created>
  <dc:creator>WPS_1633742157</dc:creator>
  <cp:lastModifiedBy>WPS_1633742157</cp:lastModifiedBy>
  <dcterms:modified xsi:type="dcterms:W3CDTF">2026-02-27T02:33:31Z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AF8E9014946620A80FA09E6985EABF89_41</vt:lpwstr>
  </property>
</Properties>
</file>