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A5354">
      <w:pPr>
        <w:jc w:val="center"/>
        <w:rPr>
          <w:rFonts w:hint="eastAsia" w:ascii="微软雅黑" w:hAnsi="微软雅黑" w:eastAsia="微软雅黑" w:cs="Times New Roman"/>
          <w:b/>
          <w:bCs/>
          <w:color w:val="4472C4"/>
          <w:sz w:val="72"/>
          <w:szCs w:val="72"/>
        </w:rPr>
      </w:pPr>
      <w:r>
        <w:rPr>
          <w:rFonts w:hint="eastAsia" w:ascii="微软雅黑" w:hAnsi="微软雅黑" w:eastAsia="微软雅黑" w:cs="Times New Roman"/>
          <w:b/>
          <w:bCs/>
          <w:color w:val="4472C4"/>
          <w:sz w:val="72"/>
          <w:szCs w:val="72"/>
        </w:rPr>
        <w:t>创新药动向简报</w:t>
      </w:r>
    </w:p>
    <w:p w14:paraId="651BB6E6">
      <w:pPr>
        <w:spacing w:line="360" w:lineRule="auto"/>
        <w:jc w:val="center"/>
        <w:rPr>
          <w:rFonts w:ascii="Times New Roman" w:hAnsi="Times New Roman" w:eastAsia="微软雅黑" w:cs="Times New Roman"/>
          <w:sz w:val="36"/>
          <w:szCs w:val="36"/>
        </w:rPr>
      </w:pPr>
      <w:r>
        <w:rPr>
          <w:rFonts w:hint="eastAsia" w:ascii="Times New Roman" w:hAnsi="Times New Roman" w:eastAsia="微软雅黑" w:cs="Times New Roman"/>
          <w:sz w:val="36"/>
          <w:szCs w:val="36"/>
        </w:rPr>
        <w:t>（2025年7月）</w:t>
      </w:r>
    </w:p>
    <w:sdt>
      <w:sdtPr>
        <w:rPr>
          <w:rFonts w:ascii="Times New Roman" w:hAnsi="Times New Roman" w:eastAsia="宋体" w:cs="Times New Roman"/>
          <w:b/>
          <w:lang w:val="zh-CN"/>
        </w:rPr>
        <w:id w:val="365109053"/>
        <w:docPartObj>
          <w:docPartGallery w:val="Table of Contents"/>
          <w:docPartUnique/>
        </w:docPartObj>
      </w:sdtPr>
      <w:sdtEndPr>
        <w:rPr>
          <w:rFonts w:ascii="Times New Roman" w:hAnsi="Times New Roman" w:eastAsia="仿宋" w:cs="Times New Roman"/>
          <w:b/>
          <w:bCs/>
          <w:lang w:val="zh-CN"/>
        </w:rPr>
      </w:sdtEndPr>
      <w:sdtContent>
        <w:p w14:paraId="73447948">
          <w:pPr>
            <w:keepNext/>
            <w:keepLines/>
            <w:widowControl/>
            <w:spacing w:before="312" w:beforeLines="100" w:after="312" w:afterLines="100" w:line="600" w:lineRule="exact"/>
            <w:jc w:val="center"/>
            <w:rPr>
              <w:rFonts w:ascii="Times New Roman" w:hAnsi="Times New Roman" w:eastAsia="微软雅黑" w:cs="Times New Roman"/>
              <w:b/>
              <w:color w:val="4472C4"/>
              <w:kern w:val="0"/>
              <w:sz w:val="40"/>
              <w:szCs w:val="40"/>
            </w:rPr>
          </w:pPr>
          <w:r>
            <w:rPr>
              <w:rFonts w:ascii="等线 Light" w:hAnsi="等线 Light" w:eastAsia="黑体" w:cs="Times New Roman"/>
              <w:color w:val="4472C4"/>
              <w:kern w:val="0"/>
              <w:sz w:val="28"/>
              <w:szCs w:val="3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3810</wp:posOffset>
                    </wp:positionV>
                    <wp:extent cx="5273675" cy="0"/>
                    <wp:effectExtent l="0" t="0" r="0" b="0"/>
                    <wp:wrapNone/>
                    <wp:docPr id="1408378867" name="直接连接符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273675" cy="0"/>
                            </a:xfrm>
                            <a:prstGeom prst="lin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直接连接符 13" o:spid="_x0000_s1026" o:spt="20" style="position:absolute;left:0pt;margin-top:0.3pt;height:0pt;width:415.25pt;mso-position-horizontal:right;mso-position-horizontal-relative:margin;z-index:251659264;mso-width-relative:page;mso-height-relative:page;" filled="f" stroked="t" coordsize="21600,21600" o:gfxdata="UEsDBAoAAAAAAIdO4kAAAAAAAAAAAAAAAAAEAAAAZHJzL1BLAwQUAAAACACHTuJAlTdRidEAAAAC&#10;AQAADwAAAGRycy9kb3ducmV2LnhtbE2PzU7DMBCE70i8g7VI3KhdUKsqjdMD/4JLKTyAE2+TqPE6&#10;ijdN4enZnuA4mtHMN/nmFDp1xCG1kSzMZwYUUhV9S7WFr8+nmxWoxI686yKhhW9MsCkuL3KX+TjR&#10;Bx53XCspoZQ5Cw1zn2mdqgaDS7PYI4m3j0NwLHKotR/cJOWh07fGLHVwLclC43q8b7A67MYgu4v3&#10;MvjD81v98jCNPb9uH3/i1trrq7lZg2I88V8YzviCDoUwlXEkn1RnQY6whSUo8VZ3ZgGqPEtd5Po/&#10;evELUEsDBBQAAAAIAIdO4kDRV4Kw9wEAAMoDAAAOAAAAZHJzL2Uyb0RvYy54bWytUzuO2zAQ7QPk&#10;DgT7WPLfECxvYWPTBImBJAegKUoiwB84XMu+RC4QIF1SpUyf22T3GBlSWmez22yxKqgZDvmG7/Fx&#10;fXXSihyFB2lNScejnBJhuK2kaUr6+dP1mxUlEJipmLJGlPQsgF5tXr9ad64QE9taVQlPEMRA0bmS&#10;tiG4IsuAt0IzGFknDBZr6zULmPomqzzrEF2rbJLni6yzvnLecgGAs7u+SAdE/xxAW9eSi53lN1qY&#10;0KN6oVhAStBKB3STTlvXgocPdQ0iEFVSZBrSiE0wPsQx26xZ0XjmWsmHI7DnHOERJ82kwaYXqB0L&#10;jNx4+QRKS+4t2DqMuNVZTyQpgizG+SNtPrbMicQFpQZ3ER1eDpa/P+49kRU6YZavpsvVarGkxDCN&#10;N3/79defL9/vfn/D8fbnDzKeRrk6BwXu2pq9HzJwex+5n2qv4x9ZkVOS+HyRWJwC4Tg5nyyni+Wc&#10;En5fy/5tdB7CW2E1iUFJlTSRPSvY8R0EbIZL75fEaWOvpVLpBpUhXUkn81mOF8sZ2rJGO2CoHVID&#10;01DCVIN+58EnSLBKVnF7BALfHLbKkyNDl8xmy8l2Fpliu/+Wxd47Bm2/LpV6/2gZ8EkoqUu6yuM3&#10;7FYmootkw4FBVK/XK0YHW52TjFnM8IpT08GO0UMPc4wfPsHN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JU3UYnRAAAAAgEAAA8AAAAAAAAAAQAgAAAAIgAAAGRycy9kb3ducmV2LnhtbFBLAQIUABQA&#10;AAAIAIdO4kDRV4Kw9wEAAMoDAAAOAAAAAAAAAAEAIAAAACABAABkcnMvZTJvRG9jLnhtbFBLBQYA&#10;AAAABgAGAFkBAACJBQAAAAA=&#10;">
                    <v:fill on="f" focussize="0,0"/>
                    <v:stroke weight="2pt" color="#4472C4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eastAsia="微软雅黑" w:cs="Times New Roman"/>
              <w:b/>
              <w:color w:val="4472C4"/>
              <w:kern w:val="0"/>
              <w:sz w:val="40"/>
              <w:szCs w:val="40"/>
              <w:lang w:val="zh-CN"/>
            </w:rPr>
            <w:t>目  录</w:t>
          </w:r>
        </w:p>
        <w:p w14:paraId="32E512C5">
          <w:pPr>
            <w:pStyle w:val="14"/>
            <w:tabs>
              <w:tab w:val="right" w:leader="dot" w:pos="8296"/>
            </w:tabs>
            <w:rPr>
              <w:rFonts w:hint="eastAsia"/>
            </w:rPr>
          </w:pPr>
          <w:r>
            <w:rPr>
              <w:rFonts w:ascii="黑体" w:hAnsi="黑体" w:eastAsia="黑体" w:cs="Times New Roman"/>
              <w:color w:val="0563C1"/>
              <w:sz w:val="32"/>
              <w:szCs w:val="28"/>
              <w:u w:val="single"/>
            </w:rPr>
            <w:fldChar w:fldCharType="begin"/>
          </w:r>
          <w:r>
            <w:rPr>
              <w:rFonts w:ascii="Times New Roman" w:hAnsi="Times New Roman" w:eastAsia="黑体" w:cs="Times New Roman"/>
              <w:color w:val="0563C1"/>
              <w:sz w:val="32"/>
              <w:szCs w:val="28"/>
              <w:u w:val="single"/>
            </w:rPr>
            <w:instrText xml:space="preserve"> TOC \o "1-3" \h \z \u </w:instrText>
          </w:r>
          <w:r>
            <w:rPr>
              <w:rFonts w:ascii="黑体" w:hAnsi="黑体" w:eastAsia="黑体" w:cs="Times New Roman"/>
              <w:color w:val="0563C1"/>
              <w:sz w:val="32"/>
              <w:szCs w:val="28"/>
              <w:u w:val="single"/>
            </w:rPr>
            <w:fldChar w:fldCharType="separate"/>
          </w:r>
          <w:r>
            <w:fldChar w:fldCharType="begin"/>
          </w:r>
          <w:r>
            <w:instrText xml:space="preserve"> HYPERLINK \l "_Toc205192224" </w:instrText>
          </w:r>
          <w:r>
            <w:fldChar w:fldCharType="separate"/>
          </w:r>
          <w:r>
            <w:rPr>
              <w:rStyle w:val="23"/>
              <w:rFonts w:hint="eastAsia" w:ascii="Times New Roman" w:hAnsi="Times New Roman" w:eastAsia="黑体" w:cs="Times New Roman"/>
              <w:sz w:val="32"/>
              <w:szCs w:val="28"/>
            </w:rPr>
            <w:t>技术动向</w:t>
          </w:r>
          <w:r>
            <w:rPr>
              <w:rStyle w:val="23"/>
              <w:rFonts w:hint="eastAsia" w:ascii="Times New Roman" w:hAnsi="Times New Roman" w:eastAsia="黑体" w:cs="Times New Roman"/>
              <w:sz w:val="32"/>
              <w:szCs w:val="28"/>
            </w:rPr>
            <w:fldChar w:fldCharType="end"/>
          </w:r>
        </w:p>
        <w:p w14:paraId="190DEE21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"_Toc205192225"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特朗普致信17家制药巨头，要求降低美国药价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_Toc205192225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1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4675244E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"_Toc205192226"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美国FDA公布“国家优先审批券”试点计划优先事项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_Toc205192226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1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16FEA6A5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"_Toc205192227"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美国医疗保险和医疗补助服务中心启动州协议，扩大细胞和基因治疗的可及性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_Toc205192227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2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424BC768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"_Toc205192228"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欧盟委员会启动欧洲生命科学战略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_Toc205192228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2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702DB4D9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"_Toc205192229"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欧盟委员会启动新医疗对策战略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_Toc205192229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2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247FE165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"_Toc205192230"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德国研究、技术和航天部发布《德国高科技议程》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_Toc205192230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3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58F69D35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"_Toc205192231"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美国将在国际空间站开展再生医学研究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_Toc205192231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3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07F9D8F8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"_Toc205192232"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OpenAI投资的Chai Discovery公司推出Chai-2，实现零样本抗体设计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_Toc205192232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3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170545FD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"_Toc205192233"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美国斯坦福大学开发出AI智能体虚拟实验室，可高效设计抗病毒纳米抗体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_Toc205192233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4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405AAE9C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"_Toc205192234"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Isomorphic Labs公司将开展AlphaFold设计药物的首次人体试验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_Toc205192234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4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71E97D3F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"_Toc205192235"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诺奖得主David Baker团队提出蛋白质设计策略logos，突破“不可成药”靶点困境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_Toc205192235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5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2576CD47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"_Toc205192236"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英伟达发布AI蛋白质生成模型La-Proteina，蛋白质设计迎来重大突破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_Toc205192236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5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59ADEC24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"_Toc205192237"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美国斯坦福大学开发出全球首个基因编辑智能体系统CRISPR-GPT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_Toc205192237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5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004908A2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"_Toc205192238"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美国哈佛大学开发基因编辑技术，一针修复5种大脑突变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_Toc205192238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6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0CDCE361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"_Toc205192239"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美国纽约大学和宾夕法尼亚大学开发出白血病芯片，精准测试CAR-T疗效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_Toc205192239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6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110BC062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"_Toc205192240"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美国德克萨斯大学和赛诺菲公司开发RiboNN模型，有望加速mRNA疗法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_Toc205192240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7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0AE01DAD">
          <w:pPr>
            <w:pStyle w:val="14"/>
            <w:tabs>
              <w:tab w:val="right" w:leader="dot" w:pos="8296"/>
            </w:tabs>
            <w:rPr>
              <w:rStyle w:val="23"/>
              <w:rFonts w:ascii="Times New Roman" w:hAnsi="Times New Roman" w:eastAsia="黑体" w:cs="Times New Roman"/>
              <w:sz w:val="32"/>
              <w:szCs w:val="28"/>
            </w:rPr>
          </w:pPr>
          <w:r>
            <w:fldChar w:fldCharType="begin"/>
          </w:r>
          <w:r>
            <w:instrText xml:space="preserve"> HYPERLINK \l "_Toc205192241" </w:instrText>
          </w:r>
          <w:r>
            <w:fldChar w:fldCharType="separate"/>
          </w:r>
          <w:r>
            <w:rPr>
              <w:rStyle w:val="23"/>
              <w:rFonts w:hint="eastAsia" w:ascii="Times New Roman" w:hAnsi="Times New Roman" w:eastAsia="黑体" w:cs="Times New Roman"/>
              <w:sz w:val="32"/>
              <w:szCs w:val="28"/>
            </w:rPr>
            <w:t>产品动态</w:t>
          </w:r>
          <w:r>
            <w:rPr>
              <w:rStyle w:val="23"/>
              <w:rFonts w:hint="eastAsia" w:ascii="Times New Roman" w:hAnsi="Times New Roman" w:eastAsia="黑体" w:cs="Times New Roman"/>
              <w:sz w:val="32"/>
              <w:szCs w:val="28"/>
            </w:rPr>
            <w:fldChar w:fldCharType="end"/>
          </w:r>
        </w:p>
        <w:p w14:paraId="52DF3546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"_Toc205192242"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德国拜耳公司首创新药Lynkuet在英国获全球首批上市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_Toc205192242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7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580BA232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"_Toc205192243"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美国Sarepta公司基因治疗药物Elevidys获FDA批准恢复销售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_Toc205192243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7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515A3F90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Style w:val="23"/>
              <w:rFonts w:eastAsia="仿宋"/>
            </w:rPr>
          </w:pPr>
          <w:r>
            <w:fldChar w:fldCharType="begin"/>
          </w:r>
          <w:r>
            <w:instrText xml:space="preserve"> HYPERLINK \l "_Toc205192244"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美国吉利德公司艾滋病预防新药Lenacapavir获欧洲药品管理局建议批准上市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_Toc205192244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8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</w:p>
        <w:p w14:paraId="564F1299">
          <w:pPr>
            <w:pStyle w:val="11"/>
            <w:tabs>
              <w:tab w:val="right" w:leader="dot" w:pos="8296"/>
            </w:tabs>
            <w:spacing w:line="360" w:lineRule="auto"/>
            <w:ind w:left="420" w:leftChars="200"/>
            <w:rPr>
              <w:rFonts w:eastAsia="仿宋" w:cs="Times New Roman"/>
              <w:b/>
              <w:bCs/>
              <w:lang w:val="zh-CN"/>
            </w:rPr>
            <w:sectPr>
              <w:headerReference r:id="rId6" w:type="first"/>
              <w:footerReference r:id="rId9" w:type="first"/>
              <w:headerReference r:id="rId4" w:type="default"/>
              <w:footerReference r:id="rId7" w:type="default"/>
              <w:headerReference r:id="rId5" w:type="even"/>
              <w:footerReference r:id="rId8" w:type="even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fldChar w:fldCharType="begin"/>
          </w:r>
          <w:r>
            <w:instrText xml:space="preserve"> HYPERLINK \l "_Toc205192245" </w:instrText>
          </w:r>
          <w:r>
            <w:fldChar w:fldCharType="separate"/>
          </w:r>
          <w:r>
            <w:rPr>
              <w:rStyle w:val="23"/>
              <w:rFonts w:hint="eastAsia" w:eastAsia="仿宋"/>
            </w:rPr>
            <w:t>英国葛兰素史克公司的抗体偶联药物Blenrep获欧盟批准</w:t>
          </w:r>
          <w:r>
            <w:rPr>
              <w:rStyle w:val="23"/>
              <w:rFonts w:hint="eastAsia" w:eastAsia="仿宋"/>
            </w:rPr>
            <w:tab/>
          </w:r>
          <w:r>
            <w:rPr>
              <w:rStyle w:val="23"/>
              <w:rFonts w:hint="eastAsia" w:eastAsia="仿宋"/>
            </w:rPr>
            <w:fldChar w:fldCharType="begin"/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eastAsia="仿宋"/>
            </w:rPr>
            <w:instrText xml:space="preserve">PAGEREF _Toc205192245 \h</w:instrText>
          </w:r>
          <w:r>
            <w:rPr>
              <w:rStyle w:val="23"/>
              <w:rFonts w:hint="eastAsia" w:eastAsia="仿宋"/>
            </w:rPr>
            <w:instrText xml:space="preserve"> </w:instrText>
          </w:r>
          <w:r>
            <w:rPr>
              <w:rStyle w:val="23"/>
              <w:rFonts w:hint="eastAsia" w:eastAsia="仿宋"/>
            </w:rPr>
            <w:fldChar w:fldCharType="separate"/>
          </w:r>
          <w:r>
            <w:rPr>
              <w:rStyle w:val="23"/>
              <w:rFonts w:eastAsia="仿宋"/>
            </w:rPr>
            <w:t>8</w:t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Style w:val="23"/>
              <w:rFonts w:hint="eastAsia" w:eastAsia="仿宋"/>
            </w:rPr>
            <w:fldChar w:fldCharType="end"/>
          </w:r>
          <w:r>
            <w:rPr>
              <w:rFonts w:eastAsia="仿宋" w:cs="Times New Roman"/>
              <w:b/>
              <w:bCs/>
              <w:lang w:val="zh-CN"/>
            </w:rPr>
            <w:fldChar w:fldCharType="end"/>
          </w:r>
        </w:p>
      </w:sdtContent>
    </w:sdt>
    <w:p w14:paraId="35A66DAB">
      <w:pPr>
        <w:keepNext/>
        <w:keepLines/>
        <w:spacing w:before="120" w:after="120" w:line="500" w:lineRule="exact"/>
        <w:outlineLvl w:val="0"/>
        <w:rPr>
          <w:rFonts w:ascii="Times New Roman" w:hAnsi="Times New Roman" w:eastAsia="黑体" w:cs="Times New Roman"/>
          <w:b/>
          <w:bCs/>
          <w:color w:val="4472C4"/>
          <w:sz w:val="32"/>
          <w:szCs w:val="32"/>
        </w:rPr>
      </w:pPr>
      <w:bookmarkStart w:id="0" w:name="_Toc205192224"/>
      <w:r>
        <w:rPr>
          <w:rFonts w:hint="eastAsia" w:ascii="Times New Roman" w:hAnsi="Times New Roman" w:eastAsia="黑体" w:cs="Times New Roman"/>
          <w:b/>
          <w:bCs/>
          <w:color w:val="4472C4"/>
          <w:sz w:val="32"/>
          <w:szCs w:val="32"/>
        </w:rPr>
        <w:t>技术动向</w:t>
      </w:r>
      <w:bookmarkEnd w:id="0"/>
    </w:p>
    <w:p w14:paraId="1378E07D">
      <w:pPr>
        <w:pStyle w:val="46"/>
        <w:outlineLvl w:val="1"/>
        <w:rPr>
          <w:color w:val="auto"/>
        </w:rPr>
      </w:pPr>
      <w:bookmarkStart w:id="1" w:name="_Toc205192225"/>
      <w:r>
        <w:rPr>
          <w:color w:val="auto"/>
        </w:rPr>
        <w:t>特朗普致</w:t>
      </w:r>
      <w:r>
        <w:rPr>
          <w:rFonts w:hint="eastAsia"/>
          <w:color w:val="auto"/>
        </w:rPr>
        <w:t>信17家制药巨头</w:t>
      </w:r>
      <w:r>
        <w:rPr>
          <w:color w:val="auto"/>
        </w:rPr>
        <w:t>，</w:t>
      </w:r>
      <w:r>
        <w:rPr>
          <w:rFonts w:hint="eastAsia"/>
          <w:color w:val="auto"/>
        </w:rPr>
        <w:t>要求降低美国药价</w:t>
      </w:r>
      <w:bookmarkEnd w:id="1"/>
    </w:p>
    <w:p w14:paraId="1AAB0577">
      <w:pPr>
        <w:pStyle w:val="48"/>
        <w:ind w:firstLine="592"/>
      </w:pPr>
      <w:r>
        <w:rPr>
          <w:rFonts w:hint="eastAsia"/>
        </w:rPr>
        <w:t>2025年7月31日，</w:t>
      </w:r>
      <w:r>
        <w:rPr>
          <w:color w:val="auto"/>
        </w:rPr>
        <w:t>特朗普致</w:t>
      </w:r>
      <w:r>
        <w:rPr>
          <w:rFonts w:hint="eastAsia"/>
          <w:color w:val="auto"/>
        </w:rPr>
        <w:t>信17家制药巨头</w:t>
      </w:r>
      <w:r>
        <w:rPr>
          <w:rFonts w:hint="eastAsia"/>
          <w:vertAlign w:val="superscript"/>
        </w:rPr>
        <w:footnoteReference w:id="0"/>
      </w:r>
      <w:r>
        <w:rPr>
          <w:rFonts w:hint="eastAsia"/>
        </w:rPr>
        <w:t>，</w:t>
      </w:r>
      <w:r>
        <w:t>要求</w:t>
      </w:r>
      <w:r>
        <w:rPr>
          <w:rFonts w:hint="eastAsia"/>
        </w:rPr>
        <w:t>其在9月29日前承诺</w:t>
      </w:r>
      <w:r>
        <w:t>采取措施降低美国药价</w:t>
      </w:r>
      <w:r>
        <w:rPr>
          <w:rFonts w:hint="eastAsia"/>
        </w:rPr>
        <w:t>。</w:t>
      </w:r>
      <w:r>
        <w:rPr>
          <w:rFonts w:hint="eastAsia"/>
          <w:color w:val="auto"/>
        </w:rPr>
        <w:t>17家制药巨头</w:t>
      </w:r>
      <w:r>
        <w:rPr>
          <w:rFonts w:hint="eastAsia"/>
        </w:rPr>
        <w:t>包括</w:t>
      </w:r>
      <w:r>
        <w:t>艾伯维、安进、阿斯利康、勃林格殷格翰、百时美施贵宝、礼来、雪兰诺、基因泰克、吉利德、葛兰素史克、强生、默克、诺华、诺和诺德、辉瑞、再生元以及赛诺菲。</w:t>
      </w:r>
      <w:r>
        <w:rPr>
          <w:rFonts w:hint="eastAsia"/>
        </w:rPr>
        <w:t>特朗普在信中表示，若公司拒绝配合，美国</w:t>
      </w:r>
      <w:r>
        <w:t>政府</w:t>
      </w:r>
      <w:r>
        <w:rPr>
          <w:rFonts w:hint="eastAsia"/>
        </w:rPr>
        <w:t>将动用一切手段保护美国家庭免受药品定价滥用</w:t>
      </w:r>
      <w:r>
        <w:t>的</w:t>
      </w:r>
      <w:r>
        <w:rPr>
          <w:rFonts w:hint="eastAsia"/>
        </w:rPr>
        <w:t>影响</w:t>
      </w:r>
      <w:r>
        <w:t>。</w:t>
      </w:r>
    </w:p>
    <w:p w14:paraId="06D7C119">
      <w:pPr>
        <w:pStyle w:val="46"/>
        <w:outlineLvl w:val="1"/>
        <w:rPr>
          <w:color w:val="auto"/>
        </w:rPr>
      </w:pPr>
      <w:bookmarkStart w:id="2" w:name="_Toc205192226"/>
      <w:r>
        <w:rPr>
          <w:rFonts w:hint="eastAsia"/>
          <w:color w:val="auto"/>
        </w:rPr>
        <w:t>美国FDA公布“国家优先审批券”试点计划优先事项</w:t>
      </w:r>
      <w:bookmarkEnd w:id="2"/>
      <w:bookmarkStart w:id="22" w:name="_GoBack"/>
      <w:bookmarkEnd w:id="22"/>
    </w:p>
    <w:p w14:paraId="45C85C65">
      <w:pPr>
        <w:pStyle w:val="48"/>
        <w:ind w:firstLine="592"/>
      </w:pPr>
      <w:r>
        <w:rPr>
          <w:rFonts w:hint="eastAsia"/>
        </w:rPr>
        <w:t>2025年7月22日，美国食品药品监督管理局（FDA）继6月推出“国家优先审批券”计划后，公布了该计划的优先事项和选择标准</w:t>
      </w:r>
      <w:r>
        <w:rPr>
          <w:rFonts w:hint="eastAsia"/>
          <w:vertAlign w:val="superscript"/>
        </w:rPr>
        <w:footnoteReference w:id="1"/>
      </w:r>
      <w:r>
        <w:rPr>
          <w:rFonts w:hint="eastAsia"/>
        </w:rPr>
        <w:t>。</w:t>
      </w:r>
    </w:p>
    <w:p w14:paraId="3EF08DD0">
      <w:pPr>
        <w:pStyle w:val="48"/>
        <w:ind w:firstLine="592"/>
      </w:pPr>
      <w:r>
        <w:rPr>
          <w:rFonts w:hint="eastAsia"/>
        </w:rPr>
        <w:t>优先事项具体包括：解决美国公共卫生危机，例如开发通用流感疫苗；为美国人提供具有变革性影响的创新疗法；解决大量未满足的医疗需求，包括治疗或预防罕见疾病或解决美国慢性病危机的药物；在国内进行药物开发和制造，例如</w:t>
      </w:r>
      <w:r>
        <w:t>公司新制造机构将基本药物的生产从外国工厂转移到美国</w:t>
      </w:r>
      <w:r>
        <w:rPr>
          <w:rFonts w:hint="eastAsia"/>
        </w:rPr>
        <w:t>；提高可负担性，包括降低药物价格使其符合最惠国定价，或减少下游医疗利用以降低医疗总成本。申请</w:t>
      </w:r>
      <w:r>
        <w:t>该计划的公司</w:t>
      </w:r>
      <w:r>
        <w:rPr>
          <w:rFonts w:hint="eastAsia"/>
        </w:rPr>
        <w:t>需符合优先事项中的一项或多项。</w:t>
      </w:r>
    </w:p>
    <w:p w14:paraId="1A07E827">
      <w:pPr>
        <w:pStyle w:val="46"/>
        <w:outlineLvl w:val="1"/>
        <w:rPr>
          <w:color w:val="auto"/>
        </w:rPr>
      </w:pPr>
      <w:bookmarkStart w:id="3" w:name="_Toc205192227"/>
      <w:r>
        <w:rPr>
          <w:rFonts w:hint="eastAsia"/>
          <w:color w:val="auto"/>
        </w:rPr>
        <w:t>美国医疗保险和医疗补助服务中心启动州协议，扩大细胞和基因治疗的可及性</w:t>
      </w:r>
      <w:bookmarkEnd w:id="3"/>
    </w:p>
    <w:p w14:paraId="3C61D345">
      <w:pPr>
        <w:pStyle w:val="48"/>
        <w:ind w:firstLine="592"/>
      </w:pPr>
      <w:r>
        <w:rPr>
          <w:rFonts w:hint="eastAsia"/>
        </w:rPr>
        <w:t>2025年7月15日，美国医疗保险和医疗补助服务中心（CMS）宣布33个州以及哥伦比亚特区、波多黎各将参与细胞和基因治疗（CGT）可及模式，为</w:t>
      </w:r>
      <w:r>
        <w:t>接受医疗补助的镰状细胞病患者提供尖端</w:t>
      </w:r>
      <w:r>
        <w:rPr>
          <w:rFonts w:hint="eastAsia"/>
        </w:rPr>
        <w:t>疗法</w:t>
      </w:r>
      <w:r>
        <w:rPr>
          <w:rStyle w:val="24"/>
        </w:rPr>
        <w:footnoteReference w:id="2"/>
      </w:r>
      <w:r>
        <w:rPr>
          <w:rFonts w:hint="eastAsia"/>
        </w:rPr>
        <w:t>。</w:t>
      </w:r>
      <w:r>
        <w:t>该模式是联邦政府首次代表州医疗补助机构与CGT制造商谈判</w:t>
      </w:r>
      <w:r>
        <w:rPr>
          <w:rFonts w:hint="eastAsia"/>
        </w:rPr>
        <w:t>的结果</w:t>
      </w:r>
      <w:r>
        <w:t>，如果疗法未能</w:t>
      </w:r>
      <w:r>
        <w:rPr>
          <w:rFonts w:hint="eastAsia"/>
        </w:rPr>
        <w:t>达到制造商承诺的治疗效果</w:t>
      </w:r>
      <w:r>
        <w:t>，</w:t>
      </w:r>
      <w:r>
        <w:rPr>
          <w:rFonts w:hint="eastAsia"/>
        </w:rPr>
        <w:t>各</w:t>
      </w:r>
      <w:r>
        <w:t>州将从制造商获得折扣和回扣</w:t>
      </w:r>
      <w:r>
        <w:rPr>
          <w:rFonts w:hint="eastAsia"/>
        </w:rPr>
        <w:t>。这</w:t>
      </w:r>
      <w:r>
        <w:t>一举措改变了游戏规则</w:t>
      </w:r>
      <w:r>
        <w:rPr>
          <w:rFonts w:hint="eastAsia"/>
        </w:rPr>
        <w:t>，将</w:t>
      </w:r>
      <w:r>
        <w:t>加速</w:t>
      </w:r>
      <w:r>
        <w:rPr>
          <w:rFonts w:hint="eastAsia"/>
        </w:rPr>
        <w:t>美国患者</w:t>
      </w:r>
      <w:r>
        <w:t>获得创新疗法</w:t>
      </w:r>
      <w:r>
        <w:rPr>
          <w:rFonts w:hint="eastAsia"/>
        </w:rPr>
        <w:t>，</w:t>
      </w:r>
      <w:r>
        <w:t>同时让制造商对结果负责并保护纳税人</w:t>
      </w:r>
      <w:r>
        <w:rPr>
          <w:rFonts w:hint="eastAsia"/>
        </w:rPr>
        <w:t>资金</w:t>
      </w:r>
      <w:r>
        <w:t>。</w:t>
      </w:r>
    </w:p>
    <w:p w14:paraId="32BB708F">
      <w:pPr>
        <w:pStyle w:val="46"/>
        <w:outlineLvl w:val="1"/>
        <w:rPr>
          <w:color w:val="auto"/>
        </w:rPr>
      </w:pPr>
      <w:bookmarkStart w:id="4" w:name="_Toc205192228"/>
      <w:r>
        <w:rPr>
          <w:color w:val="auto"/>
        </w:rPr>
        <w:t>欧盟委员会</w:t>
      </w:r>
      <w:r>
        <w:rPr>
          <w:rFonts w:hint="eastAsia"/>
          <w:color w:val="auto"/>
        </w:rPr>
        <w:t>启动欧洲</w:t>
      </w:r>
      <w:r>
        <w:rPr>
          <w:color w:val="auto"/>
        </w:rPr>
        <w:t>生命科学</w:t>
      </w:r>
      <w:r>
        <w:rPr>
          <w:rFonts w:hint="eastAsia"/>
          <w:color w:val="auto"/>
        </w:rPr>
        <w:t>战略</w:t>
      </w:r>
      <w:bookmarkEnd w:id="4"/>
    </w:p>
    <w:p w14:paraId="1E02D3D5">
      <w:pPr>
        <w:pStyle w:val="48"/>
        <w:ind w:firstLine="592"/>
      </w:pPr>
      <w:r>
        <w:rPr>
          <w:rFonts w:hint="eastAsia"/>
        </w:rPr>
        <w:t>2025年7月2日，</w:t>
      </w:r>
      <w:r>
        <w:t>欧盟委员会</w:t>
      </w:r>
      <w:r>
        <w:rPr>
          <w:rFonts w:hint="eastAsia"/>
        </w:rPr>
        <w:t>启动《选择欧洲发展生命科学：到</w:t>
      </w:r>
      <w:r>
        <w:t>2030</w:t>
      </w:r>
      <w:r>
        <w:rPr>
          <w:rFonts w:hint="eastAsia"/>
        </w:rPr>
        <w:t>年将欧盟定位为全球最具吸引力的生命科学中心战略》</w:t>
      </w:r>
      <w:r>
        <w:rPr>
          <w:vertAlign w:val="superscript"/>
        </w:rPr>
        <w:footnoteReference w:id="3"/>
      </w:r>
      <w:r>
        <w:rPr>
          <w:rFonts w:hint="eastAsia"/>
        </w:rPr>
        <w:t>。该战略提出一系列</w:t>
      </w:r>
      <w:r>
        <w:t>关键行动</w:t>
      </w:r>
      <w:r>
        <w:rPr>
          <w:rFonts w:hint="eastAsia"/>
        </w:rPr>
        <w:t>，包括临床研究投资计划、</w:t>
      </w:r>
      <w:r>
        <w:t>创建</w:t>
      </w:r>
      <w:r>
        <w:rPr>
          <w:rFonts w:hint="eastAsia" w:ascii="仿宋" w:hAnsi="仿宋" w:cs="仿宋"/>
        </w:rPr>
        <w:t>欧洲先进治疗</w:t>
      </w:r>
      <w:r>
        <w:rPr>
          <w:rFonts w:hint="eastAsia"/>
        </w:rPr>
        <w:t>药物卓越中心网络，监督与评估临床试验法规，资助</w:t>
      </w:r>
      <w:r>
        <w:t>3亿欧元</w:t>
      </w:r>
      <w:r>
        <w:rPr>
          <w:rFonts w:hint="eastAsia"/>
        </w:rPr>
        <w:t>促进</w:t>
      </w:r>
      <w:r>
        <w:t>下一代疫苗</w:t>
      </w:r>
      <w:r>
        <w:rPr>
          <w:rFonts w:hint="eastAsia"/>
        </w:rPr>
        <w:t>和</w:t>
      </w:r>
      <w:r>
        <w:t>癌症等领域</w:t>
      </w:r>
      <w:r>
        <w:rPr>
          <w:rFonts w:hint="eastAsia"/>
        </w:rPr>
        <w:t>的</w:t>
      </w:r>
      <w:r>
        <w:t>创新</w:t>
      </w:r>
      <w:r>
        <w:rPr>
          <w:rFonts w:hint="eastAsia"/>
        </w:rPr>
        <w:t>。</w:t>
      </w:r>
    </w:p>
    <w:p w14:paraId="349806F6">
      <w:pPr>
        <w:pStyle w:val="46"/>
        <w:outlineLvl w:val="1"/>
        <w:rPr>
          <w:color w:val="auto"/>
        </w:rPr>
      </w:pPr>
      <w:bookmarkStart w:id="5" w:name="_Toc205192229"/>
      <w:r>
        <w:rPr>
          <w:color w:val="auto"/>
        </w:rPr>
        <w:t>欧盟委员会启动</w:t>
      </w:r>
      <w:r>
        <w:rPr>
          <w:rFonts w:hint="eastAsia"/>
          <w:color w:val="auto"/>
        </w:rPr>
        <w:t>新</w:t>
      </w:r>
      <w:r>
        <w:rPr>
          <w:color w:val="auto"/>
        </w:rPr>
        <w:t>医疗对策战略</w:t>
      </w:r>
      <w:bookmarkEnd w:id="5"/>
    </w:p>
    <w:p w14:paraId="5BC1A87C">
      <w:pPr>
        <w:pStyle w:val="48"/>
        <w:ind w:firstLine="592"/>
      </w:pPr>
      <w:r>
        <w:rPr>
          <w:rFonts w:hint="eastAsia"/>
        </w:rPr>
        <w:t>2025年7月9日，</w:t>
      </w:r>
      <w:r>
        <w:rPr>
          <w:color w:val="auto"/>
        </w:rPr>
        <w:t>欧盟委员会启动</w:t>
      </w:r>
      <w:r>
        <w:rPr>
          <w:rFonts w:hint="eastAsia"/>
          <w:color w:val="auto"/>
        </w:rPr>
        <w:t>《为欧盟应对下一次卫生危机做好准备：</w:t>
      </w:r>
      <w:r>
        <w:rPr>
          <w:color w:val="auto"/>
        </w:rPr>
        <w:t>医疗对策战略</w:t>
      </w:r>
      <w:r>
        <w:rPr>
          <w:rFonts w:hint="eastAsia"/>
          <w:color w:val="auto"/>
        </w:rPr>
        <w:t>》</w:t>
      </w:r>
      <w:r>
        <w:rPr>
          <w:rStyle w:val="24"/>
        </w:rPr>
        <w:footnoteReference w:id="4"/>
      </w:r>
      <w:r>
        <w:rPr>
          <w:rFonts w:hint="eastAsia"/>
        </w:rPr>
        <w:t>，以</w:t>
      </w:r>
      <w:r>
        <w:t>快速有效</w:t>
      </w:r>
      <w:r>
        <w:rPr>
          <w:rFonts w:hint="eastAsia"/>
        </w:rPr>
        <w:t>地应</w:t>
      </w:r>
      <w:r>
        <w:t>对未来突发卫生事件</w:t>
      </w:r>
      <w:r>
        <w:rPr>
          <w:rFonts w:hint="eastAsia"/>
        </w:rPr>
        <w:t>。</w:t>
      </w:r>
      <w:r>
        <w:rPr>
          <w:color w:val="auto"/>
        </w:rPr>
        <w:t>欧盟</w:t>
      </w:r>
      <w:r>
        <w:rPr>
          <w:rFonts w:hint="eastAsia"/>
          <w:color w:val="auto"/>
        </w:rPr>
        <w:t>将</w:t>
      </w:r>
      <w:r>
        <w:t>优先发展</w:t>
      </w:r>
      <w:r>
        <w:rPr>
          <w:rFonts w:hint="eastAsia"/>
        </w:rPr>
        <w:t>：</w:t>
      </w:r>
      <w:r>
        <w:t>下一代流感疫苗</w:t>
      </w:r>
      <w:r>
        <w:rPr>
          <w:rFonts w:hint="eastAsia"/>
        </w:rPr>
        <w:t>，</w:t>
      </w:r>
      <w:r>
        <w:t>新型抗生素</w:t>
      </w:r>
      <w:r>
        <w:rPr>
          <w:rFonts w:hint="eastAsia"/>
        </w:rPr>
        <w:t>以应对抗微生物药物耐药性，</w:t>
      </w:r>
      <w:r>
        <w:t>针对虫媒疾病的抗病毒药物</w:t>
      </w:r>
      <w:r>
        <w:rPr>
          <w:rFonts w:hint="eastAsia"/>
        </w:rPr>
        <w:t>，</w:t>
      </w:r>
      <w:r>
        <w:t>针对化学、生物、放射性和核威胁的两用对策</w:t>
      </w:r>
      <w:r>
        <w:rPr>
          <w:rFonts w:hint="eastAsia"/>
        </w:rPr>
        <w:t>。</w:t>
      </w:r>
    </w:p>
    <w:p w14:paraId="61969098">
      <w:pPr>
        <w:pStyle w:val="46"/>
        <w:outlineLvl w:val="1"/>
        <w:rPr>
          <w:color w:val="auto"/>
        </w:rPr>
      </w:pPr>
      <w:bookmarkStart w:id="6" w:name="_Toc205192230"/>
      <w:r>
        <w:rPr>
          <w:rFonts w:hint="eastAsia"/>
          <w:color w:val="auto"/>
        </w:rPr>
        <w:t>德国研究、技术和航天部发布《</w:t>
      </w:r>
      <w:r>
        <w:rPr>
          <w:color w:val="auto"/>
        </w:rPr>
        <w:t>德国高科技议程</w:t>
      </w:r>
      <w:r>
        <w:rPr>
          <w:rFonts w:hint="eastAsia"/>
          <w:color w:val="auto"/>
        </w:rPr>
        <w:t>》</w:t>
      </w:r>
      <w:bookmarkEnd w:id="6"/>
    </w:p>
    <w:p w14:paraId="7BC357B5">
      <w:pPr>
        <w:pStyle w:val="48"/>
        <w:ind w:firstLine="592"/>
      </w:pPr>
      <w:r>
        <w:rPr>
          <w:rFonts w:hint="eastAsia"/>
        </w:rPr>
        <w:t>2025年7月30日，德国研究、技术和航天部发布《德国高科技议程》</w:t>
      </w:r>
      <w:r>
        <w:rPr>
          <w:rStyle w:val="24"/>
        </w:rPr>
        <w:footnoteReference w:id="5"/>
      </w:r>
      <w:r>
        <w:rPr>
          <w:rFonts w:hint="eastAsia"/>
        </w:rPr>
        <w:t>，生物技术被列为重点关注的</w:t>
      </w:r>
      <w:r>
        <w:t>六项</w:t>
      </w:r>
      <w:r>
        <w:rPr>
          <w:color w:val="auto"/>
        </w:rPr>
        <w:t>关键技术</w:t>
      </w:r>
      <w:r>
        <w:rPr>
          <w:rFonts w:hint="eastAsia"/>
          <w:color w:val="auto"/>
        </w:rPr>
        <w:t>之一。生物技术目标1为</w:t>
      </w:r>
      <w:r>
        <w:rPr>
          <w:rFonts w:hint="eastAsia"/>
        </w:rPr>
        <w:t>支持生物技术在医学中的发展，</w:t>
      </w:r>
      <w:r>
        <w:rPr>
          <w:rFonts w:hint="eastAsia"/>
          <w:color w:val="auto"/>
        </w:rPr>
        <w:t>涉及创新药相关内容，具体包括：</w:t>
      </w:r>
      <w:r>
        <w:rPr>
          <w:rFonts w:hint="eastAsia"/>
        </w:rPr>
        <w:t>在柏林建立基因和细胞治疗转化中心，开发新疗法，未来让不治之症变得可治；从2026年第二季度开始更多地资助跨学科项目，使用AI将创新药研发速度提高50%；扩大德国基因组测序能力，推进个性化诊断和治疗方法创新。</w:t>
      </w:r>
    </w:p>
    <w:p w14:paraId="1922D2E3">
      <w:pPr>
        <w:pStyle w:val="46"/>
        <w:outlineLvl w:val="1"/>
        <w:rPr>
          <w:color w:val="auto"/>
        </w:rPr>
      </w:pPr>
      <w:bookmarkStart w:id="7" w:name="_Toc205192231"/>
      <w:r>
        <w:rPr>
          <w:color w:val="auto"/>
        </w:rPr>
        <w:t>美国将</w:t>
      </w:r>
      <w:r>
        <w:rPr>
          <w:rFonts w:hint="eastAsia"/>
          <w:color w:val="auto"/>
        </w:rPr>
        <w:t>在国际空间站开展再生医学研究</w:t>
      </w:r>
      <w:bookmarkEnd w:id="7"/>
    </w:p>
    <w:p w14:paraId="1DBAF7F7">
      <w:pPr>
        <w:pStyle w:val="48"/>
        <w:ind w:firstLine="592"/>
      </w:pPr>
      <w:r>
        <w:rPr>
          <w:rFonts w:hint="eastAsia"/>
        </w:rPr>
        <w:t>2025年7月30日，</w:t>
      </w:r>
      <w:r>
        <w:t>国际空间站</w:t>
      </w:r>
      <w:r>
        <w:rPr>
          <w:rFonts w:hint="eastAsia"/>
        </w:rPr>
        <w:t>发文称美国NASA的SpaceX Crew-11任务将在</w:t>
      </w:r>
      <w:r>
        <w:t>国际空间站</w:t>
      </w:r>
      <w:r>
        <w:rPr>
          <w:rFonts w:hint="eastAsia"/>
        </w:rPr>
        <w:t>开展再生医学研究</w:t>
      </w:r>
      <w:r>
        <w:rPr>
          <w:rStyle w:val="24"/>
        </w:rPr>
        <w:footnoteReference w:id="6"/>
      </w:r>
      <w:r>
        <w:rPr>
          <w:rFonts w:hint="eastAsia"/>
        </w:rPr>
        <w:t>。具体包括：在太空中生产干细胞，用于治疗心脏病、神经退行性疾病等；研究微重力环境中含有血管的工程化肝组织，在太空中生产人体组织用于器官移植；使用噬菌体对抗太空中的微生物感染。</w:t>
      </w:r>
    </w:p>
    <w:p w14:paraId="0D9C4D7A">
      <w:pPr>
        <w:pStyle w:val="46"/>
        <w:outlineLvl w:val="1"/>
        <w:rPr>
          <w:color w:val="auto"/>
        </w:rPr>
      </w:pPr>
      <w:bookmarkStart w:id="8" w:name="_Toc205192232"/>
      <w:r>
        <w:rPr>
          <w:rFonts w:hint="eastAsia"/>
          <w:color w:val="auto"/>
        </w:rPr>
        <w:t>OpenAI投资的Chai Discovery公司推出Chai-2，实现零样本抗体设计</w:t>
      </w:r>
      <w:bookmarkEnd w:id="8"/>
    </w:p>
    <w:p w14:paraId="4055074E">
      <w:pPr>
        <w:pStyle w:val="48"/>
        <w:ind w:firstLine="592"/>
      </w:pPr>
      <w:r>
        <w:rPr>
          <w:rFonts w:hint="eastAsia"/>
        </w:rPr>
        <w:t>2025年6月30日，OpenAI公司投资的Chai Discovery公司推出抗体设计模型Chai-2</w:t>
      </w:r>
      <w:r>
        <w:rPr>
          <w:rStyle w:val="24"/>
        </w:rPr>
        <w:footnoteReference w:id="7"/>
      </w:r>
      <w:r>
        <w:rPr>
          <w:rFonts w:hint="eastAsia"/>
        </w:rPr>
        <w:t>，是首</w:t>
      </w:r>
      <w:r>
        <w:t>个完全零样本生成平台</w:t>
      </w:r>
      <w:r>
        <w:rPr>
          <w:rFonts w:hint="eastAsia"/>
        </w:rPr>
        <w:t>，</w:t>
      </w:r>
      <w:r>
        <w:t>比</w:t>
      </w:r>
      <w:r>
        <w:rPr>
          <w:rFonts w:hint="eastAsia"/>
        </w:rPr>
        <w:t>现有</w:t>
      </w:r>
      <w:r>
        <w:t>计算方法提高了100倍</w:t>
      </w:r>
      <w:r>
        <w:rPr>
          <w:rFonts w:hint="eastAsia"/>
        </w:rPr>
        <w:t>，</w:t>
      </w:r>
      <w:r>
        <w:t>能够绕过分子发现中</w:t>
      </w:r>
      <w:r>
        <w:rPr>
          <w:rFonts w:hint="eastAsia"/>
        </w:rPr>
        <w:t>的</w:t>
      </w:r>
      <w:r>
        <w:t>传统高通量筛选需求，并将发现时间从数月或数年压缩</w:t>
      </w:r>
      <w:r>
        <w:rPr>
          <w:rFonts w:hint="eastAsia"/>
        </w:rPr>
        <w:t>到</w:t>
      </w:r>
      <w:r>
        <w:t>两周。</w:t>
      </w:r>
      <w:r>
        <w:rPr>
          <w:rFonts w:hint="eastAsia"/>
        </w:rPr>
        <w:t>这</w:t>
      </w:r>
      <w:r>
        <w:t>是分子设计领域的重大突破</w:t>
      </w:r>
      <w:r>
        <w:rPr>
          <w:rFonts w:hint="eastAsia"/>
        </w:rPr>
        <w:t>，向</w:t>
      </w:r>
      <w:r>
        <w:t>计算生成候选药物</w:t>
      </w:r>
      <w:r>
        <w:rPr>
          <w:rFonts w:hint="eastAsia"/>
        </w:rPr>
        <w:t>迈出了重要的一步。</w:t>
      </w:r>
    </w:p>
    <w:p w14:paraId="74697507">
      <w:pPr>
        <w:pStyle w:val="46"/>
        <w:outlineLvl w:val="1"/>
        <w:rPr>
          <w:color w:val="auto"/>
        </w:rPr>
      </w:pPr>
      <w:bookmarkStart w:id="9" w:name="_Toc205192233"/>
      <w:r>
        <w:rPr>
          <w:rFonts w:hint="eastAsia"/>
          <w:color w:val="auto"/>
        </w:rPr>
        <w:t>美国斯坦福大学开发出AI智能体虚拟实验室，可高效设计抗病毒纳米抗体</w:t>
      </w:r>
      <w:bookmarkEnd w:id="9"/>
    </w:p>
    <w:p w14:paraId="0CBB86A1">
      <w:pPr>
        <w:pStyle w:val="48"/>
        <w:ind w:firstLine="592"/>
      </w:pPr>
      <w:r>
        <w:rPr>
          <w:rFonts w:hint="eastAsia"/>
        </w:rPr>
        <w:t>2025年7月29日，美国</w:t>
      </w:r>
      <w:r>
        <w:rPr>
          <w:rFonts w:hint="eastAsia"/>
          <w:color w:val="auto"/>
        </w:rPr>
        <w:t>斯坦福</w:t>
      </w:r>
      <w:r>
        <w:rPr>
          <w:rFonts w:hint="eastAsia"/>
        </w:rPr>
        <w:t>大学开发出AI</w:t>
      </w:r>
      <w:r>
        <w:rPr>
          <w:rFonts w:hint="eastAsia"/>
          <w:color w:val="auto"/>
        </w:rPr>
        <w:t>智能体</w:t>
      </w:r>
      <w:r>
        <w:rPr>
          <w:rFonts w:hint="eastAsia"/>
        </w:rPr>
        <w:t>虚拟实验室</w:t>
      </w:r>
      <w:r>
        <w:rPr>
          <w:rStyle w:val="24"/>
        </w:rPr>
        <w:footnoteReference w:id="8"/>
      </w:r>
      <w:r>
        <w:rPr>
          <w:rFonts w:hint="eastAsia"/>
        </w:rPr>
        <w:t>，实现快速</w:t>
      </w:r>
      <w:r>
        <w:t>设计新型冠状病毒纳米抗体</w:t>
      </w:r>
      <w:r>
        <w:rPr>
          <w:rFonts w:hint="eastAsia"/>
        </w:rPr>
        <w:t>。</w:t>
      </w:r>
    </w:p>
    <w:p w14:paraId="11289659">
      <w:pPr>
        <w:pStyle w:val="48"/>
        <w:ind w:firstLine="592"/>
      </w:pPr>
      <w:r>
        <w:rPr>
          <w:rFonts w:hint="eastAsia"/>
        </w:rPr>
        <w:t>AI</w:t>
      </w:r>
      <w:r>
        <w:rPr>
          <w:rFonts w:hint="eastAsia"/>
          <w:color w:val="auto"/>
        </w:rPr>
        <w:t>智能体</w:t>
      </w:r>
      <w:r>
        <w:rPr>
          <w:rFonts w:hint="eastAsia"/>
        </w:rPr>
        <w:t>虚拟实验室</w:t>
      </w:r>
      <w:r>
        <w:t>的运作模式</w:t>
      </w:r>
      <w:r>
        <w:rPr>
          <w:rFonts w:hint="eastAsia"/>
        </w:rPr>
        <w:t>是</w:t>
      </w:r>
      <w:r>
        <w:t>人类科学家提出研究问题，</w:t>
      </w:r>
      <w:r>
        <w:rPr>
          <w:rFonts w:hint="eastAsia"/>
        </w:rPr>
        <w:t>大模型</w:t>
      </w:r>
      <w:r>
        <w:t>首席研究员</w:t>
      </w:r>
      <w:r>
        <w:rPr>
          <w:rFonts w:hint="eastAsia"/>
          <w:color w:val="auto"/>
        </w:rPr>
        <w:t>智能体</w:t>
      </w:r>
      <w:r>
        <w:t>主导项目</w:t>
      </w:r>
      <w:r>
        <w:rPr>
          <w:rFonts w:hint="eastAsia"/>
        </w:rPr>
        <w:t>，并</w:t>
      </w:r>
      <w:r>
        <w:t>生成免疫学、机器学习和计算生物学</w:t>
      </w:r>
      <w:r>
        <w:rPr>
          <w:rFonts w:hint="eastAsia"/>
        </w:rPr>
        <w:t>的</w:t>
      </w:r>
      <w:r>
        <w:t>领域</w:t>
      </w:r>
      <w:r>
        <w:rPr>
          <w:rFonts w:hint="eastAsia"/>
        </w:rPr>
        <w:t>科学家智能体，同时</w:t>
      </w:r>
      <w:r>
        <w:t>配备评论</w:t>
      </w:r>
      <w:r>
        <w:rPr>
          <w:rFonts w:hint="eastAsia"/>
          <w:color w:val="auto"/>
        </w:rPr>
        <w:t>智能体</w:t>
      </w:r>
      <w:r>
        <w:t>负责批判性评估和提醒潜在风险</w:t>
      </w:r>
      <w:r>
        <w:rPr>
          <w:rFonts w:hint="eastAsia"/>
        </w:rPr>
        <w:t>。AI</w:t>
      </w:r>
      <w:r>
        <w:rPr>
          <w:rFonts w:hint="eastAsia"/>
          <w:color w:val="auto"/>
        </w:rPr>
        <w:t>智能体</w:t>
      </w:r>
      <w:r>
        <w:t>虚拟实验室的运行效率远超传统模式</w:t>
      </w:r>
      <w:r>
        <w:rPr>
          <w:rFonts w:hint="eastAsia"/>
        </w:rPr>
        <w:t>，</w:t>
      </w:r>
      <w:r>
        <w:t>其会议和讨论在秒级内完成，且多线程并行进行，无需休息或资源消耗。人类</w:t>
      </w:r>
      <w:r>
        <w:rPr>
          <w:rFonts w:hint="eastAsia"/>
        </w:rPr>
        <w:t>科学家</w:t>
      </w:r>
      <w:r>
        <w:t>仅在预算限制和项目方向上进行宏观指导，干预率低于1%</w:t>
      </w:r>
      <w:r>
        <w:rPr>
          <w:rFonts w:hint="eastAsia"/>
        </w:rPr>
        <w:t>。</w:t>
      </w:r>
    </w:p>
    <w:p w14:paraId="5D1C8F39">
      <w:pPr>
        <w:pStyle w:val="48"/>
        <w:ind w:firstLine="592"/>
      </w:pPr>
      <w:r>
        <w:rPr>
          <w:rFonts w:hint="eastAsia"/>
        </w:rPr>
        <w:t>AI</w:t>
      </w:r>
      <w:r>
        <w:rPr>
          <w:rFonts w:hint="eastAsia"/>
          <w:color w:val="auto"/>
        </w:rPr>
        <w:t>智能体</w:t>
      </w:r>
      <w:r>
        <w:t>虚拟实验室</w:t>
      </w:r>
      <w:r>
        <w:rPr>
          <w:rFonts w:hint="eastAsia"/>
        </w:rPr>
        <w:t>配有</w:t>
      </w:r>
      <w:r>
        <w:t>计算纳米抗体设计管道，其中</w:t>
      </w:r>
      <w:r>
        <w:rPr>
          <w:rFonts w:hint="eastAsia"/>
        </w:rPr>
        <w:t>整合了</w:t>
      </w:r>
      <w:r>
        <w:t>AlphaFold-Multimer</w:t>
      </w:r>
      <w:r>
        <w:rPr>
          <w:rFonts w:hint="eastAsia"/>
        </w:rPr>
        <w:t>、</w:t>
      </w:r>
      <w:r>
        <w:t>ESM和Rosetta</w:t>
      </w:r>
      <w:r>
        <w:rPr>
          <w:rFonts w:hint="eastAsia"/>
        </w:rPr>
        <w:t>等建模工具，</w:t>
      </w:r>
      <w:r>
        <w:t>设计</w:t>
      </w:r>
      <w:r>
        <w:rPr>
          <w:rFonts w:hint="eastAsia"/>
        </w:rPr>
        <w:t>出</w:t>
      </w:r>
      <w:r>
        <w:t>92种新的纳米抗体。</w:t>
      </w:r>
      <w:r>
        <w:rPr>
          <w:rFonts w:hint="eastAsia"/>
        </w:rPr>
        <w:t>其中，两种抗体</w:t>
      </w:r>
      <w:r>
        <w:t>既可针对原始株，</w:t>
      </w:r>
      <w:r>
        <w:rPr>
          <w:rFonts w:hint="eastAsia"/>
        </w:rPr>
        <w:t>也</w:t>
      </w:r>
      <w:r>
        <w:t>能有效结合新变种。</w:t>
      </w:r>
      <w:r>
        <w:rPr>
          <w:rFonts w:hint="eastAsia"/>
        </w:rPr>
        <w:t>这一研究</w:t>
      </w:r>
      <w:r>
        <w:t>展示了</w:t>
      </w:r>
      <w:r>
        <w:rPr>
          <w:rFonts w:hint="eastAsia"/>
        </w:rPr>
        <w:t>AI</w:t>
      </w:r>
      <w:r>
        <w:rPr>
          <w:rFonts w:hint="eastAsia"/>
          <w:color w:val="auto"/>
        </w:rPr>
        <w:t>智能体</w:t>
      </w:r>
      <w:r>
        <w:t>虚拟实验室</w:t>
      </w:r>
      <w:r>
        <w:rPr>
          <w:rFonts w:hint="eastAsia"/>
        </w:rPr>
        <w:t>可</w:t>
      </w:r>
      <w:r>
        <w:t>快速</w:t>
      </w:r>
      <w:r>
        <w:rPr>
          <w:rFonts w:hint="eastAsia"/>
        </w:rPr>
        <w:t>完成</w:t>
      </w:r>
      <w:r>
        <w:t>科学发现</w:t>
      </w:r>
      <w:r>
        <w:rPr>
          <w:rFonts w:hint="eastAsia"/>
        </w:rPr>
        <w:t>，科研范式</w:t>
      </w:r>
      <w:r>
        <w:t>将迎来新一轮革命。</w:t>
      </w:r>
    </w:p>
    <w:p w14:paraId="7233229E">
      <w:pPr>
        <w:pStyle w:val="46"/>
        <w:outlineLvl w:val="1"/>
        <w:rPr>
          <w:rFonts w:eastAsia="仿宋"/>
          <w:color w:val="auto"/>
          <w:sz w:val="28"/>
          <w:szCs w:val="28"/>
        </w:rPr>
      </w:pPr>
      <w:bookmarkStart w:id="10" w:name="_Toc205192234"/>
      <w:r>
        <w:rPr>
          <w:rFonts w:hint="eastAsia"/>
          <w:color w:val="auto"/>
        </w:rPr>
        <w:t>Isomorphic Labs公司将开展AlphaFold设计药物的首次人体试验</w:t>
      </w:r>
      <w:bookmarkEnd w:id="10"/>
    </w:p>
    <w:p w14:paraId="2EC3ED61">
      <w:pPr>
        <w:pStyle w:val="48"/>
        <w:ind w:firstLine="592"/>
      </w:pPr>
      <w:r>
        <w:rPr>
          <w:rFonts w:hint="eastAsia"/>
        </w:rPr>
        <w:t>2025年7月6日，据《财富》杂志报道</w:t>
      </w:r>
      <w:r>
        <w:rPr>
          <w:vertAlign w:val="superscript"/>
        </w:rPr>
        <w:footnoteReference w:id="9"/>
      </w:r>
      <w:r>
        <w:rPr>
          <w:rFonts w:hint="eastAsia"/>
        </w:rPr>
        <w:t>，2021年从谷歌DeepMind拆分出来的Isomorphic Labs公司，正在准备启动</w:t>
      </w:r>
      <w:r>
        <w:t>AlphaFold设计的药物</w:t>
      </w:r>
      <w:r>
        <w:rPr>
          <w:rFonts w:hint="eastAsia"/>
        </w:rPr>
        <w:t>人体</w:t>
      </w:r>
      <w:r>
        <w:t>临床试验</w:t>
      </w:r>
      <w:r>
        <w:rPr>
          <w:rFonts w:hint="eastAsia"/>
        </w:rPr>
        <w:t>。</w:t>
      </w:r>
    </w:p>
    <w:p w14:paraId="5ACFC777">
      <w:pPr>
        <w:pStyle w:val="46"/>
        <w:outlineLvl w:val="1"/>
        <w:rPr>
          <w:color w:val="auto"/>
        </w:rPr>
      </w:pPr>
      <w:bookmarkStart w:id="11" w:name="_Toc205192235"/>
      <w:r>
        <w:rPr>
          <w:rFonts w:hint="eastAsia"/>
          <w:color w:val="auto"/>
        </w:rPr>
        <w:t>诺奖得主David Baker团队提出蛋白质设计策略logos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突破“不可成药”靶点困境</w:t>
      </w:r>
      <w:bookmarkEnd w:id="11"/>
    </w:p>
    <w:p w14:paraId="30E34D66">
      <w:pPr>
        <w:pStyle w:val="48"/>
        <w:ind w:firstLine="592"/>
      </w:pPr>
      <w:r>
        <w:rPr>
          <w:rFonts w:hint="eastAsia"/>
        </w:rPr>
        <w:t>2025年7月17日，</w:t>
      </w:r>
      <w:r>
        <w:rPr>
          <w:rFonts w:hint="eastAsia"/>
          <w:color w:val="auto"/>
        </w:rPr>
        <w:t>诺奖得主</w:t>
      </w:r>
      <w:r>
        <w:rPr>
          <w:rFonts w:hint="eastAsia"/>
        </w:rPr>
        <w:t>美国华盛顿大学David Baker团队提出蛋白质设计策略logos</w:t>
      </w:r>
      <w:r>
        <w:rPr>
          <w:rStyle w:val="24"/>
        </w:rPr>
        <w:footnoteReference w:id="10"/>
      </w:r>
      <w:r>
        <w:rPr>
          <w:rFonts w:hint="eastAsia"/>
          <w:vertAlign w:val="superscript"/>
        </w:rPr>
        <w:t>,</w:t>
      </w:r>
      <w:r>
        <w:rPr>
          <w:rStyle w:val="24"/>
        </w:rPr>
        <w:footnoteReference w:id="11"/>
      </w:r>
      <w:r>
        <w:rPr>
          <w:rFonts w:hint="eastAsia"/>
        </w:rPr>
        <w:t>，设计出新型蛋白质配体，靶向传统上被视为“不可成药”的蛋白质内在无序区域。这项研究突破了“不可成药”靶点困境，成功锁定无序蛋白，“不可成药”转变为只是“尚未成药”。</w:t>
      </w:r>
    </w:p>
    <w:p w14:paraId="5C6CF25F">
      <w:pPr>
        <w:pStyle w:val="46"/>
        <w:outlineLvl w:val="1"/>
        <w:rPr>
          <w:color w:val="auto"/>
        </w:rPr>
      </w:pPr>
      <w:bookmarkStart w:id="12" w:name="_Toc205192236"/>
      <w:r>
        <w:rPr>
          <w:rFonts w:hint="eastAsia"/>
          <w:color w:val="auto"/>
        </w:rPr>
        <w:t>英伟达发布AI蛋白质生成模型La-Proteina，蛋白质设计迎来重大突破</w:t>
      </w:r>
      <w:bookmarkEnd w:id="12"/>
    </w:p>
    <w:p w14:paraId="5A9B1435">
      <w:pPr>
        <w:pStyle w:val="48"/>
        <w:ind w:firstLine="592"/>
      </w:pPr>
      <w:r>
        <w:rPr>
          <w:rFonts w:hint="eastAsia"/>
        </w:rPr>
        <w:t>2025年7月13日，英伟达推出AI蛋白质基础生成模型La-Proteina</w:t>
      </w:r>
      <w:r>
        <w:rPr>
          <w:rStyle w:val="24"/>
        </w:rPr>
        <w:footnoteReference w:id="12"/>
      </w:r>
      <w:r>
        <w:rPr>
          <w:rFonts w:hint="eastAsia"/>
        </w:rPr>
        <w:t>，可生成全原子级别的蛋白质结构，能生成长达800个残基的蛋白质，仅需13.52秒，而现有模型大多数会出现系统崩溃问题。这项研究是蛋白质设计领域的重大突破，对于药物设计和蛋白质工程具有重要意义，标志着生物分子正在进入设计时代。</w:t>
      </w:r>
    </w:p>
    <w:p w14:paraId="3C4BAA92">
      <w:pPr>
        <w:pStyle w:val="46"/>
        <w:outlineLvl w:val="1"/>
        <w:rPr>
          <w:color w:val="auto"/>
        </w:rPr>
      </w:pPr>
      <w:bookmarkStart w:id="13" w:name="_Toc205192237"/>
      <w:r>
        <w:rPr>
          <w:color w:val="auto"/>
        </w:rPr>
        <w:t>美国斯坦福大学</w:t>
      </w:r>
      <w:r>
        <w:rPr>
          <w:rFonts w:hint="eastAsia"/>
          <w:color w:val="auto"/>
        </w:rPr>
        <w:t>开发出</w:t>
      </w:r>
      <w:r>
        <w:rPr>
          <w:color w:val="auto"/>
        </w:rPr>
        <w:t>全球首个</w:t>
      </w:r>
      <w:r>
        <w:rPr>
          <w:rFonts w:hint="eastAsia"/>
          <w:color w:val="auto"/>
        </w:rPr>
        <w:t>基因编辑</w:t>
      </w:r>
      <w:r>
        <w:rPr>
          <w:color w:val="auto"/>
        </w:rPr>
        <w:t>智能体系统CRISPR-GPT</w:t>
      </w:r>
      <w:bookmarkEnd w:id="13"/>
    </w:p>
    <w:p w14:paraId="3CCE15BF">
      <w:pPr>
        <w:pStyle w:val="48"/>
        <w:ind w:firstLine="592"/>
      </w:pPr>
      <w:r>
        <w:rPr>
          <w:rFonts w:hint="eastAsia"/>
        </w:rPr>
        <w:t>2025年7月30日，美国斯坦福大学与谷歌DeepMind团队合作，首次将大语言模型用于基因编辑实验，开发出智能体系统CRISPR-GPT</w:t>
      </w:r>
      <w:r>
        <w:rPr>
          <w:rStyle w:val="24"/>
        </w:rPr>
        <w:footnoteReference w:id="13"/>
      </w:r>
      <w:r>
        <w:rPr>
          <w:rFonts w:hint="eastAsia"/>
        </w:rPr>
        <w:t>，可</w:t>
      </w:r>
      <w:r>
        <w:t>自动化</w:t>
      </w:r>
      <w:r>
        <w:rPr>
          <w:rFonts w:hint="eastAsia"/>
        </w:rPr>
        <w:t>设计与分析</w:t>
      </w:r>
      <w:r>
        <w:t>CRISPR基因编辑</w:t>
      </w:r>
      <w:r>
        <w:rPr>
          <w:rFonts w:hint="eastAsia"/>
        </w:rPr>
        <w:t>实验，</w:t>
      </w:r>
      <w:r>
        <w:t>协助</w:t>
      </w:r>
      <w:r>
        <w:rPr>
          <w:rFonts w:hint="eastAsia"/>
        </w:rPr>
        <w:t>科学家</w:t>
      </w:r>
      <w:r>
        <w:t>选择CRISPR系统、规划实验、设计引导RNA、选择递送方法、起草方案、设计检测和分析数据。</w:t>
      </w:r>
      <w:r>
        <w:rPr>
          <w:rFonts w:hint="eastAsia"/>
        </w:rPr>
        <w:t>CRISPR-GPT让AI理解基因编辑专业知识，像领域专家一样进行推理和决策，将为基因编辑实验提供专家级智能决策，为自动化生物科研开辟新道路。</w:t>
      </w:r>
    </w:p>
    <w:p w14:paraId="21FD597F">
      <w:pPr>
        <w:pStyle w:val="46"/>
        <w:outlineLvl w:val="1"/>
        <w:rPr>
          <w:color w:val="auto"/>
        </w:rPr>
      </w:pPr>
      <w:bookmarkStart w:id="14" w:name="_Toc205192238"/>
      <w:r>
        <w:rPr>
          <w:rFonts w:hint="eastAsia"/>
          <w:color w:val="auto"/>
        </w:rPr>
        <w:t>美国哈佛大学开发基因编辑技术，一针修复5种大脑突变</w:t>
      </w:r>
      <w:bookmarkEnd w:id="14"/>
    </w:p>
    <w:p w14:paraId="40308F7C">
      <w:pPr>
        <w:pStyle w:val="48"/>
        <w:ind w:firstLine="592"/>
      </w:pPr>
      <w:r>
        <w:rPr>
          <w:rFonts w:hint="eastAsia"/>
        </w:rPr>
        <w:t>2025年7月21日，美国哈佛大学借助先导编辑和碱基编辑技术</w:t>
      </w:r>
      <w:r>
        <w:rPr>
          <w:rStyle w:val="24"/>
        </w:rPr>
        <w:footnoteReference w:id="14"/>
      </w:r>
      <w:r>
        <w:rPr>
          <w:rFonts w:hint="eastAsia"/>
        </w:rPr>
        <w:t>，通过单次脑内注射，以43%-90%的效率纠正了5种流行的ATP1A3突变。这一突破</w:t>
      </w:r>
      <w:r>
        <w:t>为开发一次性治愈儿童交替性偏瘫</w:t>
      </w:r>
      <w:r>
        <w:rPr>
          <w:rFonts w:hint="eastAsia"/>
        </w:rPr>
        <w:t>的</w:t>
      </w:r>
      <w:r>
        <w:t>基因疗法迈出关键一步。</w:t>
      </w:r>
    </w:p>
    <w:p w14:paraId="4D537242">
      <w:pPr>
        <w:pStyle w:val="46"/>
        <w:outlineLvl w:val="1"/>
        <w:rPr>
          <w:color w:val="auto"/>
        </w:rPr>
      </w:pPr>
      <w:bookmarkStart w:id="15" w:name="_Toc205192239"/>
      <w:r>
        <w:rPr>
          <w:rFonts w:hint="eastAsia"/>
          <w:color w:val="auto"/>
        </w:rPr>
        <w:t>美国纽约大学和宾夕法尼亚大学开发出白血病芯片，精准测试CAR-T疗效</w:t>
      </w:r>
      <w:bookmarkEnd w:id="15"/>
    </w:p>
    <w:p w14:paraId="15533575">
      <w:pPr>
        <w:pStyle w:val="48"/>
        <w:ind w:firstLine="592"/>
      </w:pPr>
      <w:r>
        <w:rPr>
          <w:rFonts w:hint="eastAsia"/>
        </w:rPr>
        <w:t>2025年7月1日，美国纽约大学与宾夕法尼亚大学联合开发出白血病芯片</w:t>
      </w:r>
      <w:r>
        <w:rPr>
          <w:rStyle w:val="24"/>
        </w:rPr>
        <w:footnoteReference w:id="15"/>
      </w:r>
      <w:r>
        <w:rPr>
          <w:rFonts w:hint="eastAsia"/>
        </w:rPr>
        <w:t>，如同一块显微镜载玻片，首次记录了CAR-T细胞在模拟血管中识别白血病细胞、激活免疫将其消灭的全过程。同时，该芯片可在半天内完成组装，支持至少两周的连续实验，而建立动物模型通常需要半年以上。</w:t>
      </w:r>
    </w:p>
    <w:p w14:paraId="2EDC1D0E">
      <w:pPr>
        <w:pStyle w:val="48"/>
        <w:ind w:firstLine="592"/>
      </w:pPr>
      <w:r>
        <w:rPr>
          <w:rFonts w:hint="eastAsia"/>
        </w:rPr>
        <w:t>CAR-T细胞疗法潜力巨大，但仍有近一半患者出现复发。该芯片为研究CAR-T细胞如何作用于白血病提供了前所未有的精确平台，有助于找出个体差异以实现精准治疗，标志着个性化免疫治疗研究迈入新阶段，且无需依赖动物实验。</w:t>
      </w:r>
    </w:p>
    <w:p w14:paraId="761F14AF">
      <w:pPr>
        <w:pStyle w:val="46"/>
        <w:outlineLvl w:val="1"/>
        <w:rPr>
          <w:color w:val="auto"/>
        </w:rPr>
      </w:pPr>
      <w:bookmarkStart w:id="16" w:name="_Toc205192240"/>
      <w:r>
        <w:rPr>
          <w:rFonts w:hint="eastAsia"/>
          <w:color w:val="auto"/>
        </w:rPr>
        <w:t>美国德克萨斯大学和赛诺菲公司开发RiboNN模型，有望加速mRNA疗法</w:t>
      </w:r>
      <w:bookmarkEnd w:id="16"/>
    </w:p>
    <w:p w14:paraId="559FFFA4">
      <w:pPr>
        <w:pStyle w:val="48"/>
        <w:ind w:firstLine="592"/>
      </w:pPr>
      <w:r>
        <w:rPr>
          <w:rFonts w:hint="eastAsia"/>
        </w:rPr>
        <w:t>2025年7月25日，美国德克萨斯大学和赛诺菲公司合作开发AI模型RiboNN</w:t>
      </w:r>
      <w:r>
        <w:rPr>
          <w:rStyle w:val="24"/>
        </w:rPr>
        <w:footnoteReference w:id="16"/>
      </w:r>
      <w:r>
        <w:rPr>
          <w:rFonts w:hint="eastAsia"/>
        </w:rPr>
        <w:t>，可预测特定mRNA序列产生蛋白质的效率。这一方法有望加速mRNA疗法，助力癌症和遗传性疾病的治疗。</w:t>
      </w:r>
    </w:p>
    <w:p w14:paraId="14B97D0A">
      <w:pPr>
        <w:keepNext/>
        <w:keepLines/>
        <w:spacing w:before="120" w:after="120" w:line="500" w:lineRule="exact"/>
        <w:outlineLvl w:val="0"/>
        <w:rPr>
          <w:rFonts w:ascii="Times New Roman" w:hAnsi="Times New Roman" w:eastAsia="黑体" w:cs="Times New Roman"/>
          <w:b/>
          <w:bCs/>
          <w:color w:val="4472C4"/>
          <w:sz w:val="32"/>
          <w:szCs w:val="32"/>
        </w:rPr>
      </w:pPr>
      <w:bookmarkStart w:id="17" w:name="_Toc205192241"/>
      <w:r>
        <w:rPr>
          <w:rFonts w:hint="eastAsia" w:ascii="Times New Roman" w:hAnsi="Times New Roman" w:eastAsia="黑体" w:cs="Times New Roman"/>
          <w:b/>
          <w:bCs/>
          <w:color w:val="4472C4"/>
          <w:sz w:val="32"/>
          <w:szCs w:val="32"/>
        </w:rPr>
        <w:t>产品动态</w:t>
      </w:r>
      <w:bookmarkEnd w:id="17"/>
    </w:p>
    <w:p w14:paraId="16242C9B">
      <w:pPr>
        <w:pStyle w:val="46"/>
        <w:outlineLvl w:val="1"/>
        <w:rPr>
          <w:color w:val="auto"/>
        </w:rPr>
      </w:pPr>
      <w:bookmarkStart w:id="18" w:name="_Toc205192242"/>
      <w:r>
        <w:rPr>
          <w:rFonts w:hint="eastAsia"/>
          <w:color w:val="auto"/>
        </w:rPr>
        <w:t>德国拜耳公司首创新药Lynkuet</w:t>
      </w:r>
      <w:r>
        <w:rPr>
          <w:color w:val="auto"/>
        </w:rPr>
        <w:t>在英国获全球首批上</w:t>
      </w:r>
      <w:r>
        <w:rPr>
          <w:rFonts w:hint="eastAsia"/>
          <w:color w:val="auto"/>
        </w:rPr>
        <w:t>市</w:t>
      </w:r>
      <w:bookmarkEnd w:id="18"/>
    </w:p>
    <w:p w14:paraId="3CFBB4D5">
      <w:pPr>
        <w:pStyle w:val="48"/>
        <w:ind w:firstLine="592"/>
      </w:pPr>
      <w:r>
        <w:rPr>
          <w:rFonts w:hint="eastAsia"/>
        </w:rPr>
        <w:t>2025年7月10日，德国拜耳公司宣布其首创新药（first in class）Lynkuet获</w:t>
      </w:r>
      <w:r>
        <w:t>英国药品和</w:t>
      </w:r>
      <w:r>
        <w:rPr>
          <w:rFonts w:hint="eastAsia"/>
        </w:rPr>
        <w:t>健康产品管理局（MHRA）批准上市，</w:t>
      </w:r>
      <w:r>
        <w:t>用于治疗与更年期相关的中重度血管舒缩症状</w:t>
      </w:r>
      <w:r>
        <w:rPr>
          <w:vertAlign w:val="superscript"/>
        </w:rPr>
        <w:footnoteReference w:id="17"/>
      </w:r>
      <w:r>
        <w:rPr>
          <w:rFonts w:hint="eastAsia"/>
        </w:rPr>
        <w:t>。这是</w:t>
      </w:r>
      <w:r>
        <w:t>全球首个双重神经激肽靶向疗法</w:t>
      </w:r>
      <w:r>
        <w:rPr>
          <w:rFonts w:hint="eastAsia"/>
        </w:rPr>
        <w:t>，在</w:t>
      </w:r>
      <w:r>
        <w:t>全球范围内首次获批</w:t>
      </w:r>
      <w:r>
        <w:rPr>
          <w:rFonts w:hint="eastAsia"/>
        </w:rPr>
        <w:t>。公司正</w:t>
      </w:r>
      <w:r>
        <w:t>在</w:t>
      </w:r>
      <w:r>
        <w:rPr>
          <w:rFonts w:hint="eastAsia"/>
        </w:rPr>
        <w:t>向</w:t>
      </w:r>
      <w:r>
        <w:t>美国、欧盟提交上市</w:t>
      </w:r>
      <w:r>
        <w:rPr>
          <w:rFonts w:hint="eastAsia"/>
        </w:rPr>
        <w:t>申请</w:t>
      </w:r>
      <w:r>
        <w:t>。</w:t>
      </w:r>
    </w:p>
    <w:p w14:paraId="1E40CF7A">
      <w:pPr>
        <w:pStyle w:val="46"/>
        <w:outlineLvl w:val="1"/>
        <w:rPr>
          <w:color w:val="auto"/>
        </w:rPr>
      </w:pPr>
      <w:bookmarkStart w:id="19" w:name="_Toc205192243"/>
      <w:r>
        <w:rPr>
          <w:rFonts w:hint="eastAsia"/>
          <w:color w:val="auto"/>
        </w:rPr>
        <w:t>美国</w:t>
      </w:r>
      <w:r>
        <w:rPr>
          <w:color w:val="auto"/>
        </w:rPr>
        <w:t>Sarepta</w:t>
      </w:r>
      <w:r>
        <w:rPr>
          <w:rFonts w:hint="eastAsia"/>
          <w:color w:val="auto"/>
        </w:rPr>
        <w:t>公司基因治疗药物Elevidys获FDA批准恢复销售</w:t>
      </w:r>
      <w:bookmarkEnd w:id="19"/>
    </w:p>
    <w:p w14:paraId="45973AE8">
      <w:pPr>
        <w:pStyle w:val="48"/>
        <w:ind w:firstLine="592"/>
      </w:pPr>
      <w:r>
        <w:rPr>
          <w:rFonts w:hint="eastAsia"/>
        </w:rPr>
        <w:t>2025年7月18日，美国FDA认为</w:t>
      </w:r>
      <w:r>
        <w:rPr>
          <w:rFonts w:hint="eastAsia"/>
          <w:color w:val="auto"/>
        </w:rPr>
        <w:t>美国</w:t>
      </w:r>
      <w:r>
        <w:rPr>
          <w:color w:val="auto"/>
        </w:rPr>
        <w:t>Sarepta</w:t>
      </w:r>
      <w:r>
        <w:rPr>
          <w:rFonts w:hint="eastAsia"/>
          <w:color w:val="auto"/>
        </w:rPr>
        <w:t>公司的基因治疗药物Elevidys可能导</w:t>
      </w:r>
      <w:r>
        <w:rPr>
          <w:rFonts w:hint="eastAsia"/>
        </w:rPr>
        <w:t>致3人死亡</w:t>
      </w:r>
      <w:r>
        <w:rPr>
          <w:rStyle w:val="24"/>
        </w:rPr>
        <w:footnoteReference w:id="18"/>
      </w:r>
      <w:r>
        <w:rPr>
          <w:rFonts w:hint="eastAsia"/>
        </w:rPr>
        <w:t>，</w:t>
      </w:r>
      <w:r>
        <w:t>要求Sarepta</w:t>
      </w:r>
      <w:r>
        <w:rPr>
          <w:rFonts w:hint="eastAsia"/>
        </w:rPr>
        <w:t>公司</w:t>
      </w:r>
      <w:r>
        <w:t>暂停Elevidys</w:t>
      </w:r>
      <w:r>
        <w:rPr>
          <w:rFonts w:hint="eastAsia"/>
        </w:rPr>
        <w:t>的销售及相关基因治疗临床试验，并于25日调查一名8岁男孩死亡事件</w:t>
      </w:r>
      <w:r>
        <w:rPr>
          <w:rStyle w:val="24"/>
        </w:rPr>
        <w:footnoteReference w:id="19"/>
      </w:r>
      <w:r>
        <w:rPr>
          <w:rFonts w:hint="eastAsia"/>
        </w:rPr>
        <w:t>。7月28日，FDA得出结论，认定该男孩</w:t>
      </w:r>
      <w:r>
        <w:fldChar w:fldCharType="begin"/>
      </w:r>
      <w:r>
        <w:instrText xml:space="preserve">HYPERLINK "https://www.fda.gov/news-events/press-announcements/fda-investigating-death-8-year-old-boy-who-received-elevidys"</w:instrText>
      </w:r>
      <w:r>
        <w:fldChar w:fldCharType="separate"/>
      </w:r>
      <w:r>
        <w:t>死亡</w:t>
      </w:r>
      <w:r>
        <w:fldChar w:fldCharType="end"/>
      </w:r>
      <w:r>
        <w:t>与基因治疗产品本身无关</w:t>
      </w:r>
      <w:r>
        <w:rPr>
          <w:rStyle w:val="24"/>
        </w:rPr>
        <w:footnoteReference w:id="20"/>
      </w:r>
      <w:r>
        <w:rPr>
          <w:rFonts w:hint="eastAsia"/>
        </w:rPr>
        <w:t>，宣布</w:t>
      </w:r>
      <w:r>
        <w:t>解除针对可行走患者的</w:t>
      </w:r>
      <w:r>
        <w:rPr>
          <w:rFonts w:hint="eastAsia"/>
        </w:rPr>
        <w:t>Elevidys</w:t>
      </w:r>
      <w:r>
        <w:t>自愿暂停令。</w:t>
      </w:r>
    </w:p>
    <w:p w14:paraId="57472761">
      <w:pPr>
        <w:pStyle w:val="48"/>
        <w:ind w:firstLine="592"/>
        <w:rPr>
          <w:b/>
          <w:bCs/>
          <w:color w:val="auto"/>
        </w:rPr>
      </w:pPr>
      <w:r>
        <w:t>Elevidys是一种基于腺相关病毒载体的基因疗法</w:t>
      </w:r>
      <w:r>
        <w:rPr>
          <w:rFonts w:hint="eastAsia"/>
        </w:rPr>
        <w:t>，用于</w:t>
      </w:r>
      <w:r>
        <w:t>治疗杜氏肌营养不良</w:t>
      </w:r>
      <w:r>
        <w:rPr>
          <w:rFonts w:hint="eastAsia"/>
        </w:rPr>
        <w:t>。这一事件</w:t>
      </w:r>
      <w:r>
        <w:t>意味着</w:t>
      </w:r>
      <w:r>
        <w:rPr>
          <w:color w:val="auto"/>
        </w:rPr>
        <w:t>Sarepta</w:t>
      </w:r>
      <w:r>
        <w:rPr>
          <w:rFonts w:hint="eastAsia"/>
          <w:color w:val="auto"/>
        </w:rPr>
        <w:t>公司</w:t>
      </w:r>
      <w:r>
        <w:t>无需额外开展安全性研究即可恢复供应</w:t>
      </w:r>
      <w:r>
        <w:rPr>
          <w:rFonts w:hint="eastAsia"/>
        </w:rPr>
        <w:t>，也</w:t>
      </w:r>
      <w:r>
        <w:t>凸显</w:t>
      </w:r>
      <w:r>
        <w:rPr>
          <w:rFonts w:hint="eastAsia"/>
        </w:rPr>
        <w:t>了</w:t>
      </w:r>
      <w:r>
        <w:t>基因治疗</w:t>
      </w:r>
      <w:r>
        <w:rPr>
          <w:rFonts w:hint="eastAsia"/>
        </w:rPr>
        <w:t>的监管需要</w:t>
      </w:r>
      <w:r>
        <w:t>在安全性与患者需求</w:t>
      </w:r>
      <w:r>
        <w:rPr>
          <w:rFonts w:hint="eastAsia"/>
        </w:rPr>
        <w:t>之</w:t>
      </w:r>
      <w:r>
        <w:t>间</w:t>
      </w:r>
      <w:r>
        <w:rPr>
          <w:rFonts w:hint="eastAsia"/>
        </w:rPr>
        <w:t>做好</w:t>
      </w:r>
      <w:r>
        <w:t>平衡</w:t>
      </w:r>
      <w:r>
        <w:rPr>
          <w:rFonts w:hint="eastAsia"/>
        </w:rPr>
        <w:t>，并</w:t>
      </w:r>
      <w:r>
        <w:t>强化了上市后监测的重要</w:t>
      </w:r>
      <w:r>
        <w:rPr>
          <w:rFonts w:hint="eastAsia"/>
        </w:rPr>
        <w:t>性。</w:t>
      </w:r>
    </w:p>
    <w:p w14:paraId="064DB2C6">
      <w:pPr>
        <w:pStyle w:val="46"/>
        <w:outlineLvl w:val="1"/>
        <w:rPr>
          <w:color w:val="auto"/>
        </w:rPr>
      </w:pPr>
      <w:bookmarkStart w:id="20" w:name="_Toc205192244"/>
      <w:r>
        <w:rPr>
          <w:rFonts w:hint="eastAsia"/>
          <w:color w:val="auto"/>
        </w:rPr>
        <w:t>美国吉利德公司艾滋病预防新药Lenacapavir获欧洲药品管理局建议批准上市</w:t>
      </w:r>
      <w:bookmarkEnd w:id="20"/>
    </w:p>
    <w:p w14:paraId="62B1F92F">
      <w:pPr>
        <w:pStyle w:val="48"/>
        <w:ind w:firstLine="592"/>
        <w:rPr>
          <w:rFonts w:hint="eastAsia" w:asciiTheme="minorHAnsi" w:hAnsiTheme="minorHAnsi" w:eastAsiaTheme="minorEastAsia"/>
          <w:sz w:val="21"/>
          <w:szCs w:val="22"/>
        </w:rPr>
      </w:pPr>
      <w:r>
        <w:rPr>
          <w:rFonts w:hint="eastAsia"/>
        </w:rPr>
        <w:t>2025年7月25日，美国吉利德科学公司研发的预防艾滋病病毒感染的药物来那卡帕韦（Lenacapavir）继6月在美国获批后，由于</w:t>
      </w:r>
      <w:r>
        <w:t>每年仅</w:t>
      </w:r>
      <w:r>
        <w:rPr>
          <w:rFonts w:hint="eastAsia"/>
        </w:rPr>
        <w:t>需</w:t>
      </w:r>
      <w:r>
        <w:t>给药两次</w:t>
      </w:r>
      <w:r>
        <w:rPr>
          <w:rFonts w:hint="eastAsia"/>
        </w:rPr>
        <w:t>便</w:t>
      </w:r>
      <w:r>
        <w:t>可</w:t>
      </w:r>
      <w:r>
        <w:rPr>
          <w:rFonts w:hint="eastAsia"/>
        </w:rPr>
        <w:t>预防艾滋病毒感染，欧洲药品管理局（EMA）同样建议在欧盟批准其上市</w:t>
      </w:r>
      <w:r>
        <w:rPr>
          <w:rStyle w:val="24"/>
        </w:rPr>
        <w:footnoteReference w:id="21"/>
      </w:r>
      <w:r>
        <w:rPr>
          <w:rFonts w:hint="eastAsia"/>
        </w:rPr>
        <w:t>。</w:t>
      </w:r>
    </w:p>
    <w:p w14:paraId="3ECFCE6F">
      <w:pPr>
        <w:pStyle w:val="46"/>
        <w:outlineLvl w:val="1"/>
        <w:rPr>
          <w:color w:val="auto"/>
        </w:rPr>
      </w:pPr>
      <w:bookmarkStart w:id="21" w:name="_Toc205192245"/>
      <w:r>
        <w:rPr>
          <w:rFonts w:hint="eastAsia"/>
          <w:color w:val="auto"/>
        </w:rPr>
        <w:t>英国</w:t>
      </w:r>
      <w:r>
        <w:rPr>
          <w:color w:val="auto"/>
        </w:rPr>
        <w:t>葛兰素史克公司</w:t>
      </w:r>
      <w:r>
        <w:rPr>
          <w:rFonts w:hint="eastAsia"/>
          <w:color w:val="auto"/>
        </w:rPr>
        <w:t>的</w:t>
      </w:r>
      <w:r>
        <w:rPr>
          <w:color w:val="auto"/>
        </w:rPr>
        <w:t>抗体偶联药物</w:t>
      </w:r>
      <w:r>
        <w:rPr>
          <w:rFonts w:hint="eastAsia"/>
          <w:color w:val="auto"/>
        </w:rPr>
        <w:t>Blenrep</w:t>
      </w:r>
      <w:r>
        <w:rPr>
          <w:color w:val="auto"/>
        </w:rPr>
        <w:t>获欧盟批准</w:t>
      </w:r>
      <w:bookmarkEnd w:id="21"/>
    </w:p>
    <w:p w14:paraId="452F5456">
      <w:pPr>
        <w:pStyle w:val="48"/>
        <w:ind w:firstLine="592"/>
      </w:pPr>
      <w:r>
        <w:rPr>
          <w:rFonts w:hint="eastAsia"/>
        </w:rPr>
        <w:t>2025年7月24日，英国</w:t>
      </w:r>
      <w:r>
        <w:t>葛兰素史克公司</w:t>
      </w:r>
      <w:r>
        <w:rPr>
          <w:rFonts w:hint="eastAsia"/>
        </w:rPr>
        <w:t>宣布其</w:t>
      </w:r>
      <w:r>
        <w:rPr>
          <w:color w:val="auto"/>
        </w:rPr>
        <w:t>抗体偶联药</w:t>
      </w:r>
      <w:r>
        <w:t>物</w:t>
      </w:r>
      <w:r>
        <w:rPr>
          <w:rFonts w:hint="eastAsia"/>
        </w:rPr>
        <w:t>Blenrep获欧盟批准上市，用于治疗</w:t>
      </w:r>
      <w:r>
        <w:t>复发或难治多发性骨髓瘤</w:t>
      </w:r>
      <w:r>
        <w:rPr>
          <w:rStyle w:val="24"/>
        </w:rPr>
        <w:footnoteReference w:id="22"/>
      </w:r>
      <w:r>
        <w:rPr>
          <w:rFonts w:hint="eastAsia"/>
        </w:rPr>
        <w:t>。</w:t>
      </w:r>
      <w:r>
        <w:t>Blenrep是目前唯一获批用于多发性骨髓瘤的靶向B细胞成熟抗原</w:t>
      </w:r>
      <w:r>
        <w:rPr>
          <w:rFonts w:hint="eastAsia"/>
        </w:rPr>
        <w:t>的</w:t>
      </w:r>
      <w:r>
        <w:t>抗体偶联药物（ADC）</w:t>
      </w:r>
      <w:r>
        <w:rPr>
          <w:rFonts w:hint="eastAsia"/>
        </w:rPr>
        <w:t>，已在英国、日本、加拿大、瑞士获批上市，正在</w:t>
      </w:r>
      <w:r>
        <w:t>美国和中国</w:t>
      </w:r>
      <w:r>
        <w:rPr>
          <w:rFonts w:hint="eastAsia"/>
        </w:rPr>
        <w:t>申请上市。</w:t>
      </w:r>
    </w:p>
    <w:sectPr>
      <w:footerReference r:id="rId10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56249F">
    <w:pPr>
      <w:pStyle w:val="12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5F0D7">
    <w:pPr>
      <w:pStyle w:val="12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7F3F1">
    <w:pPr>
      <w:pStyle w:val="12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70154927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0E32CF42">
        <w:pPr>
          <w:pStyle w:val="12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2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30305FC9">
    <w:pPr>
      <w:pStyle w:val="12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6">
    <w:p>
      <w:r>
        <w:separator/>
      </w:r>
    </w:p>
  </w:footnote>
  <w:footnote w:type="continuationSeparator" w:id="47">
    <w:p>
      <w:r>
        <w:continuationSeparator/>
      </w:r>
    </w:p>
  </w:footnote>
  <w:footnote w:id="0">
    <w:p w14:paraId="2D5778ED">
      <w:pPr>
        <w:pStyle w:val="16"/>
        <w:wordWrap w:val="0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https://www.whitehouse.gov/fact-sheets/2025/07/fact-sheet-president-donald-j-trump-announces-actions-to-get-americans-the-best-prices-in-the-world-for-prescription-drugs/</w:t>
      </w:r>
    </w:p>
  </w:footnote>
  <w:footnote w:id="1">
    <w:p w14:paraId="7A044811">
      <w:pPr>
        <w:pStyle w:val="16"/>
        <w:wordWrap w:val="0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https://www.fda.gov/industry/commissioners-national-priority-voucher-cnpv-pilot-program</w:t>
      </w:r>
    </w:p>
  </w:footnote>
  <w:footnote w:id="2">
    <w:p w14:paraId="4A39B24F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https://www.hhs.gov/press-room/cms-announces-participation-in-cell-and-gene-therapy-access-model.html</w:t>
      </w:r>
    </w:p>
  </w:footnote>
  <w:footnote w:id="3">
    <w:p w14:paraId="6D8552AA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https://ec.europa.eu/commission/presscorner/detail/en/ip_25_1686</w:t>
      </w:r>
    </w:p>
  </w:footnote>
  <w:footnote w:id="4">
    <w:p w14:paraId="2F6982A7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https://health.ec.europa.eu/latest-updates/eu-sets-out-new-plan-boost-health-crisis-readiness-2025-07-09_en</w:t>
      </w:r>
    </w:p>
  </w:footnote>
  <w:footnote w:id="5">
    <w:p w14:paraId="7691D716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https://www.bmftr.bund.de/DE/Forschung/HightechAgenda/HightechAgenda.html?nn=916334</w:t>
      </w:r>
    </w:p>
  </w:footnote>
  <w:footnote w:id="6">
    <w:p w14:paraId="1D2E4673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https://issnationallab.org/press-releases/nasa-spacex-crew-11-science/</w:t>
      </w:r>
    </w:p>
  </w:footnote>
  <w:footnote w:id="7">
    <w:p w14:paraId="66147174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https://www.chaidiscovery.com/news/introducing-chai-2</w:t>
      </w:r>
    </w:p>
  </w:footnote>
  <w:footnote w:id="8">
    <w:p w14:paraId="2BAF7512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https://www.nature.com/articles/s41586-025-09442-9</w:t>
      </w:r>
    </w:p>
  </w:footnote>
  <w:footnote w:id="9">
    <w:p w14:paraId="7B2AED40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https://fortune.com/2025/07/06/deepmind-isomorphic-labs-cure-all-diseases-ai-now-first-human-trials/</w:t>
      </w:r>
    </w:p>
  </w:footnote>
  <w:footnote w:id="10">
    <w:p w14:paraId="4F2BCCA6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https://www.science.org/doi/10.1126/science.adr8063</w:t>
      </w:r>
    </w:p>
  </w:footnote>
  <w:footnote w:id="11">
    <w:p w14:paraId="7AC97286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https://www.nature.com/articles/s41586-025-09248-9</w:t>
      </w:r>
    </w:p>
  </w:footnote>
  <w:footnote w:id="12">
    <w:p w14:paraId="0A630C19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https://research.nvidia.com/labs/genair/la-proteina/</w:t>
      </w:r>
    </w:p>
  </w:footnote>
  <w:footnote w:id="13">
    <w:p w14:paraId="2D70D05C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https://www.nature.com/articles/s41551-025-01463-z</w:t>
      </w:r>
    </w:p>
  </w:footnote>
  <w:footnote w:id="14">
    <w:p w14:paraId="31F96A38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https://www.sciencedirect.com/science/article/pii/S0092867425007408</w:t>
      </w:r>
    </w:p>
  </w:footnote>
  <w:footnote w:id="15">
    <w:p w14:paraId="28826513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https://www.nature.com/articles/s41551-025-01428-2</w:t>
      </w:r>
    </w:p>
  </w:footnote>
  <w:footnote w:id="16">
    <w:p w14:paraId="67DA03BA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https://www.nature.com/articles/s41587-025-02712-x</w:t>
      </w:r>
    </w:p>
  </w:footnote>
  <w:footnote w:id="17">
    <w:p w14:paraId="02B7F1C6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https://www.bayer.com/media/en-us/bayer-receives-first-approval-worldwide-for-lynkuet-elinzanetant-in-the-uk-as-treatment-of-moderate-to-severe-vasomotor-symptoms-associated-with-menopause/</w:t>
      </w:r>
    </w:p>
  </w:footnote>
  <w:footnote w:id="18">
    <w:p w14:paraId="17A3BF85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https://www.fda.gov/news-events/press-announcements/fda-requests-sarepta-therapeutics-suspend-distribution-elevidys-and-places-clinical-trials-hold</w:t>
      </w:r>
    </w:p>
  </w:footnote>
  <w:footnote w:id="19">
    <w:p w14:paraId="4E37EC34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https://www.fda.gov/news-events/press-announcements/fda-investigating-death-8-year-old-boy-who-received-elevidys</w:t>
      </w:r>
    </w:p>
  </w:footnote>
  <w:footnote w:id="20">
    <w:p w14:paraId="2EB4945A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https://investorrelations.sarepta.com/news-releases/news-release-details/fda-informs-sarepta-it-recommends-sarepta-remove-its-pause-and?_ga=2.78106644.1018723045.1754035945-875392518.1754035945</w:t>
      </w:r>
    </w:p>
  </w:footnote>
  <w:footnote w:id="21">
    <w:p w14:paraId="043D723C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https://www.ema.europa.eu/en/news/new-injection-easier-prevention-hiv-infection-eu-worldwide#:~:text=EMA%20has%20recommended%20granting%20a%20marketing%20authorisation%20in,and%20adolescents%20at%20high%20risk%20of%20becoming%20infected.</w:t>
      </w:r>
    </w:p>
  </w:footnote>
  <w:footnote w:id="22">
    <w:p w14:paraId="118E55F5">
      <w:pPr>
        <w:pStyle w:val="16"/>
        <w:rPr>
          <w:rFonts w:ascii="Times New Roman" w:hAnsi="Times New Roman" w:cs="Times New Roman"/>
        </w:rPr>
      </w:pPr>
      <w:r>
        <w:rPr>
          <w:rStyle w:val="2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https://www.gsk.com/en-gb/media/press-releases/blenrep-belantamab-mafodotin-combinations-approved-in-eu-for-treatment-of-relapsedrefractory-multiple-myeloma/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8BAC1">
    <w:pPr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D5132">
    <w:pPr>
      <w:pStyle w:val="13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46B3A">
    <w:pPr>
      <w:pStyle w:val="13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46"/>
    <w:footnote w:id="47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771"/>
    <w:rsid w:val="00003EEC"/>
    <w:rsid w:val="00004B5D"/>
    <w:rsid w:val="00007137"/>
    <w:rsid w:val="000246CE"/>
    <w:rsid w:val="00043CF1"/>
    <w:rsid w:val="0006231F"/>
    <w:rsid w:val="00065BAA"/>
    <w:rsid w:val="000B0C6A"/>
    <w:rsid w:val="000D13BC"/>
    <w:rsid w:val="000D5723"/>
    <w:rsid w:val="000E3A13"/>
    <w:rsid w:val="000F0F70"/>
    <w:rsid w:val="00131A26"/>
    <w:rsid w:val="00185B5C"/>
    <w:rsid w:val="001A3224"/>
    <w:rsid w:val="001D496E"/>
    <w:rsid w:val="001E2D55"/>
    <w:rsid w:val="0021758D"/>
    <w:rsid w:val="00240E16"/>
    <w:rsid w:val="00272BDE"/>
    <w:rsid w:val="002769EB"/>
    <w:rsid w:val="00292A68"/>
    <w:rsid w:val="002B1197"/>
    <w:rsid w:val="002B39A0"/>
    <w:rsid w:val="002B68B3"/>
    <w:rsid w:val="002E4376"/>
    <w:rsid w:val="002E4628"/>
    <w:rsid w:val="003124C6"/>
    <w:rsid w:val="003130C3"/>
    <w:rsid w:val="00327C9F"/>
    <w:rsid w:val="00417DEE"/>
    <w:rsid w:val="004627DF"/>
    <w:rsid w:val="00480ED3"/>
    <w:rsid w:val="00485E40"/>
    <w:rsid w:val="00491238"/>
    <w:rsid w:val="004A0897"/>
    <w:rsid w:val="004D2A84"/>
    <w:rsid w:val="004E0D5A"/>
    <w:rsid w:val="004E1C32"/>
    <w:rsid w:val="005020C6"/>
    <w:rsid w:val="00526A88"/>
    <w:rsid w:val="00531C69"/>
    <w:rsid w:val="00544B85"/>
    <w:rsid w:val="00574054"/>
    <w:rsid w:val="005835ED"/>
    <w:rsid w:val="00593B84"/>
    <w:rsid w:val="005C5069"/>
    <w:rsid w:val="005D36AE"/>
    <w:rsid w:val="006052FA"/>
    <w:rsid w:val="00606D1D"/>
    <w:rsid w:val="00612D32"/>
    <w:rsid w:val="00677E41"/>
    <w:rsid w:val="006A7F3F"/>
    <w:rsid w:val="006C208A"/>
    <w:rsid w:val="006C2580"/>
    <w:rsid w:val="006E6D6C"/>
    <w:rsid w:val="00714591"/>
    <w:rsid w:val="00722690"/>
    <w:rsid w:val="00726415"/>
    <w:rsid w:val="00755F9E"/>
    <w:rsid w:val="0076249E"/>
    <w:rsid w:val="00762FE9"/>
    <w:rsid w:val="00765FBD"/>
    <w:rsid w:val="00773B7B"/>
    <w:rsid w:val="007A1C13"/>
    <w:rsid w:val="007A2827"/>
    <w:rsid w:val="007A5909"/>
    <w:rsid w:val="007D35BE"/>
    <w:rsid w:val="007E2220"/>
    <w:rsid w:val="007E22B4"/>
    <w:rsid w:val="007F7DCB"/>
    <w:rsid w:val="00832F12"/>
    <w:rsid w:val="0084261E"/>
    <w:rsid w:val="008570B8"/>
    <w:rsid w:val="008A6B6D"/>
    <w:rsid w:val="008C239E"/>
    <w:rsid w:val="008D51BA"/>
    <w:rsid w:val="008D562F"/>
    <w:rsid w:val="00922E62"/>
    <w:rsid w:val="0096550F"/>
    <w:rsid w:val="0096674A"/>
    <w:rsid w:val="0099021C"/>
    <w:rsid w:val="009B2771"/>
    <w:rsid w:val="009D19AA"/>
    <w:rsid w:val="009E5FEB"/>
    <w:rsid w:val="009F6F31"/>
    <w:rsid w:val="00AB768C"/>
    <w:rsid w:val="00AD4EA8"/>
    <w:rsid w:val="00AD73F4"/>
    <w:rsid w:val="00AF1686"/>
    <w:rsid w:val="00B2795A"/>
    <w:rsid w:val="00B318BF"/>
    <w:rsid w:val="00B34599"/>
    <w:rsid w:val="00B35BCE"/>
    <w:rsid w:val="00B47797"/>
    <w:rsid w:val="00B53A7B"/>
    <w:rsid w:val="00B66205"/>
    <w:rsid w:val="00BB6C6F"/>
    <w:rsid w:val="00BC6CA3"/>
    <w:rsid w:val="00C37A86"/>
    <w:rsid w:val="00C9068F"/>
    <w:rsid w:val="00CC1D88"/>
    <w:rsid w:val="00D26756"/>
    <w:rsid w:val="00D509DF"/>
    <w:rsid w:val="00D76411"/>
    <w:rsid w:val="00D7778B"/>
    <w:rsid w:val="00DD7453"/>
    <w:rsid w:val="00DE1CBC"/>
    <w:rsid w:val="00DE5B71"/>
    <w:rsid w:val="00DF7E70"/>
    <w:rsid w:val="00E26E63"/>
    <w:rsid w:val="00E563A5"/>
    <w:rsid w:val="00E60341"/>
    <w:rsid w:val="00E603CE"/>
    <w:rsid w:val="00E649C3"/>
    <w:rsid w:val="00E74714"/>
    <w:rsid w:val="00EC66B5"/>
    <w:rsid w:val="00ED088D"/>
    <w:rsid w:val="00EF052F"/>
    <w:rsid w:val="00F0510A"/>
    <w:rsid w:val="00F23200"/>
    <w:rsid w:val="00F81905"/>
    <w:rsid w:val="533524E1"/>
    <w:rsid w:val="7E9F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qFormat/>
    <w:uiPriority w:val="39"/>
    <w:pPr>
      <w:ind w:left="840" w:leftChars="400"/>
    </w:pPr>
    <w:rPr>
      <w:rFonts w:ascii="Times New Roman" w:hAnsi="Times New Roman" w:eastAsia="宋体"/>
    </w:rPr>
  </w:style>
  <w:style w:type="paragraph" w:styleId="12">
    <w:name w:val="footer"/>
    <w:basedOn w:val="1"/>
    <w:link w:val="4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4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uiPriority w:val="39"/>
  </w:style>
  <w:style w:type="paragraph" w:styleId="15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footnote text"/>
    <w:basedOn w:val="1"/>
    <w:link w:val="50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7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18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9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2">
    <w:name w:val="FollowedHyperlink"/>
    <w:basedOn w:val="2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23">
    <w:name w:val="Hyperlink"/>
    <w:basedOn w:val="2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4">
    <w:name w:val="footnote reference"/>
    <w:basedOn w:val="21"/>
    <w:unhideWhenUsed/>
    <w:qFormat/>
    <w:uiPriority w:val="99"/>
    <w:rPr>
      <w:vertAlign w:val="superscript"/>
    </w:rPr>
  </w:style>
  <w:style w:type="character" w:customStyle="1" w:styleId="25">
    <w:name w:val="标题 1 字符"/>
    <w:basedOn w:val="2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6">
    <w:name w:val="标题 2 字符"/>
    <w:basedOn w:val="2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7">
    <w:name w:val="标题 3 字符"/>
    <w:basedOn w:val="21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8">
    <w:name w:val="标题 4 字符"/>
    <w:basedOn w:val="21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9">
    <w:name w:val="标题 5 字符"/>
    <w:basedOn w:val="21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0">
    <w:name w:val="标题 6 字符"/>
    <w:basedOn w:val="21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31">
    <w:name w:val="标题 7 字符"/>
    <w:basedOn w:val="21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8 字符"/>
    <w:basedOn w:val="21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9 字符"/>
    <w:basedOn w:val="21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字符"/>
    <w:basedOn w:val="2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21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引用 字符"/>
    <w:basedOn w:val="21"/>
    <w:link w:val="3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21"/>
    <w:qFormat/>
    <w:uiPriority w:val="21"/>
    <w:rPr>
      <w:i/>
      <w:iCs/>
      <w:color w:val="104862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明显引用 字符"/>
    <w:basedOn w:val="21"/>
    <w:link w:val="40"/>
    <w:uiPriority w:val="30"/>
    <w:rPr>
      <w:i/>
      <w:iCs/>
      <w:color w:val="104862" w:themeColor="accent1" w:themeShade="BF"/>
    </w:rPr>
  </w:style>
  <w:style w:type="character" w:customStyle="1" w:styleId="42">
    <w:name w:val="Intense Reference"/>
    <w:basedOn w:val="2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3">
    <w:name w:val="Unresolved Mention"/>
    <w:basedOn w:val="21"/>
    <w:semiHidden/>
    <w:unhideWhenUsed/>
    <w:uiPriority w:val="99"/>
    <w:rPr>
      <w:color w:val="605E5C"/>
      <w:shd w:val="clear" w:color="auto" w:fill="E1DFDD"/>
    </w:rPr>
  </w:style>
  <w:style w:type="character" w:customStyle="1" w:styleId="44">
    <w:name w:val="页眉 字符"/>
    <w:basedOn w:val="21"/>
    <w:link w:val="13"/>
    <w:uiPriority w:val="99"/>
    <w:rPr>
      <w:sz w:val="18"/>
      <w:szCs w:val="18"/>
    </w:rPr>
  </w:style>
  <w:style w:type="character" w:customStyle="1" w:styleId="45">
    <w:name w:val="页脚 字符"/>
    <w:basedOn w:val="21"/>
    <w:link w:val="12"/>
    <w:uiPriority w:val="99"/>
    <w:rPr>
      <w:sz w:val="18"/>
      <w:szCs w:val="18"/>
    </w:rPr>
  </w:style>
  <w:style w:type="paragraph" w:customStyle="1" w:styleId="46">
    <w:name w:val="发-生物标题"/>
    <w:basedOn w:val="4"/>
    <w:link w:val="47"/>
    <w:qFormat/>
    <w:uiPriority w:val="0"/>
    <w:pPr>
      <w:spacing w:before="260" w:after="260" w:line="415" w:lineRule="auto"/>
      <w:jc w:val="center"/>
    </w:pPr>
    <w:rPr>
      <w:rFonts w:ascii="Times New Roman" w:hAnsi="Times New Roman" w:eastAsia="黑体" w:cs="Times New Roman"/>
      <w:b/>
      <w:bCs/>
    </w:rPr>
  </w:style>
  <w:style w:type="character" w:customStyle="1" w:styleId="47">
    <w:name w:val="发-生物标题 字符"/>
    <w:basedOn w:val="27"/>
    <w:link w:val="46"/>
    <w:uiPriority w:val="0"/>
    <w:rPr>
      <w:rFonts w:ascii="Times New Roman" w:hAnsi="Times New Roman" w:eastAsia="黑体" w:cs="Times New Roman"/>
      <w:b/>
      <w:bCs/>
      <w:color w:val="104862" w:themeColor="accent1" w:themeShade="BF"/>
      <w:sz w:val="32"/>
      <w:szCs w:val="32"/>
    </w:rPr>
  </w:style>
  <w:style w:type="paragraph" w:customStyle="1" w:styleId="48">
    <w:name w:val="发改委生物"/>
    <w:basedOn w:val="18"/>
    <w:link w:val="49"/>
    <w:qFormat/>
    <w:uiPriority w:val="0"/>
    <w:pPr>
      <w:widowControl/>
      <w:shd w:val="clear" w:color="auto" w:fill="FFFFFF"/>
      <w:spacing w:line="500" w:lineRule="exact"/>
      <w:ind w:firstLine="200" w:firstLineChars="200"/>
    </w:pPr>
    <w:rPr>
      <w:rFonts w:eastAsia="仿宋"/>
      <w:color w:val="222222"/>
      <w:spacing w:val="8"/>
      <w:kern w:val="0"/>
      <w:sz w:val="28"/>
      <w:szCs w:val="28"/>
    </w:rPr>
  </w:style>
  <w:style w:type="character" w:customStyle="1" w:styleId="49">
    <w:name w:val="发改委生物 字符"/>
    <w:basedOn w:val="21"/>
    <w:link w:val="48"/>
    <w:uiPriority w:val="0"/>
    <w:rPr>
      <w:rFonts w:ascii="Times New Roman" w:hAnsi="Times New Roman" w:eastAsia="仿宋" w:cs="Times New Roman"/>
      <w:color w:val="222222"/>
      <w:spacing w:val="8"/>
      <w:kern w:val="0"/>
      <w:sz w:val="28"/>
      <w:szCs w:val="28"/>
      <w:shd w:val="clear" w:color="auto" w:fill="FFFFFF"/>
    </w:rPr>
  </w:style>
  <w:style w:type="character" w:customStyle="1" w:styleId="50">
    <w:name w:val="脚注文本 字符"/>
    <w:basedOn w:val="21"/>
    <w:link w:val="16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2901</Words>
  <Characters>3367</Characters>
  <Lines>134</Lines>
  <Paragraphs>94</Paragraphs>
  <TotalTime>876</TotalTime>
  <ScaleCrop>false</ScaleCrop>
  <LinksUpToDate>false</LinksUpToDate>
  <CharactersWithSpaces>6174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2025-07-31T15:14:00Z</dcterms:created>
  <dc:creator>lixue zou</dc:creator>
  <cp:lastModifiedBy>W</cp:lastModifiedBy>
  <dcterms:modified xsi:type="dcterms:W3CDTF">2025-08-05T17:06:38Z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1EEFEE54F2881190A8C89168AD4F7BBD_42</vt:lpwstr>
  </property>
</Properties>
</file>