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B0E5E">
      <w:pPr>
        <w:keepNext w:val="0"/>
        <w:keepLines w:val="0"/>
        <w:pageBreakBefore w:val="0"/>
        <w:widowControl w:val="0"/>
        <w:kinsoku/>
        <w:wordWrap/>
        <w:overflowPunct/>
        <w:topLinePunct w:val="0"/>
        <w:autoSpaceDE/>
        <w:autoSpaceDN/>
        <w:bidi w:val="0"/>
        <w:adjustRightInd/>
        <w:snapToGrid/>
        <w:spacing w:line="240" w:lineRule="auto"/>
        <w:jc w:val="right"/>
        <w:textAlignment w:val="auto"/>
        <w:rPr>
          <w:rFonts w:hint="eastAsia" w:ascii="仿宋_GB2312" w:hAnsi="微软雅黑" w:eastAsia="仿宋_GB2312" w:cs="Times New Roman"/>
          <w:sz w:val="28"/>
          <w:szCs w:val="28"/>
        </w:rPr>
      </w:pPr>
      <w:r>
        <w:rPr>
          <w:rFonts w:hint="eastAsia" w:ascii="仿宋_GB2312" w:hAnsi="微软雅黑" w:eastAsia="仿宋_GB2312" w:cs="Times New Roman"/>
          <w:sz w:val="28"/>
          <w:szCs w:val="28"/>
        </w:rPr>
        <w:t>内部资料</w:t>
      </w:r>
    </w:p>
    <w:p w14:paraId="5AB31CB0">
      <w:pPr>
        <w:jc w:val="center"/>
        <w:rPr>
          <w:rFonts w:hint="eastAsia" w:ascii="微软雅黑" w:hAnsi="微软雅黑" w:eastAsia="微软雅黑" w:cs="Times New Roman"/>
          <w:b/>
          <w:bCs/>
          <w:color w:val="4472C4"/>
          <w:sz w:val="72"/>
          <w:szCs w:val="72"/>
        </w:rPr>
      </w:pPr>
      <w:r>
        <w:rPr>
          <w:rFonts w:hint="eastAsia" w:ascii="微软雅黑" w:hAnsi="微软雅黑" w:eastAsia="微软雅黑" w:cs="Times New Roman"/>
          <w:b/>
          <w:bCs/>
          <w:color w:val="4472C4"/>
          <w:sz w:val="72"/>
          <w:szCs w:val="72"/>
        </w:rPr>
        <w:t>创新药动向简报</w:t>
      </w:r>
    </w:p>
    <w:p w14:paraId="2460858C">
      <w:pPr>
        <w:spacing w:line="360" w:lineRule="auto"/>
        <w:jc w:val="center"/>
        <w:rPr>
          <w:rFonts w:ascii="Times New Roman" w:hAnsi="Times New Roman" w:eastAsia="微软雅黑" w:cs="Times New Roman"/>
          <w:sz w:val="36"/>
          <w:szCs w:val="36"/>
        </w:rPr>
      </w:pPr>
      <w:r>
        <w:rPr>
          <w:rFonts w:hint="eastAsia" w:ascii="Times New Roman" w:hAnsi="Times New Roman" w:eastAsia="微软雅黑" w:cs="Times New Roman"/>
          <w:sz w:val="36"/>
          <w:szCs w:val="36"/>
        </w:rPr>
        <w:t>（202</w:t>
      </w:r>
      <w:r>
        <w:rPr>
          <w:rFonts w:hint="eastAsia" w:ascii="Times New Roman" w:hAnsi="Times New Roman" w:eastAsia="微软雅黑" w:cs="Times New Roman"/>
          <w:sz w:val="36"/>
          <w:szCs w:val="36"/>
          <w:lang w:val="en-US" w:eastAsia="zh-CN"/>
        </w:rPr>
        <w:t>6</w:t>
      </w:r>
      <w:r>
        <w:rPr>
          <w:rFonts w:hint="eastAsia" w:ascii="Times New Roman" w:hAnsi="Times New Roman" w:eastAsia="微软雅黑" w:cs="Times New Roman"/>
          <w:sz w:val="36"/>
          <w:szCs w:val="36"/>
        </w:rPr>
        <w:t>年</w:t>
      </w:r>
      <w:r>
        <w:rPr>
          <w:rFonts w:hint="eastAsia" w:ascii="Times New Roman" w:hAnsi="Times New Roman" w:eastAsia="微软雅黑" w:cs="Times New Roman"/>
          <w:sz w:val="36"/>
          <w:szCs w:val="36"/>
          <w:lang w:val="en-US" w:eastAsia="zh-CN"/>
        </w:rPr>
        <w:t>2</w:t>
      </w:r>
      <w:r>
        <w:rPr>
          <w:rFonts w:hint="eastAsia" w:ascii="Times New Roman" w:hAnsi="Times New Roman" w:eastAsia="微软雅黑" w:cs="Times New Roman"/>
          <w:sz w:val="36"/>
          <w:szCs w:val="36"/>
        </w:rPr>
        <w:t>月）</w:t>
      </w:r>
    </w:p>
    <w:sdt>
      <w:sdtPr>
        <w:rPr>
          <w:rFonts w:ascii="Times New Roman" w:hAnsi="Times New Roman" w:eastAsia="宋体" w:cs="Times New Roman"/>
          <w:b/>
          <w:sz w:val="21"/>
          <w:szCs w:val="22"/>
          <w:lang w:val="zh-CN"/>
          <w14:ligatures w14:val="none"/>
        </w:rPr>
        <w:id w:val="365109053"/>
        <w:docPartObj>
          <w:docPartGallery w:val="Table of Contents"/>
          <w:docPartUnique/>
        </w:docPartObj>
      </w:sdtPr>
      <w:sdtEndPr>
        <w:rPr>
          <w:rFonts w:eastAsia="仿宋" w:cs="Times New Roman" w:asciiTheme="minorHAnsi" w:hAnsiTheme="minorHAnsi"/>
          <w:b/>
          <w:bCs/>
          <w:sz w:val="21"/>
          <w:szCs w:val="22"/>
          <w:lang w:val="zh-CN"/>
          <w14:ligatures w14:val="none"/>
        </w:rPr>
      </w:sdtEndPr>
      <w:sdtContent>
        <w:p w14:paraId="25F01E22">
          <w:pPr>
            <w:keepNext/>
            <w:keepLines/>
            <w:widowControl/>
            <w:spacing w:before="312" w:beforeLines="100" w:after="312" w:afterLines="100" w:line="600" w:lineRule="exact"/>
            <w:jc w:val="center"/>
            <w:rPr>
              <w:rFonts w:ascii="Times New Roman" w:hAnsi="Times New Roman" w:eastAsia="微软雅黑" w:cs="Times New Roman"/>
              <w:b/>
              <w:color w:val="4472C4"/>
              <w:kern w:val="0"/>
              <w:sz w:val="40"/>
              <w:szCs w:val="40"/>
            </w:rPr>
          </w:pPr>
          <w:r>
            <w:rPr>
              <w:rFonts w:ascii="等线 Light" w:hAnsi="等线 Light" w:eastAsia="黑体" w:cs="Times New Roman"/>
              <w:color w:val="4472C4"/>
              <w:kern w:val="0"/>
              <w:sz w:val="28"/>
              <w:szCs w:val="3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3810</wp:posOffset>
                    </wp:positionV>
                    <wp:extent cx="5273675" cy="0"/>
                    <wp:effectExtent l="0" t="12700" r="9525" b="12700"/>
                    <wp:wrapNone/>
                    <wp:docPr id="1408378867" name="直接连接符 13"/>
                    <wp:cNvGraphicFramePr/>
                    <a:graphic xmlns:a="http://schemas.openxmlformats.org/drawingml/2006/main">
                      <a:graphicData uri="http://schemas.microsoft.com/office/word/2010/wordprocessingShape">
                        <wps:wsp>
                          <wps:cNvCnPr/>
                          <wps:spPr>
                            <a:xfrm>
                              <a:off x="0" y="0"/>
                              <a:ext cx="5273675" cy="0"/>
                            </a:xfrm>
                            <a:prstGeom prst="line">
                              <a:avLst/>
                            </a:prstGeom>
                            <a:noFill/>
                            <a:ln w="25400" cap="flat" cmpd="sng" algn="ctr">
                              <a:solidFill>
                                <a:srgbClr val="4472C4"/>
                              </a:solidFill>
                              <a:prstDash val="solid"/>
                              <a:miter lim="800000"/>
                            </a:ln>
                            <a:effectLst/>
                          </wps:spPr>
                          <wps:bodyPr/>
                        </wps:wsp>
                      </a:graphicData>
                    </a:graphic>
                  </wp:anchor>
                </w:drawing>
              </mc:Choice>
              <mc:Fallback>
                <w:pict>
                  <v:line id="直接连接符 13" o:spid="_x0000_s1026" o:spt="20" style="position:absolute;left:0pt;margin-top:0.3pt;height:0pt;width:415.25pt;mso-position-horizontal:right;mso-position-horizontal-relative:margin;z-index:251660288;mso-width-relative:page;mso-height-relative:page;" filled="f" stroked="t" coordsize="21600,21600" o:gfxdata="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U3UYnRAAAAAgEAAA8AAAAAAAAAAQAgAAAAIgAAAGRycy9kb3ducmV2LnhtbFBLAQIUABQA&#10;AAAIAIdO4kDRV4Kw9wEAAMoDAAAOAAAAAAAAAAEAIAAAACABAABkcnMvZTJvRG9jLnhtbFBLBQYA&#10;AAAABgAGAFkBAACJBQAAAAA=&#10;">
                    <v:fill on="f" focussize="0,0"/>
                    <v:stroke weight="2pt" color="#4472C4" miterlimit="8" joinstyle="miter"/>
                    <v:imagedata o:title=""/>
                    <o:lock v:ext="edit" aspectratio="f"/>
                  </v:line>
                </w:pict>
              </mc:Fallback>
            </mc:AlternateContent>
          </w:r>
          <w:r>
            <w:rPr>
              <w:rFonts w:ascii="Times New Roman" w:hAnsi="Times New Roman" w:eastAsia="微软雅黑" w:cs="Times New Roman"/>
              <w:b/>
              <w:color w:val="4472C4"/>
              <w:kern w:val="0"/>
              <w:sz w:val="40"/>
              <w:szCs w:val="40"/>
              <w:lang w:val="zh-CN"/>
            </w:rPr>
            <w:t>目  录</w:t>
          </w:r>
        </w:p>
        <w:p w14:paraId="1487D742">
          <w:pPr>
            <w:pStyle w:val="11"/>
            <w:tabs>
              <w:tab w:val="right" w:leader="dot" w:pos="8306"/>
            </w:tabs>
            <w:rPr>
              <w:rStyle w:val="18"/>
              <w:rFonts w:hint="eastAsia" w:ascii="Times New Roman" w:hAnsi="Times New Roman" w:eastAsia="黑体" w:cs="Times New Roman"/>
              <w:color w:val="auto"/>
              <w:kern w:val="2"/>
              <w:sz w:val="32"/>
              <w:szCs w:val="28"/>
              <w:lang w:val="en-US" w:eastAsia="zh-CN" w:bidi="ar-SA"/>
            </w:rPr>
          </w:pPr>
          <w:r>
            <w:rPr>
              <w:rStyle w:val="18"/>
              <w:rFonts w:ascii="Times New Roman" w:hAnsi="Times New Roman" w:eastAsia="仿宋"/>
            </w:rPr>
            <w:fldChar w:fldCharType="begin"/>
          </w:r>
          <w:r>
            <w:rPr>
              <w:rStyle w:val="18"/>
              <w:rFonts w:ascii="Times New Roman" w:hAnsi="Times New Roman" w:eastAsia="仿宋"/>
            </w:rPr>
            <w:instrText xml:space="preserve"> TOC \o "1-3" \h \z \u </w:instrText>
          </w:r>
          <w:r>
            <w:rPr>
              <w:rStyle w:val="18"/>
              <w:rFonts w:ascii="Times New Roman" w:hAnsi="Times New Roman" w:eastAsia="仿宋"/>
            </w:rPr>
            <w:fldChar w:fldCharType="separate"/>
          </w:r>
          <w:r>
            <w:rPr>
              <w:rStyle w:val="18"/>
              <w:rFonts w:hint="eastAsia" w:ascii="Times New Roman" w:hAnsi="Times New Roman" w:eastAsia="黑体" w:cs="Times New Roman"/>
              <w:color w:val="auto"/>
              <w:kern w:val="2"/>
              <w:sz w:val="32"/>
              <w:szCs w:val="28"/>
              <w:lang w:val="en-US" w:eastAsia="zh-CN" w:bidi="ar-SA"/>
            </w:rPr>
            <w:fldChar w:fldCharType="begin"/>
          </w:r>
          <w:r>
            <w:rPr>
              <w:rStyle w:val="18"/>
              <w:rFonts w:hint="eastAsia" w:ascii="Times New Roman" w:hAnsi="Times New Roman" w:eastAsia="黑体" w:cs="Times New Roman"/>
              <w:color w:val="auto"/>
              <w:kern w:val="2"/>
              <w:sz w:val="32"/>
              <w:szCs w:val="28"/>
              <w:lang w:val="en-US" w:eastAsia="zh-CN" w:bidi="ar-SA"/>
            </w:rPr>
            <w:instrText xml:space="preserve"> HYPERLINK \l _Toc668208123 </w:instrText>
          </w:r>
          <w:r>
            <w:rPr>
              <w:rStyle w:val="18"/>
              <w:rFonts w:hint="eastAsia" w:ascii="Times New Roman" w:hAnsi="Times New Roman" w:eastAsia="黑体" w:cs="Times New Roman"/>
              <w:color w:val="auto"/>
              <w:kern w:val="2"/>
              <w:sz w:val="32"/>
              <w:szCs w:val="28"/>
              <w:lang w:val="en-US" w:eastAsia="zh-CN" w:bidi="ar-SA"/>
            </w:rPr>
            <w:fldChar w:fldCharType="separate"/>
          </w:r>
          <w:r>
            <w:rPr>
              <w:rStyle w:val="18"/>
              <w:rFonts w:hint="eastAsia" w:ascii="Times New Roman" w:hAnsi="Times New Roman" w:eastAsia="黑体" w:cs="Times New Roman"/>
              <w:color w:val="auto"/>
              <w:kern w:val="2"/>
              <w:sz w:val="32"/>
              <w:szCs w:val="28"/>
              <w:lang w:val="en-US" w:eastAsia="zh-CN" w:bidi="ar-SA"/>
            </w:rPr>
            <w:t>技术动向</w:t>
          </w:r>
          <w:r>
            <w:rPr>
              <w:rStyle w:val="18"/>
              <w:rFonts w:hint="eastAsia" w:ascii="Times New Roman" w:hAnsi="Times New Roman" w:eastAsia="黑体" w:cs="Times New Roman"/>
              <w:color w:val="auto"/>
              <w:kern w:val="2"/>
              <w:sz w:val="32"/>
              <w:szCs w:val="28"/>
              <w:lang w:val="en-US" w:eastAsia="zh-CN" w:bidi="ar-SA"/>
            </w:rPr>
            <w:fldChar w:fldCharType="end"/>
          </w:r>
        </w:p>
        <w:p w14:paraId="5A85A6E7">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_Toc1381933098 </w:instrText>
          </w:r>
          <w:r>
            <w:rPr>
              <w:rFonts w:ascii="Times New Roman" w:hAnsi="Times New Roman" w:eastAsia="仿宋"/>
            </w:rPr>
            <w:fldChar w:fldCharType="separate"/>
          </w:r>
          <w:r>
            <w:rPr>
              <w:rFonts w:hint="eastAsia"/>
              <w:kern w:val="2"/>
              <w:lang w:val="en-US" w:eastAsia="zh-CN" w:bidi="ar-SA"/>
            </w:rPr>
            <w:t>早期给药时间点的免疫化疗显著改善非小细胞肺癌患者预后</w:t>
          </w:r>
          <w:r>
            <w:tab/>
          </w:r>
          <w:r>
            <w:fldChar w:fldCharType="begin"/>
          </w:r>
          <w:r>
            <w:instrText xml:space="preserve"> PAGEREF _Toc1381933098 \h </w:instrText>
          </w:r>
          <w:r>
            <w:fldChar w:fldCharType="separate"/>
          </w:r>
          <w:r>
            <w:t>1</w:t>
          </w:r>
          <w:r>
            <w:fldChar w:fldCharType="end"/>
          </w:r>
          <w:r>
            <w:rPr>
              <w:rFonts w:ascii="Times New Roman" w:hAnsi="Times New Roman" w:eastAsia="仿宋"/>
            </w:rPr>
            <w:fldChar w:fldCharType="end"/>
          </w:r>
        </w:p>
        <w:p w14:paraId="75F84DD0">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_Toc1113935781 </w:instrText>
          </w:r>
          <w:r>
            <w:rPr>
              <w:rFonts w:ascii="Times New Roman" w:hAnsi="Times New Roman" w:eastAsia="仿宋"/>
            </w:rPr>
            <w:fldChar w:fldCharType="separate"/>
          </w:r>
          <w:r>
            <w:rPr>
              <w:rFonts w:hint="eastAsia"/>
              <w:kern w:val="2"/>
              <w:lang w:val="en-US" w:eastAsia="zh-CN" w:bidi="ar-SA"/>
            </w:rPr>
            <w:t>CD19 CAR-T细胞疗法治疗儿童难治性自身免疫疾病取得积极结果</w:t>
          </w:r>
          <w:r>
            <w:tab/>
          </w:r>
          <w:r>
            <w:fldChar w:fldCharType="begin"/>
          </w:r>
          <w:r>
            <w:instrText xml:space="preserve"> PAGEREF _Toc1113935781 \h </w:instrText>
          </w:r>
          <w:r>
            <w:fldChar w:fldCharType="separate"/>
          </w:r>
          <w:r>
            <w:t>1</w:t>
          </w:r>
          <w:r>
            <w:fldChar w:fldCharType="end"/>
          </w:r>
          <w:r>
            <w:rPr>
              <w:rFonts w:ascii="Times New Roman" w:hAnsi="Times New Roman" w:eastAsia="仿宋"/>
            </w:rPr>
            <w:fldChar w:fldCharType="end"/>
          </w:r>
        </w:p>
        <w:p w14:paraId="7B1C2156">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_Toc156236721 </w:instrText>
          </w:r>
          <w:r>
            <w:rPr>
              <w:rFonts w:ascii="Times New Roman" w:hAnsi="Times New Roman" w:eastAsia="仿宋"/>
            </w:rPr>
            <w:fldChar w:fldCharType="separate"/>
          </w:r>
          <w:r>
            <w:rPr>
              <w:rFonts w:hint="eastAsia"/>
              <w:kern w:val="2"/>
              <w:lang w:val="en-US" w:eastAsia="zh-CN" w:bidi="ar-SA"/>
            </w:rPr>
            <w:t>辉瑞超长效GLP-1受体激动剂月剂型在2b期试验中展现持续减重效果</w:t>
          </w:r>
          <w:r>
            <w:tab/>
          </w:r>
          <w:r>
            <w:fldChar w:fldCharType="begin"/>
          </w:r>
          <w:r>
            <w:instrText xml:space="preserve"> PAGEREF _Toc156236721 \h </w:instrText>
          </w:r>
          <w:r>
            <w:fldChar w:fldCharType="separate"/>
          </w:r>
          <w:r>
            <w:t>2</w:t>
          </w:r>
          <w:r>
            <w:fldChar w:fldCharType="end"/>
          </w:r>
          <w:r>
            <w:rPr>
              <w:rFonts w:ascii="Times New Roman" w:hAnsi="Times New Roman" w:eastAsia="仿宋"/>
            </w:rPr>
            <w:fldChar w:fldCharType="end"/>
          </w:r>
        </w:p>
        <w:p w14:paraId="0366A84B">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_Toc1645553213 </w:instrText>
          </w:r>
          <w:r>
            <w:rPr>
              <w:rFonts w:ascii="Times New Roman" w:hAnsi="Times New Roman" w:eastAsia="仿宋"/>
            </w:rPr>
            <w:fldChar w:fldCharType="separate"/>
          </w:r>
          <w:r>
            <w:rPr>
              <w:rFonts w:hint="eastAsia"/>
              <w:kern w:val="2"/>
              <w:lang w:val="en-US" w:eastAsia="zh-CN" w:bidi="ar-SA"/>
            </w:rPr>
            <w:t>脂质纳米颗粒介导体内泛CAR免疫细胞生成，为实体瘤提供现货型细胞疗法新平台</w:t>
          </w:r>
          <w:r>
            <w:tab/>
          </w:r>
          <w:r>
            <w:fldChar w:fldCharType="begin"/>
          </w:r>
          <w:r>
            <w:instrText xml:space="preserve"> PAGEREF _Toc1645553213 \h </w:instrText>
          </w:r>
          <w:r>
            <w:fldChar w:fldCharType="separate"/>
          </w:r>
          <w:r>
            <w:t>2</w:t>
          </w:r>
          <w:r>
            <w:fldChar w:fldCharType="end"/>
          </w:r>
          <w:r>
            <w:rPr>
              <w:rFonts w:ascii="Times New Roman" w:hAnsi="Times New Roman" w:eastAsia="仿宋"/>
            </w:rPr>
            <w:fldChar w:fldCharType="end"/>
          </w:r>
        </w:p>
        <w:p w14:paraId="4BE69B4D">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_Toc1518444825 </w:instrText>
          </w:r>
          <w:r>
            <w:rPr>
              <w:rFonts w:ascii="Times New Roman" w:hAnsi="Times New Roman" w:eastAsia="仿宋"/>
            </w:rPr>
            <w:fldChar w:fldCharType="separate"/>
          </w:r>
          <w:r>
            <w:rPr>
              <w:rFonts w:hint="eastAsia"/>
              <w:kern w:val="2"/>
              <w:lang w:val="en-US" w:eastAsia="zh-CN" w:bidi="ar-SA"/>
            </w:rPr>
            <w:t>工程化巨核细胞静脉注射体内产生溶瘤血小板，增强癌症免疫治疗效果</w:t>
          </w:r>
          <w:r>
            <w:tab/>
          </w:r>
          <w:r>
            <w:fldChar w:fldCharType="begin"/>
          </w:r>
          <w:r>
            <w:instrText xml:space="preserve"> PAGEREF _Toc1518444825 \h </w:instrText>
          </w:r>
          <w:r>
            <w:fldChar w:fldCharType="separate"/>
          </w:r>
          <w:r>
            <w:t>3</w:t>
          </w:r>
          <w:r>
            <w:fldChar w:fldCharType="end"/>
          </w:r>
          <w:r>
            <w:rPr>
              <w:rFonts w:ascii="Times New Roman" w:hAnsi="Times New Roman" w:eastAsia="仿宋"/>
            </w:rPr>
            <w:fldChar w:fldCharType="end"/>
          </w:r>
        </w:p>
        <w:p w14:paraId="2D2F4395">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_Toc1953996474 </w:instrText>
          </w:r>
          <w:r>
            <w:rPr>
              <w:rFonts w:ascii="Times New Roman" w:hAnsi="Times New Roman" w:eastAsia="仿宋"/>
            </w:rPr>
            <w:fldChar w:fldCharType="separate"/>
          </w:r>
          <w:r>
            <w:rPr>
              <w:rFonts w:hint="eastAsia"/>
              <w:kern w:val="2"/>
              <w:lang w:val="en-US" w:eastAsia="zh-CN" w:bidi="ar-SA"/>
            </w:rPr>
            <w:t>靶向TFAP2β相分离凝聚体策略有望抑制食管鳞状细胞癌进展</w:t>
          </w:r>
          <w:r>
            <w:tab/>
          </w:r>
          <w:r>
            <w:fldChar w:fldCharType="begin"/>
          </w:r>
          <w:r>
            <w:instrText xml:space="preserve"> PAGEREF _Toc1953996474 \h </w:instrText>
          </w:r>
          <w:r>
            <w:fldChar w:fldCharType="separate"/>
          </w:r>
          <w:r>
            <w:t>3</w:t>
          </w:r>
          <w:r>
            <w:fldChar w:fldCharType="end"/>
          </w:r>
          <w:r>
            <w:rPr>
              <w:rFonts w:ascii="Times New Roman" w:hAnsi="Times New Roman" w:eastAsia="仿宋"/>
            </w:rPr>
            <w:fldChar w:fldCharType="end"/>
          </w:r>
        </w:p>
        <w:p w14:paraId="320D5FCF">
          <w:pPr>
            <w:pStyle w:val="11"/>
            <w:tabs>
              <w:tab w:val="right" w:leader="dot" w:pos="8306"/>
            </w:tabs>
            <w:rPr>
              <w:rStyle w:val="18"/>
              <w:rFonts w:hint="eastAsia" w:ascii="Times New Roman" w:hAnsi="Times New Roman" w:eastAsia="黑体" w:cs="Times New Roman"/>
              <w:color w:val="auto"/>
              <w:kern w:val="2"/>
              <w:sz w:val="32"/>
              <w:szCs w:val="28"/>
              <w:lang w:val="en-US" w:eastAsia="zh-CN" w:bidi="ar-SA"/>
            </w:rPr>
          </w:pPr>
          <w:r>
            <w:rPr>
              <w:rStyle w:val="18"/>
              <w:rFonts w:hint="eastAsia" w:ascii="Times New Roman" w:hAnsi="Times New Roman" w:eastAsia="黑体" w:cs="Times New Roman"/>
              <w:color w:val="auto"/>
              <w:kern w:val="2"/>
              <w:sz w:val="32"/>
              <w:szCs w:val="28"/>
              <w:lang w:val="en-US" w:eastAsia="zh-CN" w:bidi="ar-SA"/>
            </w:rPr>
            <w:fldChar w:fldCharType="begin"/>
          </w:r>
          <w:r>
            <w:rPr>
              <w:rStyle w:val="18"/>
              <w:rFonts w:hint="eastAsia" w:ascii="Times New Roman" w:hAnsi="Times New Roman" w:eastAsia="黑体" w:cs="Times New Roman"/>
              <w:color w:val="auto"/>
              <w:kern w:val="2"/>
              <w:sz w:val="32"/>
              <w:szCs w:val="28"/>
              <w:lang w:val="en-US" w:eastAsia="zh-CN" w:bidi="ar-SA"/>
            </w:rPr>
            <w:instrText xml:space="preserve"> HYPERLINK \l _Toc1498808594 </w:instrText>
          </w:r>
          <w:r>
            <w:rPr>
              <w:rStyle w:val="18"/>
              <w:rFonts w:hint="eastAsia" w:ascii="Times New Roman" w:hAnsi="Times New Roman" w:eastAsia="黑体" w:cs="Times New Roman"/>
              <w:color w:val="auto"/>
              <w:kern w:val="2"/>
              <w:sz w:val="32"/>
              <w:szCs w:val="28"/>
              <w:lang w:val="en-US" w:eastAsia="zh-CN" w:bidi="ar-SA"/>
            </w:rPr>
            <w:fldChar w:fldCharType="separate"/>
          </w:r>
          <w:r>
            <w:rPr>
              <w:rStyle w:val="18"/>
              <w:rFonts w:hint="eastAsia" w:ascii="Times New Roman" w:hAnsi="Times New Roman" w:eastAsia="黑体" w:cs="Times New Roman"/>
              <w:color w:val="auto"/>
              <w:kern w:val="2"/>
              <w:sz w:val="32"/>
              <w:szCs w:val="28"/>
              <w:lang w:val="en-US" w:eastAsia="zh-CN" w:bidi="ar-SA"/>
            </w:rPr>
            <w:t>产品动态</w:t>
          </w:r>
          <w:r>
            <w:rPr>
              <w:rStyle w:val="18"/>
              <w:rFonts w:hint="eastAsia" w:ascii="Times New Roman" w:hAnsi="Times New Roman" w:eastAsia="黑体" w:cs="Times New Roman"/>
              <w:color w:val="auto"/>
              <w:kern w:val="2"/>
              <w:sz w:val="32"/>
              <w:szCs w:val="28"/>
              <w:lang w:val="en-US" w:eastAsia="zh-CN" w:bidi="ar-SA"/>
            </w:rPr>
            <w:fldChar w:fldCharType="end"/>
          </w:r>
        </w:p>
        <w:p w14:paraId="4000B087">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_Toc492860048 </w:instrText>
          </w:r>
          <w:r>
            <w:rPr>
              <w:rFonts w:ascii="Times New Roman" w:hAnsi="Times New Roman" w:eastAsia="仿宋"/>
            </w:rPr>
            <w:fldChar w:fldCharType="separate"/>
          </w:r>
          <w:r>
            <w:rPr>
              <w:rFonts w:hint="eastAsia"/>
              <w:kern w:val="2"/>
              <w:lang w:val="en-US" w:eastAsia="zh-CN" w:bidi="ar-SA"/>
            </w:rPr>
            <w:t>FDA授予阿斯利康Datroway优先审评资格，用于不适合免疫治疗的转移性三阴性乳腺癌一线治疗</w:t>
          </w:r>
          <w:r>
            <w:tab/>
          </w:r>
          <w:r>
            <w:fldChar w:fldCharType="begin"/>
          </w:r>
          <w:r>
            <w:instrText xml:space="preserve"> PAGEREF _Toc492860048 \h </w:instrText>
          </w:r>
          <w:r>
            <w:fldChar w:fldCharType="separate"/>
          </w:r>
          <w:r>
            <w:t>4</w:t>
          </w:r>
          <w:r>
            <w:fldChar w:fldCharType="end"/>
          </w:r>
          <w:r>
            <w:rPr>
              <w:rFonts w:ascii="Times New Roman" w:hAnsi="Times New Roman" w:eastAsia="仿宋"/>
            </w:rPr>
            <w:fldChar w:fldCharType="end"/>
          </w:r>
        </w:p>
        <w:p w14:paraId="4AE6967F">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_Toc654400257 </w:instrText>
          </w:r>
          <w:r>
            <w:rPr>
              <w:rFonts w:ascii="Times New Roman" w:hAnsi="Times New Roman" w:eastAsia="仿宋"/>
            </w:rPr>
            <w:fldChar w:fldCharType="separate"/>
          </w:r>
          <w:r>
            <w:rPr>
              <w:rFonts w:hint="eastAsia"/>
              <w:kern w:val="2"/>
              <w:lang w:val="en-US" w:eastAsia="zh-CN" w:bidi="ar-SA"/>
            </w:rPr>
            <w:t>美国FDA批准阿斯利康Calquence联合venetoclax，成为首个全口服固定疗程慢性淋巴细胞白血病一线方案</w:t>
          </w:r>
          <w:r>
            <w:tab/>
          </w:r>
          <w:r>
            <w:fldChar w:fldCharType="begin"/>
          </w:r>
          <w:r>
            <w:instrText xml:space="preserve"> PAGEREF _Toc654400257 \h </w:instrText>
          </w:r>
          <w:r>
            <w:fldChar w:fldCharType="separate"/>
          </w:r>
          <w:r>
            <w:t>4</w:t>
          </w:r>
          <w:r>
            <w:fldChar w:fldCharType="end"/>
          </w:r>
          <w:r>
            <w:rPr>
              <w:rFonts w:ascii="Times New Roman" w:hAnsi="Times New Roman" w:eastAsia="仿宋"/>
            </w:rPr>
            <w:fldChar w:fldCharType="end"/>
          </w:r>
        </w:p>
        <w:p w14:paraId="6EC21287">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_Toc1241363112 </w:instrText>
          </w:r>
          <w:r>
            <w:rPr>
              <w:rFonts w:ascii="Times New Roman" w:hAnsi="Times New Roman" w:eastAsia="仿宋"/>
            </w:rPr>
            <w:fldChar w:fldCharType="separate"/>
          </w:r>
          <w:r>
            <w:rPr>
              <w:rFonts w:hint="eastAsia"/>
              <w:kern w:val="2"/>
              <w:lang w:val="en-US" w:eastAsia="zh-CN" w:bidi="ar-SA"/>
            </w:rPr>
            <w:t>赛诺菲venglustat在神经病变型戈谢病3型3期临床试验中达到主要终点</w:t>
          </w:r>
          <w:r>
            <w:tab/>
          </w:r>
          <w:r>
            <w:fldChar w:fldCharType="begin"/>
          </w:r>
          <w:r>
            <w:instrText xml:space="preserve"> PAGEREF _Toc1241363112 \h </w:instrText>
          </w:r>
          <w:r>
            <w:fldChar w:fldCharType="separate"/>
          </w:r>
          <w:r>
            <w:t>5</w:t>
          </w:r>
          <w:r>
            <w:fldChar w:fldCharType="end"/>
          </w:r>
          <w:r>
            <w:rPr>
              <w:rFonts w:ascii="Times New Roman" w:hAnsi="Times New Roman" w:eastAsia="仿宋"/>
            </w:rPr>
            <w:fldChar w:fldCharType="end"/>
          </w:r>
        </w:p>
        <w:p w14:paraId="23E2DA6C">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_Toc786192779 </w:instrText>
          </w:r>
          <w:r>
            <w:rPr>
              <w:rFonts w:ascii="Times New Roman" w:hAnsi="Times New Roman" w:eastAsia="仿宋"/>
            </w:rPr>
            <w:fldChar w:fldCharType="separate"/>
          </w:r>
          <w:r>
            <w:rPr>
              <w:rFonts w:hint="eastAsia"/>
              <w:kern w:val="2"/>
              <w:lang w:val="en-US" w:eastAsia="zh-CN" w:bidi="ar-SA"/>
            </w:rPr>
            <w:t>美国FDA授予赛诺菲rilzabrutinib突破性疗法认定，用于治疗温型自身免疫溶血性贫血</w:t>
          </w:r>
          <w:r>
            <w:tab/>
          </w:r>
          <w:r>
            <w:fldChar w:fldCharType="begin"/>
          </w:r>
          <w:r>
            <w:instrText xml:space="preserve"> PAGEREF _Toc786192779 \h </w:instrText>
          </w:r>
          <w:r>
            <w:fldChar w:fldCharType="separate"/>
          </w:r>
          <w:r>
            <w:t>5</w:t>
          </w:r>
          <w:r>
            <w:fldChar w:fldCharType="end"/>
          </w:r>
          <w:r>
            <w:rPr>
              <w:rFonts w:ascii="Times New Roman" w:hAnsi="Times New Roman" w:eastAsia="仿宋"/>
            </w:rPr>
            <w:fldChar w:fldCharType="end"/>
          </w:r>
        </w:p>
        <w:p w14:paraId="33BD07D1">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_Toc75156662 </w:instrText>
          </w:r>
          <w:r>
            <w:rPr>
              <w:rFonts w:ascii="Times New Roman" w:hAnsi="Times New Roman" w:eastAsia="仿宋"/>
            </w:rPr>
            <w:fldChar w:fldCharType="separate"/>
          </w:r>
          <w:r>
            <w:rPr>
              <w:rFonts w:hint="eastAsia"/>
              <w:kern w:val="2"/>
              <w:lang w:val="en-US" w:eastAsia="zh-CN" w:bidi="ar-SA"/>
            </w:rPr>
            <w:t>美国FDA批准Dupixent用于治疗过敏性真菌性鼻窦炎，成为该适应症首个获批疗法</w:t>
          </w:r>
          <w:r>
            <w:tab/>
          </w:r>
          <w:r>
            <w:fldChar w:fldCharType="begin"/>
          </w:r>
          <w:r>
            <w:instrText xml:space="preserve"> PAGEREF _Toc75156662 \h </w:instrText>
          </w:r>
          <w:r>
            <w:fldChar w:fldCharType="separate"/>
          </w:r>
          <w:r>
            <w:t>6</w:t>
          </w:r>
          <w:r>
            <w:fldChar w:fldCharType="end"/>
          </w:r>
          <w:r>
            <w:rPr>
              <w:rFonts w:ascii="Times New Roman" w:hAnsi="Times New Roman" w:eastAsia="仿宋"/>
            </w:rPr>
            <w:fldChar w:fldCharType="end"/>
          </w:r>
        </w:p>
        <w:p w14:paraId="0348C794">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_Toc437633798 </w:instrText>
          </w:r>
          <w:r>
            <w:rPr>
              <w:rFonts w:ascii="Times New Roman" w:hAnsi="Times New Roman" w:eastAsia="仿宋"/>
            </w:rPr>
            <w:fldChar w:fldCharType="separate"/>
          </w:r>
          <w:r>
            <w:rPr>
              <w:rFonts w:hint="eastAsia"/>
              <w:kern w:val="2"/>
              <w:lang w:val="en-US" w:eastAsia="zh-CN" w:bidi="ar-SA"/>
            </w:rPr>
            <w:t>欧盟人用药品委员会就acoziborole给出积极意见，有望成为首个单剂口服冈比亚昏睡病治疗药物</w:t>
          </w:r>
          <w:r>
            <w:tab/>
          </w:r>
          <w:r>
            <w:fldChar w:fldCharType="begin"/>
          </w:r>
          <w:r>
            <w:instrText xml:space="preserve"> PAGEREF _Toc437633798 \h </w:instrText>
          </w:r>
          <w:r>
            <w:fldChar w:fldCharType="separate"/>
          </w:r>
          <w:r>
            <w:t>6</w:t>
          </w:r>
          <w:r>
            <w:fldChar w:fldCharType="end"/>
          </w:r>
          <w:r>
            <w:rPr>
              <w:rFonts w:ascii="Times New Roman" w:hAnsi="Times New Roman" w:eastAsia="仿宋"/>
            </w:rPr>
            <w:fldChar w:fldCharType="end"/>
          </w:r>
        </w:p>
        <w:p w14:paraId="20F283B9">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_Toc179752011 </w:instrText>
          </w:r>
          <w:r>
            <w:rPr>
              <w:rFonts w:ascii="Times New Roman" w:hAnsi="Times New Roman" w:eastAsia="仿宋"/>
            </w:rPr>
            <w:fldChar w:fldCharType="separate"/>
          </w:r>
          <w:r>
            <w:rPr>
              <w:rFonts w:hint="eastAsia"/>
              <w:kern w:val="2"/>
              <w:lang w:val="en-US" w:eastAsia="zh-CN" w:bidi="ar-SA"/>
            </w:rPr>
            <w:t>诺和诺德CagriSema在REIMAGINE 2 3期试验中同时实现优越减重与血糖控制</w:t>
          </w:r>
          <w:r>
            <w:tab/>
          </w:r>
          <w:r>
            <w:fldChar w:fldCharType="begin"/>
          </w:r>
          <w:r>
            <w:instrText xml:space="preserve"> PAGEREF _Toc179752011 \h </w:instrText>
          </w:r>
          <w:r>
            <w:fldChar w:fldCharType="separate"/>
          </w:r>
          <w:r>
            <w:t>7</w:t>
          </w:r>
          <w:r>
            <w:fldChar w:fldCharType="end"/>
          </w:r>
          <w:r>
            <w:rPr>
              <w:rFonts w:ascii="Times New Roman" w:hAnsi="Times New Roman" w:eastAsia="仿宋"/>
            </w:rPr>
            <w:fldChar w:fldCharType="end"/>
          </w:r>
        </w:p>
        <w:p w14:paraId="076602E5">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_Toc1730041195 </w:instrText>
          </w:r>
          <w:r>
            <w:rPr>
              <w:rFonts w:ascii="Times New Roman" w:hAnsi="Times New Roman" w:eastAsia="仿宋"/>
            </w:rPr>
            <w:fldChar w:fldCharType="separate"/>
          </w:r>
          <w:r>
            <w:rPr>
              <w:rFonts w:hint="eastAsia"/>
              <w:kern w:val="2"/>
              <w:lang w:val="en-US" w:eastAsia="zh-CN" w:bidi="ar-SA"/>
            </w:rPr>
            <w:t>礼来口服GLP-1受体激动剂orforglipron在头对头3期试验中优于口服司美格鲁肽</w:t>
          </w:r>
          <w:r>
            <w:tab/>
          </w:r>
          <w:r>
            <w:fldChar w:fldCharType="begin"/>
          </w:r>
          <w:r>
            <w:instrText xml:space="preserve"> PAGEREF _Toc1730041195 \h </w:instrText>
          </w:r>
          <w:r>
            <w:fldChar w:fldCharType="separate"/>
          </w:r>
          <w:r>
            <w:t>7</w:t>
          </w:r>
          <w:r>
            <w:fldChar w:fldCharType="end"/>
          </w:r>
          <w:r>
            <w:rPr>
              <w:rFonts w:ascii="Times New Roman" w:hAnsi="Times New Roman" w:eastAsia="仿宋"/>
            </w:rPr>
            <w:fldChar w:fldCharType="end"/>
          </w:r>
        </w:p>
        <w:p w14:paraId="736EE3BE">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_Toc2021267632 </w:instrText>
          </w:r>
          <w:r>
            <w:rPr>
              <w:rFonts w:ascii="Times New Roman" w:hAnsi="Times New Roman" w:eastAsia="仿宋"/>
            </w:rPr>
            <w:fldChar w:fldCharType="separate"/>
          </w:r>
          <w:r>
            <w:rPr>
              <w:rFonts w:hint="eastAsia"/>
              <w:kern w:val="2"/>
              <w:lang w:val="en-US" w:eastAsia="zh-CN" w:bidi="ar-SA"/>
            </w:rPr>
            <w:t>PADCEV联合Keytruda在3期围手术期试验中使顺铂适用肌层浸润性膀胱癌患者疾病复发或死亡风险降低47%</w:t>
          </w:r>
          <w:r>
            <w:tab/>
          </w:r>
          <w:r>
            <w:fldChar w:fldCharType="begin"/>
          </w:r>
          <w:r>
            <w:instrText xml:space="preserve"> PAGEREF _Toc2021267632 \h </w:instrText>
          </w:r>
          <w:r>
            <w:fldChar w:fldCharType="separate"/>
          </w:r>
          <w:r>
            <w:t>8</w:t>
          </w:r>
          <w:r>
            <w:fldChar w:fldCharType="end"/>
          </w:r>
          <w:r>
            <w:rPr>
              <w:rFonts w:ascii="Times New Roman" w:hAnsi="Times New Roman" w:eastAsia="仿宋"/>
            </w:rPr>
            <w:fldChar w:fldCharType="end"/>
          </w:r>
        </w:p>
        <w:p w14:paraId="49ABDB17">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_Toc401279131 </w:instrText>
          </w:r>
          <w:r>
            <w:rPr>
              <w:rFonts w:ascii="Times New Roman" w:hAnsi="Times New Roman" w:eastAsia="仿宋"/>
            </w:rPr>
            <w:fldChar w:fldCharType="separate"/>
          </w:r>
          <w:r>
            <w:rPr>
              <w:rFonts w:hint="eastAsia"/>
              <w:kern w:val="2"/>
              <w:lang w:val="en-US" w:eastAsia="zh-CN" w:bidi="ar-SA"/>
            </w:rPr>
            <w:t>美国FDA全面批准辉瑞BRAFTOVI联合方案，用于BRAF V600E突变转移性结直肠癌一线治疗</w:t>
          </w:r>
          <w:r>
            <w:tab/>
          </w:r>
          <w:r>
            <w:fldChar w:fldCharType="begin"/>
          </w:r>
          <w:r>
            <w:instrText xml:space="preserve"> PAGEREF _Toc401279131 \h </w:instrText>
          </w:r>
          <w:r>
            <w:fldChar w:fldCharType="separate"/>
          </w:r>
          <w:r>
            <w:t>8</w:t>
          </w:r>
          <w:r>
            <w:fldChar w:fldCharType="end"/>
          </w:r>
          <w:r>
            <w:rPr>
              <w:rFonts w:ascii="Times New Roman" w:hAnsi="Times New Roman" w:eastAsia="仿宋"/>
            </w:rPr>
            <w:fldChar w:fldCharType="end"/>
          </w:r>
        </w:p>
        <w:p w14:paraId="6147A774">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_Toc1199703137 </w:instrText>
          </w:r>
          <w:r>
            <w:rPr>
              <w:rFonts w:ascii="Times New Roman" w:hAnsi="Times New Roman" w:eastAsia="仿宋"/>
            </w:rPr>
            <w:fldChar w:fldCharType="separate"/>
          </w:r>
          <w:r>
            <w:rPr>
              <w:rFonts w:hint="eastAsia"/>
              <w:kern w:val="2"/>
              <w:lang w:val="en-US" w:eastAsia="zh-CN" w:bidi="ar-SA"/>
            </w:rPr>
            <w:t>美国FDA授予辉瑞HYMPAVZI补充申请优先审评资格，拟扩展至两类血友病患者人群</w:t>
          </w:r>
          <w:r>
            <w:tab/>
          </w:r>
          <w:r>
            <w:fldChar w:fldCharType="begin"/>
          </w:r>
          <w:r>
            <w:instrText xml:space="preserve"> PAGEREF _Toc1199703137 \h </w:instrText>
          </w:r>
          <w:r>
            <w:fldChar w:fldCharType="separate"/>
          </w:r>
          <w:r>
            <w:t>9</w:t>
          </w:r>
          <w:r>
            <w:fldChar w:fldCharType="end"/>
          </w:r>
          <w:r>
            <w:rPr>
              <w:rFonts w:ascii="Times New Roman" w:hAnsi="Times New Roman" w:eastAsia="仿宋"/>
            </w:rPr>
            <w:fldChar w:fldCharType="end"/>
          </w:r>
        </w:p>
        <w:p w14:paraId="5AE3542D">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_Toc686661876 </w:instrText>
          </w:r>
          <w:r>
            <w:rPr>
              <w:rFonts w:ascii="Times New Roman" w:hAnsi="Times New Roman" w:eastAsia="仿宋"/>
            </w:rPr>
            <w:fldChar w:fldCharType="separate"/>
          </w:r>
          <w:r>
            <w:rPr>
              <w:rFonts w:hint="eastAsia"/>
              <w:kern w:val="2"/>
              <w:lang w:val="en-US" w:eastAsia="zh-CN" w:bidi="ar-SA"/>
            </w:rPr>
            <w:t>美国FDA受理BMS iberdomide新药申请并授予突破性疗法认定，用于复发或难治性多发性骨髓瘤</w:t>
          </w:r>
          <w:r>
            <w:tab/>
          </w:r>
          <w:r>
            <w:fldChar w:fldCharType="begin"/>
          </w:r>
          <w:r>
            <w:instrText xml:space="preserve"> PAGEREF _Toc686661876 \h </w:instrText>
          </w:r>
          <w:r>
            <w:fldChar w:fldCharType="separate"/>
          </w:r>
          <w:r>
            <w:t>9</w:t>
          </w:r>
          <w:r>
            <w:fldChar w:fldCharType="end"/>
          </w:r>
          <w:r>
            <w:rPr>
              <w:rFonts w:ascii="Times New Roman" w:hAnsi="Times New Roman" w:eastAsia="仿宋"/>
            </w:rPr>
            <w:fldChar w:fldCharType="end"/>
          </w:r>
        </w:p>
        <w:p w14:paraId="1B64B4FE">
          <w:pPr>
            <w:pStyle w:val="13"/>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_Toc149030954 </w:instrText>
          </w:r>
          <w:r>
            <w:rPr>
              <w:rFonts w:ascii="Times New Roman" w:hAnsi="Times New Roman" w:eastAsia="仿宋"/>
            </w:rPr>
            <w:fldChar w:fldCharType="separate"/>
          </w:r>
          <w:r>
            <w:rPr>
              <w:rFonts w:hint="eastAsia"/>
              <w:kern w:val="2"/>
              <w:lang w:val="en-US" w:eastAsia="zh-CN" w:bidi="ar-SA"/>
            </w:rPr>
            <w:t>BMS与SystImmune双特异性ADC izalontamab brengitecan 3期试验在三阴性乳腺癌中取得双主要终点阳性结果</w:t>
          </w:r>
          <w:r>
            <w:tab/>
          </w:r>
          <w:r>
            <w:fldChar w:fldCharType="begin"/>
          </w:r>
          <w:r>
            <w:instrText xml:space="preserve"> PAGEREF _Toc149030954 \h </w:instrText>
          </w:r>
          <w:r>
            <w:fldChar w:fldCharType="separate"/>
          </w:r>
          <w:r>
            <w:t>10</w:t>
          </w:r>
          <w:r>
            <w:fldChar w:fldCharType="end"/>
          </w:r>
          <w:r>
            <w:rPr>
              <w:rFonts w:ascii="Times New Roman" w:hAnsi="Times New Roman" w:eastAsia="仿宋"/>
            </w:rPr>
            <w:fldChar w:fldCharType="end"/>
          </w:r>
        </w:p>
        <w:p w14:paraId="3F0DDC41">
          <w:pPr>
            <w:pStyle w:val="13"/>
            <w:tabs>
              <w:tab w:val="right" w:leader="dot" w:pos="8296"/>
            </w:tabs>
            <w:spacing w:line="360" w:lineRule="auto"/>
            <w:ind w:left="440"/>
            <w:rPr>
              <w:rFonts w:hint="eastAsia" w:eastAsia="仿宋" w:cs="Times New Roman"/>
              <w:b/>
              <w:bCs/>
              <w:sz w:val="22"/>
              <w:szCs w:val="24"/>
              <w:lang w:val="zh-CN"/>
            </w:rPr>
            <w:sectPr>
              <w:footerReference r:id="rId5" w:type="first"/>
              <w:footerReference r:id="rId4" w:type="default"/>
              <w:pgSz w:w="11906" w:h="16838"/>
              <w:pgMar w:top="1440" w:right="1800" w:bottom="1440" w:left="1800" w:header="851" w:footer="992" w:gutter="0"/>
              <w:cols w:space="425" w:num="1"/>
              <w:docGrid w:type="lines" w:linePitch="312" w:charSpace="0"/>
            </w:sectPr>
          </w:pPr>
          <w:r>
            <w:rPr>
              <w:rFonts w:ascii="Times New Roman" w:hAnsi="Times New Roman" w:eastAsia="仿宋"/>
            </w:rPr>
            <w:fldChar w:fldCharType="end"/>
          </w:r>
        </w:p>
      </w:sdtContent>
    </w:sdt>
    <w:p w14:paraId="173B1F8B">
      <w:pPr>
        <w:keepNext/>
        <w:keepLines/>
        <w:spacing w:before="120" w:after="120" w:line="500" w:lineRule="exact"/>
        <w:outlineLvl w:val="0"/>
        <w:rPr>
          <w:rFonts w:ascii="Times New Roman" w:hAnsi="Times New Roman" w:eastAsia="黑体" w:cs="Times New Roman"/>
          <w:b/>
          <w:bCs/>
          <w:color w:val="4472C4"/>
          <w:sz w:val="32"/>
          <w:szCs w:val="32"/>
        </w:rPr>
      </w:pPr>
      <w:bookmarkStart w:id="0" w:name="_Toc668208123"/>
      <w:r>
        <w:rPr>
          <w:rFonts w:hint="eastAsia" w:ascii="Times New Roman" w:hAnsi="Times New Roman" w:eastAsia="黑体" w:cs="Times New Roman"/>
          <w:b/>
          <w:bCs/>
          <w:color w:val="4472C4"/>
          <w:sz w:val="32"/>
          <w:szCs w:val="32"/>
        </w:rPr>
        <w:t>技术动向</w:t>
      </w:r>
      <w:bookmarkEnd w:id="0"/>
      <w:bookmarkStart w:id="21" w:name="_GoBack"/>
      <w:bookmarkEnd w:id="21"/>
    </w:p>
    <w:p w14:paraId="70D5A399">
      <w:pPr>
        <w:pStyle w:val="24"/>
        <w:rPr>
          <w:rFonts w:hint="eastAsia"/>
          <w:kern w:val="2"/>
          <w:lang w:val="en-US" w:eastAsia="zh-CN" w:bidi="ar-SA"/>
        </w:rPr>
      </w:pPr>
      <w:bookmarkStart w:id="1" w:name="_Toc1381933098"/>
      <w:r>
        <w:rPr>
          <w:rFonts w:hint="eastAsia"/>
          <w:kern w:val="2"/>
          <w:lang w:val="en-US" w:eastAsia="zh-CN" w:bidi="ar-SA"/>
        </w:rPr>
        <w:t>早期给药时间点的免疫化疗显著改善非小细胞肺癌患者预后</w:t>
      </w:r>
      <w:bookmarkEnd w:id="1"/>
    </w:p>
    <w:p w14:paraId="75AF8E9C">
      <w:pPr>
        <w:pStyle w:val="23"/>
        <w:rPr>
          <w:rFonts w:hint="eastAsia"/>
          <w:lang w:val="en-US" w:eastAsia="zh-CN" w:bidi="ar-SA"/>
        </w:rPr>
      </w:pPr>
      <w:r>
        <w:rPr>
          <w:rFonts w:hint="eastAsia"/>
          <w:lang w:val="en-US" w:eastAsia="zh-CN" w:bidi="ar-SA"/>
        </w:rPr>
        <w:t>2026年2月2日，《Nature Medicine》</w:t>
      </w:r>
      <w:r>
        <w:rPr>
          <w:rFonts w:hint="eastAsia"/>
          <w:vertAlign w:val="superscript"/>
          <w:lang w:val="en-US" w:eastAsia="zh-CN" w:bidi="ar-SA"/>
        </w:rPr>
        <w:footnoteReference w:id="0"/>
      </w:r>
      <w:r>
        <w:rPr>
          <w:rFonts w:hint="eastAsia"/>
          <w:lang w:val="en-US" w:eastAsia="zh-CN" w:bidi="ar-SA"/>
        </w:rPr>
        <w:t>发表LungTIME-C01随机3期试验结果。该试验纳入210例初治IIIC～IV期非小细胞肺癌患者，按早期（15时前）或晚期（15时后）给予前四周期抗PD-1药物联合化疗随机分组。结果显示，早期给药组中位无进展生存期（PFS）为11.3个月，显著优于晚期给药组的5.7个月（HR=0.40，P&lt;0.001）；中位总生存期（OS）亦分别为28.0个月与16.8个月（HR=0.42，P&lt;0.001）。机制分析发现，早期给药可促进CD8+ T细胞增殖及激活/耗竭比值改善，提示给药时间是影响免疫化疗疗效的重要调控因素。</w:t>
      </w:r>
    </w:p>
    <w:p w14:paraId="3F289E42">
      <w:pPr>
        <w:pStyle w:val="24"/>
        <w:rPr>
          <w:rFonts w:hint="eastAsia"/>
          <w:kern w:val="2"/>
          <w:lang w:val="en-US" w:eastAsia="zh-CN" w:bidi="ar-SA"/>
        </w:rPr>
      </w:pPr>
      <w:bookmarkStart w:id="2" w:name="_Toc1113935781"/>
      <w:r>
        <w:rPr>
          <w:rFonts w:hint="eastAsia"/>
          <w:kern w:val="2"/>
          <w:lang w:val="en-US" w:eastAsia="zh-CN" w:bidi="ar-SA"/>
        </w:rPr>
        <w:t>CD19 CAR-T细胞疗法治疗儿童难治性自身免疫疾病取得积极结果</w:t>
      </w:r>
      <w:bookmarkEnd w:id="2"/>
    </w:p>
    <w:p w14:paraId="31C12DD3">
      <w:pPr>
        <w:pStyle w:val="23"/>
        <w:rPr>
          <w:rFonts w:hint="eastAsia"/>
          <w:lang w:val="en-US" w:eastAsia="zh-CN" w:bidi="ar-SA"/>
        </w:rPr>
      </w:pPr>
      <w:r>
        <w:rPr>
          <w:rFonts w:hint="eastAsia"/>
          <w:lang w:val="en-US" w:eastAsia="zh-CN" w:bidi="ar-SA"/>
        </w:rPr>
        <w:t>2026年2月5日，《Nature Medicine》</w:t>
      </w:r>
      <w:r>
        <w:rPr>
          <w:rFonts w:hint="eastAsia"/>
          <w:vertAlign w:val="superscript"/>
          <w:lang w:val="en-US" w:eastAsia="zh-CN" w:bidi="ar-SA"/>
        </w:rPr>
        <w:footnoteReference w:id="1"/>
      </w:r>
      <w:r>
        <w:rPr>
          <w:rFonts w:hint="eastAsia"/>
          <w:lang w:val="en-US" w:eastAsia="zh-CN" w:bidi="ar-SA"/>
        </w:rPr>
        <w:t>发表病例系列研究，报告了8名患有严重/难治性自身免疫疾病儿童患者（包括系统性红斑狼疮、皮肌炎及系统性硬化症）接受单次自体CD19 CAR-T细胞（zorpocabtagene autoleucel）输注治疗的结果。中位随访16.5个月，所有患者均实现疾病活动度的显著改善或缓解，并在B细胞重建后持续停用免疫调节剂；细胞因子释放综合征等不良事件均轻微可控，未发生严重感染。该研究提示，CD19 CAR-T细胞疗法有望为目前缺乏有效疗法的难治性儿童自身免疫疾病提供突破性治疗选择。</w:t>
      </w:r>
    </w:p>
    <w:p w14:paraId="1B3821E6">
      <w:pPr>
        <w:pStyle w:val="24"/>
        <w:rPr>
          <w:rFonts w:hint="eastAsia"/>
          <w:kern w:val="2"/>
          <w:lang w:val="en-US" w:eastAsia="zh-CN" w:bidi="ar-SA"/>
        </w:rPr>
      </w:pPr>
      <w:bookmarkStart w:id="3" w:name="_Toc156236721"/>
      <w:r>
        <w:rPr>
          <w:rFonts w:hint="eastAsia"/>
          <w:kern w:val="2"/>
          <w:lang w:val="en-US" w:eastAsia="zh-CN" w:bidi="ar-SA"/>
        </w:rPr>
        <w:t>辉瑞超长效GLP-1受体激动剂月剂型在2b期试验中展现持续减重效果</w:t>
      </w:r>
      <w:bookmarkEnd w:id="3"/>
    </w:p>
    <w:p w14:paraId="236D63E9">
      <w:pPr>
        <w:pStyle w:val="23"/>
        <w:rPr>
          <w:rFonts w:hint="eastAsia"/>
          <w:lang w:val="en-US" w:eastAsia="zh-CN" w:bidi="ar-SA"/>
        </w:rPr>
      </w:pPr>
      <w:r>
        <w:rPr>
          <w:rFonts w:hint="eastAsia"/>
          <w:lang w:val="en-US" w:eastAsia="zh-CN" w:bidi="ar-SA"/>
        </w:rPr>
        <w:t>2026年2月3日，辉瑞公司</w:t>
      </w:r>
      <w:r>
        <w:rPr>
          <w:rFonts w:hint="eastAsia"/>
          <w:vertAlign w:val="superscript"/>
          <w:lang w:val="en-US" w:eastAsia="zh-CN" w:bidi="ar-SA"/>
        </w:rPr>
        <w:footnoteReference w:id="2"/>
      </w:r>
      <w:r>
        <w:rPr>
          <w:rFonts w:hint="eastAsia"/>
          <w:lang w:val="en-US" w:eastAsia="zh-CN" w:bidi="ar-SA"/>
        </w:rPr>
        <w:t>公布超长效全偏置GLP-1受体激动剂PF-08653944（PF'3944，原名MET-097i）的2b期VESPER-3试验积极顶线结果。在由每周给药切换至每月维持给药后，受试者在第28周时仍实现最高12.3%（安慰剂校正）的平均减重，且减重效果未见平台期；胃肠道不良事件以轻中度为主，安全性良好。辉瑞计划纳入更高剂量（9.6 mg/月）进入3期开发，并预计于2026年启动10项PF'3944的3期临床试验。</w:t>
      </w:r>
    </w:p>
    <w:p w14:paraId="36E1620F">
      <w:pPr>
        <w:pStyle w:val="24"/>
        <w:rPr>
          <w:rFonts w:hint="eastAsia"/>
          <w:kern w:val="2"/>
          <w:lang w:val="en-US" w:eastAsia="zh-CN" w:bidi="ar-SA"/>
        </w:rPr>
      </w:pPr>
      <w:bookmarkStart w:id="4" w:name="_Toc1645553213"/>
      <w:r>
        <w:rPr>
          <w:rFonts w:hint="eastAsia"/>
          <w:kern w:val="2"/>
          <w:lang w:val="en-US" w:eastAsia="zh-CN" w:bidi="ar-SA"/>
        </w:rPr>
        <w:t>脂质纳米颗粒介导体内泛CAR免疫细胞生成，为实体瘤提供现货型细胞疗法新平台</w:t>
      </w:r>
      <w:bookmarkEnd w:id="4"/>
    </w:p>
    <w:p w14:paraId="42F829D4">
      <w:pPr>
        <w:pStyle w:val="23"/>
        <w:rPr>
          <w:rFonts w:hint="eastAsia"/>
          <w:lang w:val="en-US" w:eastAsia="zh-CN" w:bidi="ar-SA"/>
        </w:rPr>
      </w:pPr>
      <w:r>
        <w:rPr>
          <w:rFonts w:hint="eastAsia"/>
          <w:lang w:val="en-US" w:eastAsia="zh-CN" w:bidi="ar-SA"/>
        </w:rPr>
        <w:t>2026年2月19日，《PNAS》</w:t>
      </w:r>
      <w:r>
        <w:rPr>
          <w:rFonts w:hint="eastAsia"/>
          <w:vertAlign w:val="superscript"/>
          <w:lang w:val="en-US" w:eastAsia="zh-CN" w:bidi="ar-SA"/>
        </w:rPr>
        <w:footnoteReference w:id="3"/>
      </w:r>
      <w:r>
        <w:rPr>
          <w:rFonts w:hint="eastAsia"/>
          <w:lang w:val="en-US" w:eastAsia="zh-CN" w:bidi="ar-SA"/>
        </w:rPr>
        <w:t>发表研究成果，提出一种嗜免疫细胞脂质纳米颗粒（LNP）平台，可通过单次静脉注射将CAR编码mRNA递送至T细胞、巨噬细胞、树突状细胞和NK细胞，在脾脏、骨髓及外周血中体内瞬时生成泛CAR免疫细胞。以HER2为靶点的LNP-panCAR（LNP-panCARHER2）在3种小鼠同系及异种移植肿瘤模型中有效抑制肿瘤生长并显著延长生存期，同时促进肿瘤免疫微环境向免疫激活表型重塑。该研究为实体瘤免疫治疗提供了广泛适用的现货型体内CAR细胞疗法平台。</w:t>
      </w:r>
    </w:p>
    <w:p w14:paraId="36748975">
      <w:pPr>
        <w:pStyle w:val="24"/>
        <w:rPr>
          <w:rFonts w:hint="eastAsia"/>
          <w:kern w:val="2"/>
          <w:lang w:val="en-US" w:eastAsia="zh-CN" w:bidi="ar-SA"/>
        </w:rPr>
      </w:pPr>
      <w:bookmarkStart w:id="5" w:name="_Toc1518444825"/>
      <w:r>
        <w:rPr>
          <w:rFonts w:hint="eastAsia"/>
          <w:kern w:val="2"/>
          <w:lang w:val="en-US" w:eastAsia="zh-CN" w:bidi="ar-SA"/>
        </w:rPr>
        <w:t>工程化巨核细胞静脉注射体内产生溶瘤血小板，增强癌症免疫治疗效果</w:t>
      </w:r>
      <w:bookmarkEnd w:id="5"/>
    </w:p>
    <w:p w14:paraId="29DCB12D">
      <w:pPr>
        <w:pStyle w:val="23"/>
        <w:rPr>
          <w:rFonts w:hint="eastAsia"/>
          <w:lang w:val="en-US" w:eastAsia="zh-CN" w:bidi="ar-SA"/>
        </w:rPr>
      </w:pPr>
      <w:r>
        <w:rPr>
          <w:rFonts w:hint="eastAsia"/>
          <w:lang w:val="en-US" w:eastAsia="zh-CN" w:bidi="ar-SA"/>
        </w:rPr>
        <w:t>2026年2月11日，《PNAS》</w:t>
      </w:r>
      <w:r>
        <w:rPr>
          <w:rFonts w:hint="eastAsia"/>
          <w:vertAlign w:val="superscript"/>
          <w:lang w:val="en-US" w:eastAsia="zh-CN" w:bidi="ar-SA"/>
        </w:rPr>
        <w:footnoteReference w:id="4"/>
      </w:r>
      <w:r>
        <w:rPr>
          <w:rFonts w:hint="eastAsia"/>
          <w:lang w:val="en-US" w:eastAsia="zh-CN" w:bidi="ar-SA"/>
        </w:rPr>
        <w:t>发表研究成果，提出利用巨核细胞血小板生成过程构建包裹溶瘤腺病毒5型（Ad5）的工程化巨核细胞（M-Ad5）。静脉注射后，M-Ad5在肺循环的剪切力作用下释放含溶瘤病毒的治疗性血小板进入体循环，借助血小板保护屏蔽规避中和抗体，并主动靶向全身转移病灶。多种小鼠肿瘤模型显示，M-Ad5联合PDL1抑制剂可激活肿瘤特异性CD8+ T细胞和记忆T细胞，有效抑制肿瘤生长与转移，并提供长期免疫保护。</w:t>
      </w:r>
    </w:p>
    <w:p w14:paraId="22E97930">
      <w:pPr>
        <w:pStyle w:val="24"/>
        <w:rPr>
          <w:rFonts w:hint="eastAsia"/>
          <w:kern w:val="2"/>
          <w:lang w:val="en-US" w:eastAsia="zh-CN" w:bidi="ar-SA"/>
        </w:rPr>
      </w:pPr>
      <w:bookmarkStart w:id="6" w:name="_Toc1953996474"/>
      <w:r>
        <w:rPr>
          <w:rFonts w:hint="eastAsia"/>
          <w:kern w:val="2"/>
          <w:lang w:val="en-US" w:eastAsia="zh-CN" w:bidi="ar-SA"/>
        </w:rPr>
        <w:t>靶向TFAP2β相分离凝聚体策略有望抑制食管鳞状细胞癌进展</w:t>
      </w:r>
      <w:bookmarkEnd w:id="6"/>
    </w:p>
    <w:p w14:paraId="6D3C8913">
      <w:pPr>
        <w:pStyle w:val="23"/>
        <w:rPr>
          <w:rFonts w:hint="eastAsia"/>
          <w:lang w:val="en-US" w:eastAsia="zh-CN" w:bidi="ar-SA"/>
        </w:rPr>
      </w:pPr>
      <w:r>
        <w:rPr>
          <w:rFonts w:hint="eastAsia"/>
          <w:lang w:val="en-US" w:eastAsia="zh-CN" w:bidi="ar-SA"/>
        </w:rPr>
        <w:t>2026年2月5日，《Cell》</w:t>
      </w:r>
      <w:r>
        <w:rPr>
          <w:rFonts w:hint="eastAsia"/>
          <w:vertAlign w:val="superscript"/>
          <w:lang w:val="en-US" w:eastAsia="zh-CN" w:bidi="ar-SA"/>
        </w:rPr>
        <w:footnoteReference w:id="5"/>
      </w:r>
      <w:r>
        <w:rPr>
          <w:rFonts w:hint="eastAsia"/>
          <w:lang w:val="en-US" w:eastAsia="zh-CN" w:bidi="ar-SA"/>
        </w:rPr>
        <w:t>发表研究成果，通过对早期食管鳞状细胞癌（ESCC）患者临床样本的染色质可及性与基因表达联合分析，鉴定出转录因子TFAP2β为关键下调转录因子。研究发现，TFAP2β通过在细胞核内发生液液相分离（LLPS）形成凝聚体，结合ZNF131启动子以抑制ESCC进展；相分离或为ESCC转录调控的重要标志。此外，研究筛选出化合物A6，可增强TFAP2β凝聚体形成并特异性抑制ESCC，在细胞、小鼠及患者来源类器官模型中均得到验证，为ESCC提供了基于LLPS机制的潜在治疗新策略。</w:t>
      </w:r>
    </w:p>
    <w:p w14:paraId="3C41815B">
      <w:pPr>
        <w:pStyle w:val="23"/>
        <w:rPr>
          <w:rFonts w:hint="eastAsia"/>
          <w:lang w:val="en-US" w:eastAsia="zh-CN" w:bidi="ar-SA"/>
        </w:rPr>
      </w:pPr>
    </w:p>
    <w:p w14:paraId="6E80B54C">
      <w:pPr>
        <w:keepNext/>
        <w:keepLines/>
        <w:spacing w:before="120" w:after="120" w:line="500" w:lineRule="exact"/>
        <w:outlineLvl w:val="0"/>
        <w:rPr>
          <w:rFonts w:hint="eastAsia" w:ascii="Times New Roman" w:hAnsi="Times New Roman" w:eastAsia="黑体" w:cs="Times New Roman"/>
          <w:b/>
          <w:bCs/>
          <w:color w:val="4472C4"/>
          <w:sz w:val="32"/>
          <w:szCs w:val="32"/>
          <w:lang w:val="en-US" w:eastAsia="zh-CN"/>
        </w:rPr>
      </w:pPr>
      <w:bookmarkStart w:id="7" w:name="_Toc1498808594"/>
      <w:r>
        <w:rPr>
          <w:rFonts w:hint="eastAsia" w:ascii="Times New Roman" w:hAnsi="Times New Roman" w:eastAsia="黑体" w:cs="Times New Roman"/>
          <w:b/>
          <w:bCs/>
          <w:color w:val="4472C4"/>
          <w:sz w:val="32"/>
          <w:szCs w:val="32"/>
          <w:lang w:val="en-US" w:eastAsia="zh-CN"/>
        </w:rPr>
        <w:t>产品动态</w:t>
      </w:r>
      <w:bookmarkEnd w:id="7"/>
    </w:p>
    <w:p w14:paraId="38EA2F39">
      <w:pPr>
        <w:pStyle w:val="24"/>
        <w:rPr>
          <w:rFonts w:hint="eastAsia"/>
          <w:kern w:val="2"/>
          <w:lang w:val="en-US" w:eastAsia="zh-CN" w:bidi="ar-SA"/>
        </w:rPr>
      </w:pPr>
      <w:bookmarkStart w:id="8" w:name="_Toc492860048"/>
      <w:r>
        <w:rPr>
          <w:rFonts w:hint="eastAsia"/>
          <w:kern w:val="2"/>
          <w:lang w:val="en-US" w:eastAsia="zh-CN" w:bidi="ar-SA"/>
        </w:rPr>
        <w:t>FDA授予阿斯利康Datroway优先审评资格，用于不适合免疫治疗的转移性三阴性乳腺癌一线治疗</w:t>
      </w:r>
      <w:bookmarkEnd w:id="8"/>
    </w:p>
    <w:p w14:paraId="5100D518">
      <w:pPr>
        <w:pStyle w:val="23"/>
        <w:rPr>
          <w:rFonts w:hint="eastAsia"/>
          <w:lang w:val="en-US" w:eastAsia="zh-CN" w:bidi="ar-SA"/>
        </w:rPr>
      </w:pPr>
      <w:r>
        <w:rPr>
          <w:rFonts w:hint="eastAsia"/>
          <w:lang w:val="en-US" w:eastAsia="zh-CN" w:bidi="ar-SA"/>
        </w:rPr>
        <w:t>2026年2月3日，阿斯利康和第一三共宣布</w:t>
      </w:r>
      <w:r>
        <w:rPr>
          <w:rFonts w:hint="eastAsia"/>
          <w:vertAlign w:val="superscript"/>
          <w:lang w:val="en-US" w:eastAsia="zh-CN" w:bidi="ar-SA"/>
        </w:rPr>
        <w:footnoteReference w:id="6"/>
      </w:r>
      <w:r>
        <w:rPr>
          <w:rFonts w:hint="eastAsia"/>
          <w:lang w:val="en-US" w:eastAsia="zh-CN" w:bidi="ar-SA"/>
        </w:rPr>
        <w:t>，美国FDA已受理Datroway（datopotamab deruxtecan）的补充生物制品许可申请并授予优先审评资格，拟用于不适合接受PD-1/PD-L1抑制剂治疗的不可切除或转移性三阴性乳腺癌（TNBC）成人患者的一线治疗。约70%的转移性TNBC患者不适合免疫治疗，化疗目前是这部分患者仅有的获批一线选择。该申请基于TROPION-Breast02 3期试验结果，Datroway与化疗相比中位总生存期改善5.0个月（HR=0.79，P=0.0291），并将疾病进展或死亡风险降低43%（HR=0.57）。FDA审评行动日期预计在2026年第二季度。</w:t>
      </w:r>
    </w:p>
    <w:p w14:paraId="2D47F079">
      <w:pPr>
        <w:pStyle w:val="24"/>
        <w:rPr>
          <w:rFonts w:hint="eastAsia"/>
          <w:kern w:val="2"/>
          <w:lang w:val="en-US" w:eastAsia="zh-CN" w:bidi="ar-SA"/>
        </w:rPr>
      </w:pPr>
      <w:bookmarkStart w:id="9" w:name="_Toc654400257"/>
      <w:r>
        <w:rPr>
          <w:rFonts w:hint="eastAsia"/>
          <w:kern w:val="2"/>
          <w:lang w:val="en-US" w:eastAsia="zh-CN" w:bidi="ar-SA"/>
        </w:rPr>
        <w:t>美国FDA批准阿斯利康Calquence联合venetoclax，成为首个全口服固定疗程慢性淋巴细胞白血病一线方案</w:t>
      </w:r>
      <w:bookmarkEnd w:id="9"/>
    </w:p>
    <w:p w14:paraId="0AEB7EC7">
      <w:pPr>
        <w:pStyle w:val="23"/>
        <w:rPr>
          <w:rFonts w:hint="eastAsia"/>
          <w:lang w:val="en-US" w:eastAsia="zh-CN" w:bidi="ar-SA"/>
        </w:rPr>
      </w:pPr>
      <w:r>
        <w:rPr>
          <w:rFonts w:hint="eastAsia"/>
          <w:lang w:val="en-US" w:eastAsia="zh-CN" w:bidi="ar-SA"/>
        </w:rPr>
        <w:t>2026年2月20日，美国FDA批准Calquence（acalabrutinib）联合venetoclax</w:t>
      </w:r>
      <w:r>
        <w:rPr>
          <w:rFonts w:hint="eastAsia"/>
          <w:vertAlign w:val="superscript"/>
          <w:lang w:val="en-US" w:eastAsia="zh-CN" w:bidi="ar-SA"/>
        </w:rPr>
        <w:footnoteReference w:id="7"/>
      </w:r>
      <w:r>
        <w:rPr>
          <w:rFonts w:hint="eastAsia"/>
          <w:lang w:val="en-US" w:eastAsia="zh-CN" w:bidi="ar-SA"/>
        </w:rPr>
        <w:t>用于成人慢性淋巴细胞白血病及小淋巴细胞淋巴瘤，成为首个全口服、固定疗程的一线CLL/SLL治疗方案。批准依据来自AMPLIFY 3期试验：与化学免疫治疗相比，该联合方案三年无进展生存率达77%（对照组67%），中位PFS未达到（对照组47.6个月），将疾病进展或死亡风险降低35%（HR=0.65，P=0.0038）。目前该方案已在欧盟、加拿大、英国及多个其他国家获批，在更多国家的监管申请正在审评中。</w:t>
      </w:r>
    </w:p>
    <w:p w14:paraId="66464661">
      <w:pPr>
        <w:pStyle w:val="24"/>
        <w:rPr>
          <w:rFonts w:hint="eastAsia"/>
          <w:kern w:val="2"/>
          <w:lang w:val="en-US" w:eastAsia="zh-CN" w:bidi="ar-SA"/>
        </w:rPr>
      </w:pPr>
      <w:bookmarkStart w:id="10" w:name="_Toc1241363112"/>
      <w:r>
        <w:rPr>
          <w:rFonts w:hint="eastAsia"/>
          <w:kern w:val="2"/>
          <w:lang w:val="en-US" w:eastAsia="zh-CN" w:bidi="ar-SA"/>
        </w:rPr>
        <w:t>赛诺菲venglustat在神经病变型戈谢病3型3期临床试验中达到主要终点</w:t>
      </w:r>
      <w:bookmarkEnd w:id="10"/>
    </w:p>
    <w:p w14:paraId="07A737F7">
      <w:pPr>
        <w:pStyle w:val="23"/>
        <w:rPr>
          <w:rFonts w:hint="eastAsia"/>
          <w:lang w:val="en-US" w:eastAsia="zh-CN" w:bidi="ar-SA"/>
        </w:rPr>
      </w:pPr>
      <w:r>
        <w:rPr>
          <w:rFonts w:hint="eastAsia"/>
          <w:lang w:val="en-US" w:eastAsia="zh-CN" w:bidi="ar-SA"/>
        </w:rPr>
        <w:t>2026年2月2日，赛诺菲公布LEAP2MONO 3期研究积极结果</w:t>
      </w:r>
      <w:r>
        <w:rPr>
          <w:rFonts w:hint="eastAsia"/>
          <w:vertAlign w:val="superscript"/>
          <w:lang w:val="en-US" w:eastAsia="zh-CN" w:bidi="ar-SA"/>
        </w:rPr>
        <w:footnoteReference w:id="8"/>
      </w:r>
      <w:r>
        <w:rPr>
          <w:rFonts w:hint="eastAsia"/>
          <w:lang w:val="en-US" w:eastAsia="zh-CN" w:bidi="ar-SA"/>
        </w:rPr>
        <w:t>，venglustat在成人及12岁以上青少年神经病变型戈谢病（GD3）患者中达到主要终点及3项关键次要终点。Venglustat是一种葡萄糖神经酰胺合成酶抑制剂，可穿越血脑屏障，靶向目前尚无获批疗法的GD3神经系统病变。与酶替代疗法（ERT）相比，venglustat在神经症状综合评分（SARA和RBANS）上取得统计学显著优势（P=0.007），非神经系统疗效指标（脾体积、肝体积、血红蛋白）与ERT相当。赛诺菲将就venglustat在GD3适应症向全球监管机构提交注册申请。</w:t>
      </w:r>
    </w:p>
    <w:p w14:paraId="5B92D453">
      <w:pPr>
        <w:pStyle w:val="24"/>
        <w:rPr>
          <w:rFonts w:hint="eastAsia"/>
          <w:kern w:val="2"/>
          <w:lang w:val="en-US" w:eastAsia="zh-CN" w:bidi="ar-SA"/>
        </w:rPr>
      </w:pPr>
      <w:bookmarkStart w:id="11" w:name="_Toc786192779"/>
      <w:r>
        <w:rPr>
          <w:rFonts w:hint="eastAsia"/>
          <w:kern w:val="2"/>
          <w:lang w:val="en-US" w:eastAsia="zh-CN" w:bidi="ar-SA"/>
        </w:rPr>
        <w:t>美国FDA授予赛诺菲rilzabrutinib突破性疗法认定，用于治疗温型自身免疫溶血性贫血</w:t>
      </w:r>
      <w:bookmarkEnd w:id="11"/>
    </w:p>
    <w:p w14:paraId="16D5F6E5">
      <w:pPr>
        <w:pStyle w:val="23"/>
        <w:rPr>
          <w:rFonts w:hint="eastAsia"/>
          <w:lang w:val="en-US" w:eastAsia="zh-CN" w:bidi="ar-SA"/>
        </w:rPr>
      </w:pPr>
      <w:r>
        <w:rPr>
          <w:rFonts w:hint="eastAsia"/>
          <w:lang w:val="en-US" w:eastAsia="zh-CN" w:bidi="ar-SA"/>
        </w:rPr>
        <w:t>2026年2月9日，赛诺菲宣布</w:t>
      </w:r>
      <w:r>
        <w:rPr>
          <w:rFonts w:hint="eastAsia"/>
          <w:vertAlign w:val="superscript"/>
          <w:lang w:val="en-US" w:eastAsia="zh-CN" w:bidi="ar-SA"/>
        </w:rPr>
        <w:footnoteReference w:id="9"/>
      </w:r>
      <w:r>
        <w:rPr>
          <w:rFonts w:hint="eastAsia"/>
          <w:lang w:val="en-US" w:eastAsia="zh-CN" w:bidi="ar-SA"/>
        </w:rPr>
        <w:t>，美国FDA已授予Wayrilz（rilzabrutinib）突破性疗法认定，用于治疗温型自身免疫溶血性贫血（wAIHA）；日本厚生劳动省亦同步授予该适应症孤儿药认定。两项认定均基于正在进行的LUMINA 2 2b期研究临床数据。目前wAIHA尚无专门针对潜在病因的获批疗法，可导致贫血、疲劳及严重器官损伤。正在开展的LUMINA 3 3期研究将进一步评估rilzabrutinib对比安慰剂在wAIHA患者中的疗效与安全性。</w:t>
      </w:r>
    </w:p>
    <w:p w14:paraId="5EDF859C">
      <w:pPr>
        <w:pStyle w:val="24"/>
        <w:rPr>
          <w:rFonts w:hint="eastAsia"/>
          <w:kern w:val="2"/>
          <w:lang w:val="en-US" w:eastAsia="zh-CN" w:bidi="ar-SA"/>
        </w:rPr>
      </w:pPr>
      <w:bookmarkStart w:id="12" w:name="_Toc75156662"/>
      <w:r>
        <w:rPr>
          <w:rFonts w:hint="eastAsia"/>
          <w:kern w:val="2"/>
          <w:lang w:val="en-US" w:eastAsia="zh-CN" w:bidi="ar-SA"/>
        </w:rPr>
        <w:t>美国FDA批准Dupixent用于治疗过敏性真菌性鼻窦炎，成为该适应症首个获批疗法</w:t>
      </w:r>
      <w:bookmarkEnd w:id="12"/>
    </w:p>
    <w:p w14:paraId="2FD4A926">
      <w:pPr>
        <w:pStyle w:val="23"/>
        <w:rPr>
          <w:rFonts w:hint="eastAsia"/>
          <w:lang w:val="en-US" w:eastAsia="zh-CN" w:bidi="ar-SA"/>
        </w:rPr>
      </w:pPr>
      <w:r>
        <w:rPr>
          <w:rFonts w:hint="eastAsia"/>
          <w:lang w:val="en-US" w:eastAsia="zh-CN" w:bidi="ar-SA"/>
        </w:rPr>
        <w:t>2026年2月24日，美国FDA批准Dupixent（dupilumab）用于治疗过敏性真菌性鼻窦炎（AFRS）</w:t>
      </w:r>
      <w:r>
        <w:rPr>
          <w:rFonts w:hint="eastAsia"/>
          <w:vertAlign w:val="superscript"/>
          <w:lang w:val="en-US" w:eastAsia="zh-CN" w:bidi="ar-SA"/>
        </w:rPr>
        <w:footnoteReference w:id="10"/>
      </w:r>
      <w:r>
        <w:rPr>
          <w:rFonts w:hint="eastAsia"/>
          <w:lang w:val="en-US" w:eastAsia="zh-CN" w:bidi="ar-SA"/>
        </w:rPr>
        <w:t>，适用于6岁及以上、有鼻窦手术史的成人及儿童患者。AFRS是一种由对真菌强烈过敏反应引起的慢性2型炎症性疾病，可导致鼻息肉、鼻塞、嗅觉丧失及鼻旁窦骨质侵蚀等严重并发症。LIBERTY-AFRS-AIMS 3期研究（NCT04684524）结果显示，与安慰剂相比，Dupixent可使第52周鼻窦不透明度改善50%（对照组10%，P&lt;0.0001），并将系统性皮质类固醇使用或手术需求风险降低92%。Dupixent是该适应症首个且唯一获批的靶向疗法。</w:t>
      </w:r>
    </w:p>
    <w:p w14:paraId="0781C31E">
      <w:pPr>
        <w:pStyle w:val="24"/>
        <w:rPr>
          <w:rFonts w:hint="eastAsia"/>
          <w:kern w:val="2"/>
          <w:lang w:val="en-US" w:eastAsia="zh-CN" w:bidi="ar-SA"/>
        </w:rPr>
      </w:pPr>
      <w:bookmarkStart w:id="13" w:name="_Toc437633798"/>
      <w:r>
        <w:rPr>
          <w:rFonts w:hint="eastAsia"/>
          <w:kern w:val="2"/>
          <w:lang w:val="en-US" w:eastAsia="zh-CN" w:bidi="ar-SA"/>
        </w:rPr>
        <w:t>欧盟人用药品委员会就acoziborole给出积极意见，有望成为首个单剂口服冈比亚昏睡病治疗药物</w:t>
      </w:r>
      <w:bookmarkEnd w:id="13"/>
    </w:p>
    <w:p w14:paraId="11CE3145">
      <w:pPr>
        <w:pStyle w:val="23"/>
        <w:rPr>
          <w:rFonts w:hint="eastAsia"/>
          <w:lang w:val="en-US" w:eastAsia="zh-CN" w:bidi="ar-SA"/>
        </w:rPr>
      </w:pPr>
      <w:r>
        <w:rPr>
          <w:rFonts w:hint="eastAsia"/>
          <w:lang w:val="en-US" w:eastAsia="zh-CN" w:bidi="ar-SA"/>
        </w:rPr>
        <w:t>2026年2月27日，欧洲药品管理局人用药品委员会（CHMP）就Acoziborole Winthrop（acoziborole）给出积极意见</w:t>
      </w:r>
      <w:r>
        <w:rPr>
          <w:rFonts w:hint="eastAsia"/>
          <w:vertAlign w:val="superscript"/>
          <w:lang w:val="en-US" w:eastAsia="zh-CN" w:bidi="ar-SA"/>
        </w:rPr>
        <w:footnoteReference w:id="11"/>
      </w:r>
      <w:r>
        <w:rPr>
          <w:rFonts w:hint="eastAsia"/>
          <w:lang w:val="en-US" w:eastAsia="zh-CN" w:bidi="ar-SA"/>
        </w:rPr>
        <w:t>，推荐批准其作为冈比亚型人类非洲锥虫病（睡眠病）早期及晚期成人和12岁以上青少年患者（体重≥40千克）的单剂口服疗法。该药由被忽视热带病药物研发倡议（DNDi）与赛诺菲联合开发，2/3期临床试验显示18个月成功率高达96%，且安全性良好。现有标准疗法需10天口服疗程或注射联合口服，而acoziborole仅需一次3片给药，将极大简化治疗流程，推动2030年消除昏睡病目标的实现。</w:t>
      </w:r>
    </w:p>
    <w:p w14:paraId="2A0BCCDE">
      <w:pPr>
        <w:pStyle w:val="24"/>
        <w:rPr>
          <w:rFonts w:hint="eastAsia"/>
          <w:kern w:val="2"/>
          <w:lang w:val="en-US" w:eastAsia="zh-CN" w:bidi="ar-SA"/>
        </w:rPr>
      </w:pPr>
      <w:bookmarkStart w:id="14" w:name="_Toc179752011"/>
      <w:r>
        <w:rPr>
          <w:rFonts w:hint="eastAsia"/>
          <w:kern w:val="2"/>
          <w:lang w:val="en-US" w:eastAsia="zh-CN" w:bidi="ar-SA"/>
        </w:rPr>
        <w:t>诺和诺德CagriSema在REIMAGINE 2 3期试验中同时实现优越减重与血糖控制</w:t>
      </w:r>
      <w:bookmarkEnd w:id="14"/>
    </w:p>
    <w:p w14:paraId="46C5F05B">
      <w:pPr>
        <w:pStyle w:val="23"/>
        <w:rPr>
          <w:rFonts w:hint="eastAsia"/>
          <w:lang w:val="en-US" w:eastAsia="zh-CN" w:bidi="ar-SA"/>
        </w:rPr>
      </w:pPr>
      <w:r>
        <w:rPr>
          <w:rFonts w:hint="eastAsia"/>
          <w:lang w:val="en-US" w:eastAsia="zh-CN" w:bidi="ar-SA"/>
        </w:rPr>
        <w:t>2026年2月2日，诺和诺德公布REIMAGINE 2 3期试验结果</w:t>
      </w:r>
      <w:r>
        <w:rPr>
          <w:rFonts w:hint="eastAsia"/>
          <w:vertAlign w:val="superscript"/>
          <w:lang w:val="en-US" w:eastAsia="zh-CN" w:bidi="ar-SA"/>
        </w:rPr>
        <w:footnoteReference w:id="12"/>
      </w:r>
      <w:r>
        <w:rPr>
          <w:rFonts w:hint="eastAsia"/>
          <w:lang w:val="en-US" w:eastAsia="zh-CN" w:bidi="ar-SA"/>
        </w:rPr>
        <w:t>，CagriSema（卡格列帕肽与司美格鲁肽联合周制剂）在2型糖尿病患者中实现最高14.2%的减重效果（安慰剂校正），43%的患者达到≥15%减重，24%达到≥20%减重；HbA1c较基线降幅高达1.91个百分点（基线平均HbA1c为8.2%）。在减重和降糖两项主要终点上，CagriSema均优于其单一组分，安全性与耐受性与现有胰岛素及GLP-1类疗法一致。</w:t>
      </w:r>
    </w:p>
    <w:p w14:paraId="0F5D4671">
      <w:pPr>
        <w:pStyle w:val="24"/>
        <w:rPr>
          <w:rFonts w:hint="eastAsia"/>
          <w:kern w:val="2"/>
          <w:lang w:val="en-US" w:eastAsia="zh-CN" w:bidi="ar-SA"/>
        </w:rPr>
      </w:pPr>
      <w:bookmarkStart w:id="15" w:name="_Toc1730041195"/>
      <w:r>
        <w:rPr>
          <w:rFonts w:hint="eastAsia"/>
          <w:kern w:val="2"/>
          <w:lang w:val="en-US" w:eastAsia="zh-CN" w:bidi="ar-SA"/>
        </w:rPr>
        <w:t>礼来口服GLP-1受体激动剂orforglipron在头对头3期试验中优于口服司美格鲁肽</w:t>
      </w:r>
      <w:bookmarkEnd w:id="15"/>
    </w:p>
    <w:p w14:paraId="38BD4ED6">
      <w:pPr>
        <w:pStyle w:val="23"/>
        <w:rPr>
          <w:rFonts w:hint="eastAsia"/>
          <w:lang w:val="en-US" w:eastAsia="zh-CN" w:bidi="ar-SA"/>
        </w:rPr>
      </w:pPr>
      <w:r>
        <w:rPr>
          <w:rFonts w:hint="eastAsia"/>
          <w:lang w:val="en-US" w:eastAsia="zh-CN" w:bidi="ar-SA"/>
        </w:rPr>
        <w:t>2026年2月26日，礼来公司宣布ACHIEVE-3 3期头对头试验结果</w:t>
      </w:r>
      <w:r>
        <w:rPr>
          <w:rFonts w:hint="eastAsia"/>
          <w:vertAlign w:val="superscript"/>
          <w:lang w:val="en-US" w:eastAsia="zh-CN" w:bidi="ar-SA"/>
        </w:rPr>
        <w:footnoteReference w:id="13"/>
      </w:r>
      <w:r>
        <w:rPr>
          <w:rFonts w:hint="eastAsia"/>
          <w:lang w:val="en-US" w:eastAsia="zh-CN" w:bidi="ar-SA"/>
        </w:rPr>
        <w:t>在《柳叶刀》发表，orforglipron（36 mg）在2型糖尿病患者中将HbA1c降低2.2%，显著优于口服司美格鲁肽14 mg的1.4%降幅；减重方面，orforglipron组平均减重9.2%（约8.9 kg），优于司美格鲁肽组的5.3%（约5.0 kg）。两药安全性相似，常见不良事件为恶心、腹泻及呕吐。礼来已在全球逾40个国家提交orforglipron监管申请，美国减重适应症监管行动预计于2026年第二季度。</w:t>
      </w:r>
    </w:p>
    <w:p w14:paraId="09CF662C">
      <w:pPr>
        <w:pStyle w:val="24"/>
        <w:rPr>
          <w:rFonts w:hint="eastAsia"/>
          <w:kern w:val="2"/>
          <w:lang w:val="en-US" w:eastAsia="zh-CN" w:bidi="ar-SA"/>
        </w:rPr>
      </w:pPr>
      <w:bookmarkStart w:id="16" w:name="_Toc2021267632"/>
      <w:r>
        <w:rPr>
          <w:rFonts w:hint="eastAsia"/>
          <w:kern w:val="2"/>
          <w:lang w:val="en-US" w:eastAsia="zh-CN" w:bidi="ar-SA"/>
        </w:rPr>
        <w:t>PADCEV联合Keytruda在3期围手术期试验中使顺铂适用肌层浸润性膀胱癌患者疾病复发或死亡风险降低47%</w:t>
      </w:r>
      <w:bookmarkEnd w:id="16"/>
    </w:p>
    <w:p w14:paraId="0C9DE4BC">
      <w:pPr>
        <w:pStyle w:val="23"/>
        <w:rPr>
          <w:rFonts w:hint="eastAsia"/>
          <w:lang w:val="en-US" w:eastAsia="zh-CN" w:bidi="ar-SA"/>
        </w:rPr>
      </w:pPr>
      <w:r>
        <w:rPr>
          <w:rFonts w:hint="eastAsia"/>
          <w:lang w:val="en-US" w:eastAsia="zh-CN" w:bidi="ar-SA"/>
        </w:rPr>
        <w:t>2026年2月27日，辉瑞和安斯泰来宣布EV-304（KEYNOTE-B15）3期试验阳性结果</w:t>
      </w:r>
      <w:r>
        <w:rPr>
          <w:rFonts w:hint="eastAsia"/>
          <w:vertAlign w:val="superscript"/>
          <w:lang w:val="en-US" w:eastAsia="zh-CN" w:bidi="ar-SA"/>
        </w:rPr>
        <w:footnoteReference w:id="14"/>
      </w:r>
      <w:r>
        <w:rPr>
          <w:rFonts w:hint="eastAsia"/>
          <w:lang w:val="en-US" w:eastAsia="zh-CN" w:bidi="ar-SA"/>
        </w:rPr>
        <w:t>。PADCEV（enfortumab vedotin）联合Keytruda（pembrolizumab）围手术期治疗顺铂适用的肌层浸润性膀胱癌（MIBC）患者，与新辅助化疗相比，肿瘤复发、进展或死亡风险降低47%（HR=0.53，P&lt;0.0001），病理完全缓解率达55.8%（对照组32.5%），总生存期亦显著改善。这是首个在围手术期MIBC中同时显著改善无事件生存期（EFS）和总生存期的无铂方案。</w:t>
      </w:r>
    </w:p>
    <w:p w14:paraId="538CD523">
      <w:pPr>
        <w:pStyle w:val="24"/>
        <w:rPr>
          <w:rFonts w:hint="eastAsia"/>
          <w:kern w:val="2"/>
          <w:lang w:val="en-US" w:eastAsia="zh-CN" w:bidi="ar-SA"/>
        </w:rPr>
      </w:pPr>
      <w:bookmarkStart w:id="17" w:name="_Toc401279131"/>
      <w:r>
        <w:rPr>
          <w:rFonts w:hint="eastAsia"/>
          <w:kern w:val="2"/>
          <w:lang w:val="en-US" w:eastAsia="zh-CN" w:bidi="ar-SA"/>
        </w:rPr>
        <w:t>美国FDA全面批准辉瑞BRAFTOVI联合方案，用于BRAF V600E突变转移性结直肠癌一线治疗</w:t>
      </w:r>
      <w:bookmarkEnd w:id="17"/>
    </w:p>
    <w:p w14:paraId="7EE8BADF">
      <w:pPr>
        <w:pStyle w:val="23"/>
        <w:rPr>
          <w:rFonts w:hint="eastAsia"/>
          <w:lang w:val="en-US" w:eastAsia="zh-CN" w:bidi="ar-SA"/>
        </w:rPr>
      </w:pPr>
      <w:r>
        <w:rPr>
          <w:rFonts w:hint="eastAsia"/>
          <w:lang w:val="en-US" w:eastAsia="zh-CN" w:bidi="ar-SA"/>
        </w:rPr>
        <w:t>2026年2月24日，美国FDA将BRAFTOVI（encorafenib）联合方案的加速批准转为全面批准</w:t>
      </w:r>
      <w:r>
        <w:rPr>
          <w:rFonts w:hint="eastAsia"/>
          <w:vertAlign w:val="superscript"/>
          <w:lang w:val="en-US" w:eastAsia="zh-CN" w:bidi="ar-SA"/>
        </w:rPr>
        <w:footnoteReference w:id="15"/>
      </w:r>
      <w:r>
        <w:rPr>
          <w:rFonts w:hint="eastAsia"/>
          <w:lang w:val="en-US" w:eastAsia="zh-CN" w:bidi="ar-SA"/>
        </w:rPr>
        <w:t>，用于成人BRAF V600E突变转移性结直肠癌（mCRC）一线治疗。BREAKWATER 3期试验数据显示，与化疗（±贝伐珠单抗）相比，该联合方案将死亡风险降低51%（HR=0.49），将疾病进展或死亡风险降低47%（HR=0.53），中位总生存期从15.1个月提升至30.3个月，是该突变人群首个获批的一线靶向疗法。</w:t>
      </w:r>
    </w:p>
    <w:p w14:paraId="229DE634">
      <w:pPr>
        <w:pStyle w:val="24"/>
        <w:rPr>
          <w:rFonts w:hint="eastAsia"/>
          <w:kern w:val="2"/>
          <w:lang w:val="en-US" w:eastAsia="zh-CN" w:bidi="ar-SA"/>
        </w:rPr>
      </w:pPr>
      <w:bookmarkStart w:id="18" w:name="_Toc1199703137"/>
      <w:r>
        <w:rPr>
          <w:rFonts w:hint="eastAsia"/>
          <w:kern w:val="2"/>
          <w:lang w:val="en-US" w:eastAsia="zh-CN" w:bidi="ar-SA"/>
        </w:rPr>
        <w:t>美国FDA授予辉瑞HYMPAVZI补充申请优先审评资格，拟扩展至两类血友病患者人群</w:t>
      </w:r>
      <w:bookmarkEnd w:id="18"/>
    </w:p>
    <w:p w14:paraId="296FBFF0">
      <w:pPr>
        <w:pStyle w:val="23"/>
        <w:rPr>
          <w:rFonts w:hint="eastAsia"/>
          <w:lang w:val="en-US" w:eastAsia="zh-CN" w:bidi="ar-SA"/>
        </w:rPr>
      </w:pPr>
      <w:r>
        <w:rPr>
          <w:rFonts w:hint="eastAsia"/>
          <w:lang w:val="en-US" w:eastAsia="zh-CN" w:bidi="ar-SA"/>
        </w:rPr>
        <w:t>2026年2月6日，辉瑞宣布美国FDA已受理并授予HYMPAVZI（marstacimab）补充生物制品许可申请优先审评资格</w:t>
      </w:r>
      <w:r>
        <w:rPr>
          <w:rFonts w:hint="eastAsia"/>
          <w:vertAlign w:val="superscript"/>
          <w:lang w:val="en-US" w:eastAsia="zh-CN" w:bidi="ar-SA"/>
        </w:rPr>
        <w:footnoteReference w:id="16"/>
      </w:r>
      <w:r>
        <w:rPr>
          <w:rFonts w:hint="eastAsia"/>
          <w:lang w:val="en-US" w:eastAsia="zh-CN" w:bidi="ar-SA"/>
        </w:rPr>
        <w:t>，拟扩展适应症至6岁及以上有抑制物的血友病A或B患者，以及无抑制物的6至11岁儿童血友病A或B患者。若获批，HYMPAVZI将成为首个可用于6至11岁无抑制物血友病B儿童的非因子预防治疗药物。本次申请基于BASIS 3期试验及BASIS KIDS 3期试验数据，FDA审评行动日期预计在2026年第二季度。</w:t>
      </w:r>
    </w:p>
    <w:p w14:paraId="763060E2">
      <w:pPr>
        <w:pStyle w:val="24"/>
        <w:rPr>
          <w:rFonts w:hint="eastAsia"/>
          <w:kern w:val="2"/>
          <w:lang w:val="en-US" w:eastAsia="zh-CN" w:bidi="ar-SA"/>
        </w:rPr>
      </w:pPr>
      <w:bookmarkStart w:id="19" w:name="_Toc686661876"/>
      <w:r>
        <w:rPr>
          <w:rFonts w:hint="eastAsia"/>
          <w:kern w:val="2"/>
          <w:lang w:val="en-US" w:eastAsia="zh-CN" w:bidi="ar-SA"/>
        </w:rPr>
        <w:t>美国FDA受理BMS iberdomide新药申请并授予突破性疗法认定，用于复发或难治性多发性骨髓瘤</w:t>
      </w:r>
      <w:bookmarkEnd w:id="19"/>
    </w:p>
    <w:p w14:paraId="5ABD45D4">
      <w:pPr>
        <w:pStyle w:val="23"/>
        <w:rPr>
          <w:rFonts w:hint="eastAsia"/>
          <w:lang w:val="en-US" w:eastAsia="zh-CN" w:bidi="ar-SA"/>
        </w:rPr>
      </w:pPr>
      <w:r>
        <w:rPr>
          <w:rFonts w:hint="eastAsia"/>
          <w:lang w:val="en-US" w:eastAsia="zh-CN" w:bidi="ar-SA"/>
        </w:rPr>
        <w:t>2026年2月17日，百时美施贵宝（BMS）宣布</w:t>
      </w:r>
      <w:r>
        <w:rPr>
          <w:rFonts w:hint="eastAsia"/>
          <w:vertAlign w:val="superscript"/>
          <w:lang w:val="en-US" w:eastAsia="zh-CN" w:bidi="ar-SA"/>
        </w:rPr>
        <w:footnoteReference w:id="17"/>
      </w:r>
      <w:r>
        <w:rPr>
          <w:rFonts w:hint="eastAsia"/>
          <w:lang w:val="en-US" w:eastAsia="zh-CN" w:bidi="ar-SA"/>
        </w:rPr>
        <w:t>，美国FDA已受理iberdomide（一种CELMoD制剂）联合标准疗法用于复发或难治性多发性骨髓瘤患者的新药申请，并授予优先审评资格和突破性疗法认定，PDUFA目标行动日期为2026年8月17日。该申请基于正在进行的EXCALIBER-RRMM 3期研究MRD阴性率计划分析，审评在FDA的Project Orbis框架下进行。</w:t>
      </w:r>
    </w:p>
    <w:p w14:paraId="469890C0">
      <w:pPr>
        <w:pStyle w:val="24"/>
        <w:rPr>
          <w:rFonts w:hint="eastAsia"/>
          <w:kern w:val="2"/>
          <w:lang w:val="en-US" w:eastAsia="zh-CN" w:bidi="ar-SA"/>
        </w:rPr>
      </w:pPr>
      <w:bookmarkStart w:id="20" w:name="_Toc149030954"/>
      <w:r>
        <w:rPr>
          <w:rFonts w:hint="eastAsia"/>
          <w:kern w:val="2"/>
          <w:lang w:val="en-US" w:eastAsia="zh-CN" w:bidi="ar-SA"/>
        </w:rPr>
        <w:t>BMS与SystImmune双特异性ADC izalontamab brengitecan 3期试验在三阴性乳腺癌中取得双主要终点阳性结果</w:t>
      </w:r>
      <w:bookmarkEnd w:id="20"/>
    </w:p>
    <w:p w14:paraId="4F9A86A7">
      <w:pPr>
        <w:pStyle w:val="23"/>
        <w:rPr>
          <w:rFonts w:hint="eastAsia"/>
          <w:lang w:val="en-US" w:eastAsia="zh-CN" w:bidi="ar-SA"/>
        </w:rPr>
      </w:pPr>
      <w:r>
        <w:rPr>
          <w:rFonts w:hint="eastAsia"/>
          <w:lang w:val="en-US" w:eastAsia="zh-CN" w:bidi="ar-SA"/>
        </w:rPr>
        <w:t>2026年2月26日，SystImmune和BMS宣布BL-B01D1-307 3期试验预先设定中期分析顶线结果</w:t>
      </w:r>
      <w:r>
        <w:rPr>
          <w:rFonts w:hint="eastAsia"/>
          <w:vertAlign w:val="superscript"/>
          <w:lang w:val="en-US" w:eastAsia="zh-CN" w:bidi="ar-SA"/>
        </w:rPr>
        <w:footnoteReference w:id="18"/>
      </w:r>
      <w:r>
        <w:rPr>
          <w:rFonts w:hint="eastAsia"/>
          <w:lang w:val="en-US" w:eastAsia="zh-CN" w:bidi="ar-SA"/>
        </w:rPr>
        <w:t>，izalontamab brengitecan（Iza-bren，靶向EGFR×HER3的双特异性抗体偶联药物）在既往接受紫杉烷治疗后进展的不可切除局部晚期或转移性三阴性乳腺癌（TNBC）患者中，与医生选择化疗相比，无进展生存期（PFS）和总生存期（OS）双主要终点均达到统计学显著且具临床意义的改善。这是首个在三阴性乳腺癌3期试验中同时报告PFS和OS双阳性结果的双特异性ADC药物。</w:t>
      </w:r>
    </w:p>
    <w:sectPr>
      <w:footerReference r:id="rId6" w:type="default"/>
      <w:pgSz w:w="11906" w:h="16838"/>
      <w:pgMar w:top="1440" w:right="144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howingPlcHdr/>
      <w:docPartObj>
        <w:docPartGallery w:val="autotext"/>
      </w:docPartObj>
    </w:sdtPr>
    <w:sdtEndPr>
      <w:rPr>
        <w:rFonts w:ascii="Times New Roman" w:hAnsi="Times New Roman" w:cs="Times New Roman"/>
      </w:rPr>
    </w:sdtEndPr>
    <w:sdtContent>
      <w:p w14:paraId="0BA99AAA">
        <w:pPr>
          <w:pStyle w:val="9"/>
          <w:spacing w:after="0"/>
          <w:jc w:val="right"/>
          <w:rPr>
            <w:rFonts w:hint="eastAsia"/>
          </w:rPr>
        </w:pPr>
        <w:r>
          <w:rPr>
            <w:rFonts w:hint="eastAsia"/>
            <w:lang w:eastAsia="zh-CN"/>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516768"/>
      <w:docPartObj>
        <w:docPartGallery w:val="autotext"/>
      </w:docPartObj>
    </w:sdtPr>
    <w:sdtEndPr>
      <w:rPr>
        <w:rFonts w:ascii="Times New Roman" w:hAnsi="Times New Roman" w:cs="Times New Roman"/>
      </w:rPr>
    </w:sdtEndPr>
    <w:sdtContent>
      <w:p w14:paraId="6875D62F">
        <w:pPr>
          <w:pStyle w:val="9"/>
          <w:spacing w:after="0"/>
          <w:ind w:firstLine="5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78A11986">
    <w:pPr>
      <w:pStyle w:val="9"/>
      <w:spacing w:after="0"/>
      <w:jc w:val="right"/>
      <w:rPr>
        <w:rFonts w:hint="eastAsia"/>
      </w:rPr>
    </w:pPr>
    <w:r>
      <w:rPr>
        <w:rFonts w:hint="eastAsia"/>
        <w:sz w:val="21"/>
        <w:szCs w:val="21"/>
      </w:rPr>
      <w:t>中国科学院科技战略咨询研究院创新药政策课题组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5FEE">
    <w:pPr>
      <w:pStyle w:val="9"/>
      <w:spacing w:after="0"/>
      <w:jc w:val="center"/>
      <w:rPr>
        <w:rFonts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812952530"/>
                            <w:docPartObj>
                              <w:docPartGallery w:val="autotext"/>
                            </w:docPartObj>
                          </w:sdtPr>
                          <w:sdtEndPr>
                            <w:rPr>
                              <w:rFonts w:ascii="Times New Roman" w:hAnsi="Times New Roman" w:cs="Times New Roman"/>
                            </w:rPr>
                          </w:sdtEndPr>
                          <w:sdtContent>
                            <w:p w14:paraId="31B8A102">
                              <w:pPr>
                                <w:pStyle w:val="9"/>
                                <w:spacing w:after="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0F6663B0">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sdt>
                    <w:sdtPr>
                      <w:id w:val="812952530"/>
                      <w:docPartObj>
                        <w:docPartGallery w:val="autotext"/>
                      </w:docPartObj>
                    </w:sdtPr>
                    <w:sdtEndPr>
                      <w:rPr>
                        <w:rFonts w:ascii="Times New Roman" w:hAnsi="Times New Roman" w:cs="Times New Roman"/>
                      </w:rPr>
                    </w:sdtEndPr>
                    <w:sdtContent>
                      <w:p w14:paraId="31B8A102">
                        <w:pPr>
                          <w:pStyle w:val="9"/>
                          <w:spacing w:after="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0F6663B0">
                    <w:pPr>
                      <w:rPr>
                        <w:rFonts w:ascii="Times New Roman" w:hAnsi="Times New Roman" w:cs="Times New Roman"/>
                      </w:rPr>
                    </w:pPr>
                  </w:p>
                </w:txbxContent>
              </v:textbox>
            </v:shape>
          </w:pict>
        </mc:Fallback>
      </mc:AlternateContent>
    </w:r>
  </w:p>
  <w:p w14:paraId="42AB3A6F">
    <w:pPr>
      <w:pStyle w:val="9"/>
      <w:spacing w:after="0"/>
      <w:jc w:val="right"/>
      <w:rPr>
        <w:rFonts w:hint="eastAsia"/>
      </w:rPr>
    </w:pPr>
    <w:r>
      <w:rPr>
        <w:rFonts w:hint="eastAsia" w:ascii="仿宋_GB2312" w:eastAsia="仿宋_GB2312"/>
      </w:rPr>
      <w:t>中国科学院科技战略咨询研究院创新药政策课题组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r>
        <w:separator/>
      </w:r>
    </w:p>
  </w:footnote>
  <w:footnote w:type="continuationSeparator" w:id="39">
    <w:p>
      <w:r>
        <w:continuationSeparator/>
      </w:r>
    </w:p>
  </w:footnote>
  <w:footnote w:id="0">
    <w:p w14:paraId="1B80A982">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"https://www.nature.com/articles/s41591-025-04181-w" </w:instrText>
      </w:r>
      <w:r>
        <w:rPr>
          <w:color w:val="auto"/>
          <w:u w:val="none"/>
        </w:rPr>
        <w:fldChar w:fldCharType="separate"/>
      </w:r>
      <w:r>
        <w:rPr>
          <w:rFonts w:ascii="仿宋" w:hAnsi="仿宋" w:eastAsia="仿宋" w:cs="仿宋"/>
          <w:color w:val="auto"/>
          <w:sz w:val="18"/>
          <w:szCs w:val="18"/>
          <w:u w:val="none"/>
        </w:rPr>
        <w:t>https://www.nature.com/articles/s41591-025-04181-w</w:t>
      </w:r>
      <w:r>
        <w:rPr>
          <w:rFonts w:ascii="仿宋" w:hAnsi="仿宋" w:eastAsia="仿宋" w:cs="仿宋"/>
          <w:color w:val="auto"/>
          <w:sz w:val="18"/>
          <w:szCs w:val="18"/>
          <w:u w:val="none"/>
        </w:rPr>
        <w:fldChar w:fldCharType="end"/>
      </w:r>
    </w:p>
  </w:footnote>
  <w:footnote w:id="1">
    <w:p w14:paraId="4F3EA574">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"https://www.nature.com/articles/s41591-025-04191-8" </w:instrText>
      </w:r>
      <w:r>
        <w:rPr>
          <w:color w:val="auto"/>
          <w:u w:val="none"/>
        </w:rPr>
        <w:fldChar w:fldCharType="separate"/>
      </w:r>
      <w:r>
        <w:rPr>
          <w:rFonts w:ascii="仿宋" w:hAnsi="仿宋" w:eastAsia="仿宋" w:cs="仿宋"/>
          <w:color w:val="auto"/>
          <w:sz w:val="18"/>
          <w:szCs w:val="18"/>
          <w:u w:val="none"/>
        </w:rPr>
        <w:t>https://www.nature.com/articles/s41591-025-04191-8</w:t>
      </w:r>
      <w:r>
        <w:rPr>
          <w:rFonts w:ascii="仿宋" w:hAnsi="仿宋" w:eastAsia="仿宋" w:cs="仿宋"/>
          <w:color w:val="auto"/>
          <w:sz w:val="18"/>
          <w:szCs w:val="18"/>
          <w:u w:val="none"/>
        </w:rPr>
        <w:fldChar w:fldCharType="end"/>
      </w:r>
    </w:p>
  </w:footnote>
  <w:footnote w:id="2">
    <w:p w14:paraId="1AEA291B">
      <w:pPr>
        <w:rPr>
          <w:color w:val="auto"/>
          <w:u w:val="none"/>
        </w:rPr>
      </w:pPr>
      <w:r>
        <w:rPr>
          <w:rStyle w:val="19"/>
          <w:color w:val="auto"/>
          <w:u w:val="none"/>
        </w:rPr>
        <w:footnoteRef/>
      </w:r>
      <w:r>
        <w:rPr>
          <w:color w:val="auto"/>
          <w:u w:val="none"/>
        </w:rPr>
        <w:fldChar w:fldCharType="begin"/>
      </w:r>
      <w:r>
        <w:rPr>
          <w:color w:val="auto"/>
          <w:u w:val="none"/>
        </w:rPr>
        <w:instrText xml:space="preserve"> HYPERLINK "https://www.pfizer.com/news/press-release/press-release-detail/pfizers-ultra-long-acting-injectable-glp-1-ra-shows-robust" </w:instrText>
      </w:r>
      <w:r>
        <w:rPr>
          <w:color w:val="auto"/>
          <w:u w:val="none"/>
        </w:rPr>
        <w:fldChar w:fldCharType="separate"/>
      </w:r>
      <w:r>
        <w:rPr>
          <w:rFonts w:ascii="仿宋" w:hAnsi="仿宋" w:eastAsia="仿宋" w:cs="仿宋"/>
          <w:color w:val="auto"/>
          <w:sz w:val="18"/>
          <w:szCs w:val="18"/>
          <w:u w:val="none"/>
        </w:rPr>
        <w:t>https://www.pfizer.com/news/press-release/press-release-detail/pfizers-ultra-long-acting-injectable-glp-1-ra-shows-robust</w:t>
      </w:r>
      <w:r>
        <w:rPr>
          <w:rFonts w:ascii="仿宋" w:hAnsi="仿宋" w:eastAsia="仿宋" w:cs="仿宋"/>
          <w:color w:val="auto"/>
          <w:sz w:val="18"/>
          <w:szCs w:val="18"/>
          <w:u w:val="none"/>
        </w:rPr>
        <w:fldChar w:fldCharType="end"/>
      </w:r>
    </w:p>
  </w:footnote>
  <w:footnote w:id="3">
    <w:p w14:paraId="4D194E2D">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"https://www.pnas.org/doi/10.1073/pnas.2509698123" </w:instrText>
      </w:r>
      <w:r>
        <w:rPr>
          <w:color w:val="auto"/>
          <w:u w:val="none"/>
        </w:rPr>
        <w:fldChar w:fldCharType="separate"/>
      </w:r>
      <w:r>
        <w:rPr>
          <w:rFonts w:ascii="仿宋" w:hAnsi="仿宋" w:eastAsia="仿宋" w:cs="仿宋"/>
          <w:color w:val="auto"/>
          <w:sz w:val="18"/>
          <w:szCs w:val="18"/>
          <w:u w:val="none"/>
        </w:rPr>
        <w:t>https://www.pnas.org/doi/10.1073/pnas.2509698123</w:t>
      </w:r>
      <w:r>
        <w:rPr>
          <w:rFonts w:ascii="仿宋" w:hAnsi="仿宋" w:eastAsia="仿宋" w:cs="仿宋"/>
          <w:color w:val="auto"/>
          <w:sz w:val="18"/>
          <w:szCs w:val="18"/>
          <w:u w:val="none"/>
        </w:rPr>
        <w:fldChar w:fldCharType="end"/>
      </w:r>
    </w:p>
  </w:footnote>
  <w:footnote w:id="4">
    <w:p w14:paraId="0F15CE5F">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"https://www.pnas.org/doi/10.1073/pnas.2419694123" </w:instrText>
      </w:r>
      <w:r>
        <w:rPr>
          <w:color w:val="auto"/>
          <w:u w:val="none"/>
        </w:rPr>
        <w:fldChar w:fldCharType="separate"/>
      </w:r>
      <w:r>
        <w:rPr>
          <w:rFonts w:ascii="仿宋" w:hAnsi="仿宋" w:eastAsia="仿宋" w:cs="仿宋"/>
          <w:color w:val="auto"/>
          <w:sz w:val="18"/>
          <w:szCs w:val="18"/>
          <w:u w:val="none"/>
        </w:rPr>
        <w:t>https://www.pnas.org/doi/10.1073/pnas.2419694123</w:t>
      </w:r>
      <w:r>
        <w:rPr>
          <w:rFonts w:ascii="仿宋" w:hAnsi="仿宋" w:eastAsia="仿宋" w:cs="仿宋"/>
          <w:color w:val="auto"/>
          <w:sz w:val="18"/>
          <w:szCs w:val="18"/>
          <w:u w:val="none"/>
        </w:rPr>
        <w:fldChar w:fldCharType="end"/>
      </w:r>
    </w:p>
  </w:footnote>
  <w:footnote w:id="5">
    <w:p w14:paraId="766BD46E">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"https://www.cell.com/cell/fulltext/S0092-8674(25)01315-7" </w:instrText>
      </w:r>
      <w:r>
        <w:rPr>
          <w:color w:val="auto"/>
          <w:u w:val="none"/>
        </w:rPr>
        <w:fldChar w:fldCharType="separate"/>
      </w:r>
      <w:r>
        <w:rPr>
          <w:rFonts w:ascii="仿宋" w:hAnsi="仿宋" w:eastAsia="仿宋" w:cs="仿宋"/>
          <w:color w:val="auto"/>
          <w:sz w:val="18"/>
          <w:szCs w:val="18"/>
          <w:u w:val="none"/>
        </w:rPr>
        <w:t>https://www.cell.com/cell/fulltext/S0092-8674(25)01315-7</w:t>
      </w:r>
      <w:r>
        <w:rPr>
          <w:rFonts w:ascii="仿宋" w:hAnsi="仿宋" w:eastAsia="仿宋" w:cs="仿宋"/>
          <w:color w:val="auto"/>
          <w:sz w:val="18"/>
          <w:szCs w:val="18"/>
          <w:u w:val="none"/>
        </w:rPr>
        <w:fldChar w:fldCharType="end"/>
      </w:r>
    </w:p>
  </w:footnote>
  <w:footnote w:id="6">
    <w:p w14:paraId="56AB3703">
      <w:pPr>
        <w:rPr>
          <w:color w:val="auto"/>
          <w:u w:val="none"/>
        </w:rPr>
      </w:pPr>
      <w:r>
        <w:rPr>
          <w:rStyle w:val="19"/>
          <w:color w:val="auto"/>
          <w:u w:val="none"/>
        </w:rPr>
        <w:footnoteRef/>
      </w:r>
      <w:r>
        <w:rPr>
          <w:color w:val="auto"/>
          <w:u w:val="none"/>
        </w:rPr>
        <w:fldChar w:fldCharType="begin"/>
      </w:r>
      <w:r>
        <w:rPr>
          <w:color w:val="auto"/>
          <w:u w:val="none"/>
        </w:rPr>
        <w:instrText xml:space="preserve"> HYPERLINK "https://www.astrazeneca.com/media-centre/press-releases/2026/datroway-granted-priority-review-in-the-us-as-1st-line-treatment-for-patients.html" </w:instrText>
      </w:r>
      <w:r>
        <w:rPr>
          <w:color w:val="auto"/>
          <w:u w:val="none"/>
        </w:rPr>
        <w:fldChar w:fldCharType="separate"/>
      </w:r>
      <w:r>
        <w:rPr>
          <w:rFonts w:ascii="仿宋" w:hAnsi="仿宋" w:eastAsia="仿宋" w:cs="仿宋"/>
          <w:color w:val="auto"/>
          <w:sz w:val="18"/>
          <w:szCs w:val="18"/>
          <w:u w:val="none"/>
        </w:rPr>
        <w:t>https://www.astrazeneca.com/media-centre/press-releases/2026/datroway-granted-priority-review-in-the-us-as-1st-line-treatment-for-patients.html</w:t>
      </w:r>
      <w:r>
        <w:rPr>
          <w:rFonts w:ascii="仿宋" w:hAnsi="仿宋" w:eastAsia="仿宋" w:cs="仿宋"/>
          <w:color w:val="auto"/>
          <w:sz w:val="18"/>
          <w:szCs w:val="18"/>
          <w:u w:val="none"/>
        </w:rPr>
        <w:fldChar w:fldCharType="end"/>
      </w:r>
    </w:p>
  </w:footnote>
  <w:footnote w:id="7">
    <w:p w14:paraId="0955E14F">
      <w:pPr>
        <w:keepNext w:val="0"/>
        <w:keepLines w:val="0"/>
        <w:pageBreakBefore w:val="0"/>
        <w:widowControl w:val="0"/>
        <w:kinsoku/>
        <w:wordWrap/>
        <w:overflowPunct/>
        <w:topLinePunct w:val="0"/>
        <w:bidi w:val="0"/>
        <w:adjustRightInd w:val="0"/>
        <w:snapToGrid w:val="0"/>
        <w:textAlignment w:val="auto"/>
        <w:rPr>
          <w:color w:val="auto"/>
          <w:u w:val="none"/>
        </w:rPr>
      </w:pPr>
      <w:r>
        <w:rPr>
          <w:rStyle w:val="19"/>
          <w:color w:val="auto"/>
          <w:u w:val="none"/>
        </w:rPr>
        <w:footnoteRef/>
      </w:r>
      <w:r>
        <w:rPr>
          <w:color w:val="auto"/>
          <w:u w:val="none"/>
        </w:rPr>
        <w:fldChar w:fldCharType="begin"/>
      </w:r>
      <w:r>
        <w:rPr>
          <w:color w:val="auto"/>
          <w:u w:val="none"/>
        </w:rPr>
        <w:instrText xml:space="preserve"> HYPERLINK "https://www.astrazeneca.com/media-centre/press-releases/2026/fixed-duration-calquence-combo-approved-in-us.html" </w:instrText>
      </w:r>
      <w:r>
        <w:rPr>
          <w:color w:val="auto"/>
          <w:u w:val="none"/>
        </w:rPr>
        <w:fldChar w:fldCharType="separate"/>
      </w:r>
      <w:r>
        <w:rPr>
          <w:rFonts w:ascii="仿宋" w:hAnsi="仿宋" w:eastAsia="仿宋" w:cs="仿宋"/>
          <w:color w:val="auto"/>
          <w:sz w:val="18"/>
          <w:szCs w:val="18"/>
          <w:u w:val="none"/>
        </w:rPr>
        <w:t>https://www.astrazeneca.com/media-centre/press-releases/2026/fixed-duration-calquence-combo-approved-in-us.html</w:t>
      </w:r>
      <w:r>
        <w:rPr>
          <w:rFonts w:ascii="仿宋" w:hAnsi="仿宋" w:eastAsia="仿宋" w:cs="仿宋"/>
          <w:color w:val="auto"/>
          <w:sz w:val="18"/>
          <w:szCs w:val="18"/>
          <w:u w:val="none"/>
        </w:rPr>
        <w:fldChar w:fldCharType="end"/>
      </w:r>
    </w:p>
  </w:footnote>
  <w:footnote w:id="8">
    <w:p w14:paraId="366A726C">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"https://www.sanofi.com/en/media-room/press-releases/2026/2026-02-02-06-00-00-3229947" </w:instrText>
      </w:r>
      <w:r>
        <w:rPr>
          <w:color w:val="auto"/>
          <w:u w:val="none"/>
        </w:rPr>
        <w:fldChar w:fldCharType="separate"/>
      </w:r>
      <w:r>
        <w:rPr>
          <w:rFonts w:ascii="仿宋" w:hAnsi="仿宋" w:eastAsia="仿宋" w:cs="仿宋"/>
          <w:color w:val="auto"/>
          <w:sz w:val="18"/>
          <w:szCs w:val="18"/>
          <w:u w:val="none"/>
        </w:rPr>
        <w:t>https://www.sanofi.com/en/media-room/press-releases/2026/2026-02-02-06-00-00-3229947</w:t>
      </w:r>
      <w:r>
        <w:rPr>
          <w:rFonts w:ascii="仿宋" w:hAnsi="仿宋" w:eastAsia="仿宋" w:cs="仿宋"/>
          <w:color w:val="auto"/>
          <w:sz w:val="18"/>
          <w:szCs w:val="18"/>
          <w:u w:val="none"/>
        </w:rPr>
        <w:fldChar w:fldCharType="end"/>
      </w:r>
    </w:p>
  </w:footnote>
  <w:footnote w:id="9">
    <w:p w14:paraId="71F79550">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"https://www.sanofi.com/en/media-room/press-releases/2026/2026-02-09-06-00-00-3234232" </w:instrText>
      </w:r>
      <w:r>
        <w:rPr>
          <w:color w:val="auto"/>
          <w:u w:val="none"/>
        </w:rPr>
        <w:fldChar w:fldCharType="separate"/>
      </w:r>
      <w:r>
        <w:rPr>
          <w:rFonts w:ascii="仿宋" w:hAnsi="仿宋" w:eastAsia="仿宋" w:cs="仿宋"/>
          <w:color w:val="auto"/>
          <w:sz w:val="18"/>
          <w:szCs w:val="18"/>
          <w:u w:val="none"/>
        </w:rPr>
        <w:t>https://www.sanofi.com/en/media-room/press-releases/2026/2026-02-09-06-00-00-3234232</w:t>
      </w:r>
      <w:r>
        <w:rPr>
          <w:rFonts w:ascii="仿宋" w:hAnsi="仿宋" w:eastAsia="仿宋" w:cs="仿宋"/>
          <w:color w:val="auto"/>
          <w:sz w:val="18"/>
          <w:szCs w:val="18"/>
          <w:u w:val="none"/>
        </w:rPr>
        <w:fldChar w:fldCharType="end"/>
      </w:r>
    </w:p>
  </w:footnote>
  <w:footnote w:id="10">
    <w:p w14:paraId="60838F8B">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"https://www.sanofi.com/en/media-room/press-releases/2026/2026-02-24-14-30-00-3243732" </w:instrText>
      </w:r>
      <w:r>
        <w:rPr>
          <w:color w:val="auto"/>
          <w:u w:val="none"/>
        </w:rPr>
        <w:fldChar w:fldCharType="separate"/>
      </w:r>
      <w:r>
        <w:rPr>
          <w:rFonts w:ascii="仿宋" w:hAnsi="仿宋" w:eastAsia="仿宋" w:cs="仿宋"/>
          <w:color w:val="auto"/>
          <w:sz w:val="18"/>
          <w:szCs w:val="18"/>
          <w:u w:val="none"/>
        </w:rPr>
        <w:t>https://www.sanofi.com/en/media-room/press-releases/2026/2026-02-24-14-30-00-3243732</w:t>
      </w:r>
      <w:r>
        <w:rPr>
          <w:rFonts w:ascii="仿宋" w:hAnsi="仿宋" w:eastAsia="仿宋" w:cs="仿宋"/>
          <w:color w:val="auto"/>
          <w:sz w:val="18"/>
          <w:szCs w:val="18"/>
          <w:u w:val="none"/>
        </w:rPr>
        <w:fldChar w:fldCharType="end"/>
      </w:r>
    </w:p>
  </w:footnote>
  <w:footnote w:id="11">
    <w:p w14:paraId="00613C72">
      <w:pPr>
        <w:rPr>
          <w:color w:val="auto"/>
          <w:u w:val="none"/>
        </w:rPr>
      </w:pPr>
      <w:r>
        <w:rPr>
          <w:rStyle w:val="19"/>
          <w:color w:val="auto"/>
          <w:u w:val="none"/>
        </w:rPr>
        <w:footnoteRef/>
      </w:r>
      <w:r>
        <w:rPr>
          <w:rFonts w:ascii="仿宋" w:hAnsi="仿宋" w:eastAsia="仿宋" w:cs="仿宋"/>
          <w:color w:val="auto"/>
          <w:sz w:val="18"/>
          <w:szCs w:val="18"/>
          <w:u w:val="none"/>
        </w:rPr>
        <w:t xml:space="preserve"> </w:t>
      </w:r>
      <w:r>
        <w:rPr>
          <w:color w:val="auto"/>
          <w:u w:val="none"/>
        </w:rPr>
        <w:fldChar w:fldCharType="begin"/>
      </w:r>
      <w:r>
        <w:rPr>
          <w:color w:val="auto"/>
          <w:u w:val="none"/>
        </w:rPr>
        <w:instrText xml:space="preserve"> HYPERLINK "https://www.sanofi.com/en/media-room/press-releases/2026/2026-02-27-10-55-51-3246379" </w:instrText>
      </w:r>
      <w:r>
        <w:rPr>
          <w:color w:val="auto"/>
          <w:u w:val="none"/>
        </w:rPr>
        <w:fldChar w:fldCharType="separate"/>
      </w:r>
      <w:r>
        <w:rPr>
          <w:rFonts w:ascii="仿宋" w:hAnsi="仿宋" w:eastAsia="仿宋" w:cs="仿宋"/>
          <w:color w:val="auto"/>
          <w:sz w:val="18"/>
          <w:szCs w:val="18"/>
          <w:u w:val="none"/>
        </w:rPr>
        <w:t>https://www.sanofi.com/en/media-room/press-releases/2026/2026-02-27-10-55-51-3246379</w:t>
      </w:r>
      <w:r>
        <w:rPr>
          <w:rFonts w:ascii="仿宋" w:hAnsi="仿宋" w:eastAsia="仿宋" w:cs="仿宋"/>
          <w:color w:val="auto"/>
          <w:sz w:val="18"/>
          <w:szCs w:val="18"/>
          <w:u w:val="none"/>
        </w:rPr>
        <w:fldChar w:fldCharType="end"/>
      </w:r>
    </w:p>
  </w:footnote>
  <w:footnote w:id="12">
    <w:p w14:paraId="628A7433">
      <w:pPr>
        <w:rPr>
          <w:color w:val="auto"/>
          <w:u w:val="none"/>
        </w:rPr>
      </w:pPr>
      <w:r>
        <w:rPr>
          <w:rStyle w:val="19"/>
          <w:color w:val="auto"/>
          <w:u w:val="none"/>
        </w:rPr>
        <w:footnoteRef/>
      </w:r>
      <w:r>
        <w:rPr>
          <w:color w:val="auto"/>
          <w:u w:val="none"/>
        </w:rPr>
        <w:fldChar w:fldCharType="begin"/>
      </w:r>
      <w:r>
        <w:rPr>
          <w:color w:val="auto"/>
          <w:u w:val="none"/>
        </w:rPr>
        <w:instrText xml:space="preserve"> HYPERLINK "https://www.novonordisk.com/content/nncorp/global/en/news-and-media/news-and-ir-materials/news-details.html?id=916481" </w:instrText>
      </w:r>
      <w:r>
        <w:rPr>
          <w:color w:val="auto"/>
          <w:u w:val="none"/>
        </w:rPr>
        <w:fldChar w:fldCharType="separate"/>
      </w:r>
      <w:r>
        <w:rPr>
          <w:rFonts w:ascii="仿宋" w:hAnsi="仿宋" w:eastAsia="仿宋" w:cs="仿宋"/>
          <w:color w:val="auto"/>
          <w:sz w:val="18"/>
          <w:szCs w:val="18"/>
          <w:u w:val="none"/>
        </w:rPr>
        <w:t>https://www.novonordisk.com/content/nncorp/global/en/news-and-media/news-and-ir-materials/news-details.html?id=916481</w:t>
      </w:r>
      <w:r>
        <w:rPr>
          <w:rFonts w:ascii="仿宋" w:hAnsi="仿宋" w:eastAsia="仿宋" w:cs="仿宋"/>
          <w:color w:val="auto"/>
          <w:sz w:val="18"/>
          <w:szCs w:val="18"/>
          <w:u w:val="none"/>
        </w:rPr>
        <w:fldChar w:fldCharType="end"/>
      </w:r>
    </w:p>
  </w:footnote>
  <w:footnote w:id="13">
    <w:p w14:paraId="391BD4B3">
      <w:pPr>
        <w:rPr>
          <w:color w:val="auto"/>
          <w:u w:val="none"/>
        </w:rPr>
      </w:pPr>
      <w:r>
        <w:rPr>
          <w:rStyle w:val="19"/>
          <w:color w:val="auto"/>
          <w:u w:val="none"/>
        </w:rPr>
        <w:footnoteRef/>
      </w:r>
      <w:r>
        <w:rPr>
          <w:color w:val="auto"/>
          <w:u w:val="none"/>
        </w:rPr>
        <w:fldChar w:fldCharType="begin"/>
      </w:r>
      <w:r>
        <w:rPr>
          <w:color w:val="auto"/>
          <w:u w:val="none"/>
        </w:rPr>
        <w:instrText xml:space="preserve"> HYPERLINK "https://investor.lilly.com/news-releases/news-release-details/lillys-oral-glp-1-orforglipron-delivered-superior-blood-sugar" </w:instrText>
      </w:r>
      <w:r>
        <w:rPr>
          <w:color w:val="auto"/>
          <w:u w:val="none"/>
        </w:rPr>
        <w:fldChar w:fldCharType="separate"/>
      </w:r>
      <w:r>
        <w:rPr>
          <w:rFonts w:ascii="仿宋" w:hAnsi="仿宋" w:eastAsia="仿宋" w:cs="仿宋"/>
          <w:color w:val="auto"/>
          <w:sz w:val="18"/>
          <w:szCs w:val="18"/>
          <w:u w:val="none"/>
        </w:rPr>
        <w:t>https://investor.lilly.com/news-releases/news-release-details/lillys-oral-glp-1-orforglipron-delivered-superior-blood-sugar</w:t>
      </w:r>
      <w:r>
        <w:rPr>
          <w:rFonts w:ascii="仿宋" w:hAnsi="仿宋" w:eastAsia="仿宋" w:cs="仿宋"/>
          <w:color w:val="auto"/>
          <w:sz w:val="18"/>
          <w:szCs w:val="18"/>
          <w:u w:val="none"/>
        </w:rPr>
        <w:fldChar w:fldCharType="end"/>
      </w:r>
    </w:p>
  </w:footnote>
  <w:footnote w:id="14">
    <w:p w14:paraId="7962675B">
      <w:pPr>
        <w:rPr>
          <w:color w:val="auto"/>
          <w:u w:val="none"/>
        </w:rPr>
      </w:pPr>
      <w:r>
        <w:rPr>
          <w:rStyle w:val="19"/>
          <w:color w:val="auto"/>
          <w:u w:val="none"/>
        </w:rPr>
        <w:footnoteRef/>
      </w:r>
      <w:r>
        <w:rPr>
          <w:color w:val="auto"/>
          <w:u w:val="none"/>
        </w:rPr>
        <w:fldChar w:fldCharType="begin"/>
      </w:r>
      <w:r>
        <w:rPr>
          <w:color w:val="auto"/>
          <w:u w:val="none"/>
        </w:rPr>
        <w:instrText xml:space="preserve"> HYPERLINK "https://www.pfizer.com/news/press-release/press-release-detail/padcevtm-keytrudar-cuts-risk-recurrence-or-death-nearly-50" </w:instrText>
      </w:r>
      <w:r>
        <w:rPr>
          <w:color w:val="auto"/>
          <w:u w:val="none"/>
        </w:rPr>
        <w:fldChar w:fldCharType="separate"/>
      </w:r>
      <w:r>
        <w:rPr>
          <w:rFonts w:ascii="仿宋" w:hAnsi="仿宋" w:eastAsia="仿宋" w:cs="仿宋"/>
          <w:color w:val="auto"/>
          <w:sz w:val="18"/>
          <w:szCs w:val="18"/>
          <w:u w:val="none"/>
        </w:rPr>
        <w:t>https://www.pfizer.com/news/press-release/press-release-detail/padcevtm-keytrudar-cuts-risk-recurrence-or-death-nearly-50</w:t>
      </w:r>
      <w:r>
        <w:rPr>
          <w:rFonts w:ascii="仿宋" w:hAnsi="仿宋" w:eastAsia="仿宋" w:cs="仿宋"/>
          <w:color w:val="auto"/>
          <w:sz w:val="18"/>
          <w:szCs w:val="18"/>
          <w:u w:val="none"/>
        </w:rPr>
        <w:fldChar w:fldCharType="end"/>
      </w:r>
    </w:p>
  </w:footnote>
  <w:footnote w:id="15">
    <w:p w14:paraId="609A2F75">
      <w:pPr>
        <w:rPr>
          <w:color w:val="auto"/>
          <w:u w:val="none"/>
        </w:rPr>
      </w:pPr>
      <w:r>
        <w:rPr>
          <w:rStyle w:val="19"/>
          <w:color w:val="auto"/>
          <w:u w:val="none"/>
        </w:rPr>
        <w:footnoteRef/>
      </w:r>
      <w:r>
        <w:rPr>
          <w:color w:val="auto"/>
          <w:u w:val="none"/>
        </w:rPr>
        <w:fldChar w:fldCharType="begin"/>
      </w:r>
      <w:r>
        <w:rPr>
          <w:color w:val="auto"/>
          <w:u w:val="none"/>
        </w:rPr>
        <w:instrText xml:space="preserve"> HYPERLINK "https://www.pfizer.com/news/press-release/press-release-detail/us-fda-grants-full-approval-pfizers-braftovi-combination" </w:instrText>
      </w:r>
      <w:r>
        <w:rPr>
          <w:color w:val="auto"/>
          <w:u w:val="none"/>
        </w:rPr>
        <w:fldChar w:fldCharType="separate"/>
      </w:r>
      <w:r>
        <w:rPr>
          <w:rFonts w:ascii="仿宋" w:hAnsi="仿宋" w:eastAsia="仿宋" w:cs="仿宋"/>
          <w:color w:val="auto"/>
          <w:sz w:val="18"/>
          <w:szCs w:val="18"/>
          <w:u w:val="none"/>
        </w:rPr>
        <w:t>https://www.pfizer.com/news/press-release/press-release-detail/us-fda-grants-full-approval-pfizers-braftovi-combination</w:t>
      </w:r>
      <w:r>
        <w:rPr>
          <w:rFonts w:ascii="仿宋" w:hAnsi="仿宋" w:eastAsia="仿宋" w:cs="仿宋"/>
          <w:color w:val="auto"/>
          <w:sz w:val="18"/>
          <w:szCs w:val="18"/>
          <w:u w:val="none"/>
        </w:rPr>
        <w:fldChar w:fldCharType="end"/>
      </w:r>
    </w:p>
  </w:footnote>
  <w:footnote w:id="16">
    <w:p w14:paraId="5503BC55">
      <w:pPr>
        <w:rPr>
          <w:color w:val="auto"/>
          <w:u w:val="none"/>
        </w:rPr>
      </w:pPr>
      <w:r>
        <w:rPr>
          <w:rStyle w:val="19"/>
          <w:color w:val="auto"/>
          <w:u w:val="none"/>
        </w:rPr>
        <w:footnoteRef/>
      </w:r>
      <w:r>
        <w:rPr>
          <w:color w:val="auto"/>
          <w:u w:val="none"/>
        </w:rPr>
        <w:fldChar w:fldCharType="begin"/>
      </w:r>
      <w:r>
        <w:rPr>
          <w:color w:val="auto"/>
          <w:u w:val="none"/>
        </w:rPr>
        <w:instrText xml:space="preserve"> HYPERLINK "https://www.pfizer.com/news/press-release/press-release-detail/fda-grants-priority-review-hympavzir-marstacimab-sbla" </w:instrText>
      </w:r>
      <w:r>
        <w:rPr>
          <w:color w:val="auto"/>
          <w:u w:val="none"/>
        </w:rPr>
        <w:fldChar w:fldCharType="separate"/>
      </w:r>
      <w:r>
        <w:rPr>
          <w:rFonts w:ascii="仿宋" w:hAnsi="仿宋" w:eastAsia="仿宋" w:cs="仿宋"/>
          <w:color w:val="auto"/>
          <w:sz w:val="18"/>
          <w:szCs w:val="18"/>
          <w:u w:val="none"/>
        </w:rPr>
        <w:t>https://www.pfizer.com/news/press-release/press-release-detail/fda-grants-priority-review-hympavzir-marstacimab-sbla</w:t>
      </w:r>
      <w:r>
        <w:rPr>
          <w:rFonts w:ascii="仿宋" w:hAnsi="仿宋" w:eastAsia="仿宋" w:cs="仿宋"/>
          <w:color w:val="auto"/>
          <w:sz w:val="18"/>
          <w:szCs w:val="18"/>
          <w:u w:val="none"/>
        </w:rPr>
        <w:fldChar w:fldCharType="end"/>
      </w:r>
    </w:p>
  </w:footnote>
  <w:footnote w:id="17">
    <w:p w14:paraId="17144F7D">
      <w:pPr>
        <w:rPr>
          <w:color w:val="auto"/>
          <w:u w:val="none"/>
        </w:rPr>
      </w:pPr>
      <w:r>
        <w:rPr>
          <w:rStyle w:val="19"/>
          <w:color w:val="auto"/>
          <w:u w:val="none"/>
        </w:rPr>
        <w:footnoteRef/>
      </w:r>
      <w:r>
        <w:rPr>
          <w:color w:val="auto"/>
          <w:u w:val="none"/>
        </w:rPr>
        <w:fldChar w:fldCharType="begin"/>
      </w:r>
      <w:r>
        <w:rPr>
          <w:color w:val="auto"/>
          <w:u w:val="none"/>
        </w:rPr>
        <w:instrText xml:space="preserve"> HYPERLINK "https://news.bms.com/news/corporate-financial/2026/U-S--Food-and-Drug-Administration-Accepts-Bristol-Myers-Squibbs-New-Drug-Application-for-Iberdomide-in-Patients-with-Relapsed-or-Refractory-Multiple-Myeloma/default.aspx" </w:instrText>
      </w:r>
      <w:r>
        <w:rPr>
          <w:color w:val="auto"/>
          <w:u w:val="none"/>
        </w:rPr>
        <w:fldChar w:fldCharType="separate"/>
      </w:r>
      <w:r>
        <w:rPr>
          <w:rFonts w:ascii="仿宋" w:hAnsi="仿宋" w:eastAsia="仿宋" w:cs="仿宋"/>
          <w:color w:val="auto"/>
          <w:sz w:val="18"/>
          <w:szCs w:val="18"/>
          <w:u w:val="none"/>
        </w:rPr>
        <w:t>https://news.bms.com/news/corporate-financial/2026/U-S--Food-and-Drug-Administration-Accepts-Bristol-Myers-Squibbs-New-Drug-Application-for-Iberdomide-in-Patients-with-Relapsed-or-Refractory-Multiple-Myeloma/default.aspx</w:t>
      </w:r>
      <w:r>
        <w:rPr>
          <w:rFonts w:ascii="仿宋" w:hAnsi="仿宋" w:eastAsia="仿宋" w:cs="仿宋"/>
          <w:color w:val="auto"/>
          <w:sz w:val="18"/>
          <w:szCs w:val="18"/>
          <w:u w:val="none"/>
        </w:rPr>
        <w:fldChar w:fldCharType="end"/>
      </w:r>
    </w:p>
  </w:footnote>
  <w:footnote w:id="18">
    <w:p w14:paraId="12B71E0D">
      <w:pPr>
        <w:rPr>
          <w:color w:val="auto"/>
          <w:u w:val="none"/>
        </w:rPr>
      </w:pPr>
      <w:r>
        <w:rPr>
          <w:rStyle w:val="19"/>
          <w:color w:val="auto"/>
          <w:u w:val="none"/>
        </w:rPr>
        <w:footnoteRef/>
      </w:r>
      <w:r>
        <w:rPr>
          <w:color w:val="auto"/>
          <w:u w:val="none"/>
        </w:rPr>
        <w:fldChar w:fldCharType="begin"/>
      </w:r>
      <w:r>
        <w:rPr>
          <w:color w:val="auto"/>
          <w:u w:val="none"/>
        </w:rPr>
        <w:instrText xml:space="preserve"> HYPERLINK "https://news.bms.com/news/corporate-financial/2026/SystImmune-and-Bristol-Myers-Squibb-Highlight-Positive-Phase-III-Interim-Topline-Results-for-izalontamab-brengitecan-Iza-bren-in-Previously-Treated-Unresectable-Locally-Advanced-or-Metastatic-Triple-Negative-Breast-Cancer/default.aspx" </w:instrText>
      </w:r>
      <w:r>
        <w:rPr>
          <w:color w:val="auto"/>
          <w:u w:val="none"/>
        </w:rPr>
        <w:fldChar w:fldCharType="separate"/>
      </w:r>
      <w:r>
        <w:rPr>
          <w:rFonts w:ascii="仿宋" w:hAnsi="仿宋" w:eastAsia="仿宋" w:cs="仿宋"/>
          <w:color w:val="auto"/>
          <w:sz w:val="18"/>
          <w:szCs w:val="18"/>
          <w:u w:val="none"/>
        </w:rPr>
        <w:t>https://news.bms.com/news/corporate-financial/2026/SystImmune-and-Bristol-Myers-Squibb-Highlight-Positive-Phase-III-Interim-Topline-Results-for-izalontamab-brengitecan-Iza-bren-in-Previously-Treated-Unresectable-Locally-Advanced-or-Metastatic-Triple-Negative-Breast-Cancer/default.aspx</w:t>
      </w:r>
      <w:r>
        <w:rPr>
          <w:rFonts w:ascii="仿宋" w:hAnsi="仿宋" w:eastAsia="仿宋" w:cs="仿宋"/>
          <w:color w:val="auto"/>
          <w:sz w:val="18"/>
          <w:szCs w:val="18"/>
          <w:u w:val="none"/>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footnotePr>
    <w:footnote w:id="38"/>
    <w:footnote w:id="39"/>
  </w:footnotePr>
  <w:compat>
    <w:useFELayout/>
    <w:compatSetting w:name="compatibilityMode" w:uri="http://schemas.microsoft.com/office/word" w:val="15"/>
  </w:compat>
  <w:rsids>
    <w:rsidRoot w:val="00000000"/>
    <w:rsid w:val="4FBB6D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仿宋"/>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 w:hAnsi="仿宋" w:eastAsia="仿宋" w:cs="仿宋"/>
      <w:color w:val="000000"/>
      <w:sz w:val="24"/>
      <w:szCs w:val="24"/>
    </w:rPr>
  </w:style>
  <w:style w:type="paragraph" w:styleId="2">
    <w:name w:val="heading 1"/>
    <w:next w:val="1"/>
    <w:qFormat/>
    <w:uiPriority w:val="0"/>
    <w:pPr>
      <w:spacing w:line="360" w:lineRule="auto"/>
    </w:pPr>
    <w:rPr>
      <w:rFonts w:ascii="仿宋" w:hAnsi="仿宋" w:eastAsia="仿宋" w:cs="仿宋"/>
      <w:color w:val="2E74B5"/>
      <w:sz w:val="32"/>
      <w:szCs w:val="32"/>
    </w:rPr>
  </w:style>
  <w:style w:type="paragraph" w:styleId="3">
    <w:name w:val="heading 2"/>
    <w:next w:val="1"/>
    <w:qFormat/>
    <w:uiPriority w:val="0"/>
    <w:pPr>
      <w:spacing w:line="360" w:lineRule="auto"/>
    </w:pPr>
    <w:rPr>
      <w:rFonts w:ascii="仿宋" w:hAnsi="仿宋" w:eastAsia="仿宋" w:cs="仿宋"/>
      <w:color w:val="2E74B5"/>
      <w:sz w:val="26"/>
      <w:szCs w:val="26"/>
    </w:rPr>
  </w:style>
  <w:style w:type="paragraph" w:styleId="4">
    <w:name w:val="heading 3"/>
    <w:next w:val="1"/>
    <w:qFormat/>
    <w:uiPriority w:val="0"/>
    <w:pPr>
      <w:spacing w:line="360" w:lineRule="auto"/>
    </w:pPr>
    <w:rPr>
      <w:rFonts w:ascii="仿宋" w:hAnsi="仿宋" w:eastAsia="仿宋" w:cs="仿宋"/>
      <w:color w:val="1F4D78"/>
      <w:sz w:val="24"/>
      <w:szCs w:val="24"/>
    </w:rPr>
  </w:style>
  <w:style w:type="paragraph" w:styleId="5">
    <w:name w:val="heading 4"/>
    <w:next w:val="1"/>
    <w:qFormat/>
    <w:uiPriority w:val="0"/>
    <w:pPr>
      <w:spacing w:line="360" w:lineRule="auto"/>
    </w:pPr>
    <w:rPr>
      <w:rFonts w:ascii="仿宋" w:hAnsi="仿宋" w:eastAsia="仿宋" w:cs="仿宋"/>
      <w:i/>
      <w:iCs/>
      <w:color w:val="2E74B5"/>
      <w:sz w:val="24"/>
      <w:szCs w:val="24"/>
    </w:rPr>
  </w:style>
  <w:style w:type="paragraph" w:styleId="6">
    <w:name w:val="heading 5"/>
    <w:next w:val="1"/>
    <w:qFormat/>
    <w:uiPriority w:val="0"/>
    <w:pPr>
      <w:spacing w:line="360" w:lineRule="auto"/>
    </w:pPr>
    <w:rPr>
      <w:rFonts w:ascii="仿宋" w:hAnsi="仿宋" w:eastAsia="仿宋" w:cs="仿宋"/>
      <w:color w:val="2E74B5"/>
      <w:sz w:val="24"/>
      <w:szCs w:val="24"/>
    </w:rPr>
  </w:style>
  <w:style w:type="paragraph" w:styleId="7">
    <w:name w:val="heading 6"/>
    <w:next w:val="1"/>
    <w:qFormat/>
    <w:uiPriority w:val="0"/>
    <w:pPr>
      <w:spacing w:line="360" w:lineRule="auto"/>
    </w:pPr>
    <w:rPr>
      <w:rFonts w:ascii="仿宋" w:hAnsi="仿宋" w:eastAsia="仿宋" w:cs="仿宋"/>
      <w:color w:val="1F4D78"/>
      <w:sz w:val="24"/>
      <w:szCs w:val="24"/>
    </w:rPr>
  </w:style>
  <w:style w:type="character" w:default="1" w:styleId="16">
    <w:name w:val="Default Paragraph Font"/>
    <w:semiHidden/>
    <w:unhideWhenUsed/>
    <w:uiPriority w:val="1"/>
  </w:style>
  <w:style w:type="table" w:default="1" w:styleId="15">
    <w:name w:val="Normal Table"/>
    <w:semiHidden/>
    <w:uiPriority w:val="0"/>
    <w:tblPr>
      <w:tblCellMar>
        <w:top w:w="0" w:type="dxa"/>
        <w:left w:w="108" w:type="dxa"/>
        <w:bottom w:w="0" w:type="dxa"/>
        <w:right w:w="108" w:type="dxa"/>
      </w:tblCellMar>
    </w:tblPr>
  </w:style>
  <w:style w:type="paragraph" w:styleId="8">
    <w:name w:val="endnote text"/>
    <w:link w:val="22"/>
    <w:semiHidden/>
    <w:unhideWhenUsed/>
    <w:uiPriority w:val="99"/>
    <w:pPr>
      <w:spacing w:after="0" w:line="240" w:lineRule="auto"/>
    </w:pPr>
    <w:rPr>
      <w:rFonts w:ascii="仿宋" w:hAnsi="仿宋" w:eastAsia="仿宋" w:cs="仿宋"/>
      <w:color w:val="000000"/>
      <w:sz w:val="20"/>
      <w:szCs w:val="20"/>
    </w:rPr>
  </w:style>
  <w:style w:type="paragraph" w:styleId="9">
    <w:name w:val="footer"/>
    <w:basedOn w:val="1"/>
    <w:unhideWhenUsed/>
    <w:uiPriority w:val="99"/>
    <w:pPr>
      <w:tabs>
        <w:tab w:val="center" w:pos="4153"/>
        <w:tab w:val="right" w:pos="8306"/>
      </w:tabs>
      <w:snapToGrid w:val="0"/>
      <w:spacing w:line="240" w:lineRule="auto"/>
    </w:pPr>
    <w:rPr>
      <w:sz w:val="18"/>
      <w:szCs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nhideWhenUsed/>
    <w:uiPriority w:val="39"/>
    <w:pPr>
      <w:spacing w:after="0" w:line="240" w:lineRule="auto"/>
      <w:jc w:val="both"/>
    </w:pPr>
    <w:rPr>
      <w:sz w:val="21"/>
      <w:szCs w:val="22"/>
      <w14:ligatures w14:val="none"/>
    </w:rPr>
  </w:style>
  <w:style w:type="paragraph" w:styleId="12">
    <w:name w:val="footnote text"/>
    <w:link w:val="21"/>
    <w:semiHidden/>
    <w:unhideWhenUsed/>
    <w:uiPriority w:val="99"/>
    <w:pPr>
      <w:spacing w:after="0" w:line="240" w:lineRule="auto"/>
    </w:pPr>
    <w:rPr>
      <w:rFonts w:ascii="仿宋" w:hAnsi="仿宋" w:eastAsia="仿宋" w:cs="仿宋"/>
      <w:color w:val="000000"/>
      <w:sz w:val="20"/>
      <w:szCs w:val="20"/>
    </w:rPr>
  </w:style>
  <w:style w:type="paragraph" w:styleId="13">
    <w:name w:val="toc 2"/>
    <w:basedOn w:val="1"/>
    <w:next w:val="1"/>
    <w:unhideWhenUsed/>
    <w:uiPriority w:val="39"/>
    <w:pPr>
      <w:spacing w:after="0" w:line="240" w:lineRule="auto"/>
      <w:ind w:left="420" w:leftChars="200"/>
      <w:jc w:val="both"/>
    </w:pPr>
    <w:rPr>
      <w:sz w:val="21"/>
      <w:szCs w:val="22"/>
      <w14:ligatures w14:val="none"/>
    </w:rPr>
  </w:style>
  <w:style w:type="paragraph" w:styleId="14">
    <w:name w:val="Title"/>
    <w:qFormat/>
    <w:uiPriority w:val="0"/>
    <w:pPr>
      <w:spacing w:line="360" w:lineRule="auto"/>
    </w:pPr>
    <w:rPr>
      <w:rFonts w:ascii="仿宋" w:hAnsi="仿宋" w:eastAsia="仿宋" w:cs="仿宋"/>
      <w:color w:val="000000"/>
      <w:sz w:val="56"/>
      <w:szCs w:val="56"/>
    </w:rPr>
  </w:style>
  <w:style w:type="character" w:styleId="17">
    <w:name w:val="endnote reference"/>
    <w:semiHidden/>
    <w:unhideWhenUsed/>
    <w:uiPriority w:val="99"/>
    <w:rPr>
      <w:vertAlign w:val="superscript"/>
    </w:rPr>
  </w:style>
  <w:style w:type="character" w:styleId="18">
    <w:name w:val="Hyperlink"/>
    <w:basedOn w:val="16"/>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qFormat/>
    <w:uiPriority w:val="0"/>
    <w:pPr>
      <w:spacing w:line="360" w:lineRule="auto"/>
    </w:pPr>
    <w:rPr>
      <w:rFonts w:ascii="仿宋" w:hAnsi="仿宋" w:eastAsia="仿宋" w:cs="仿宋"/>
      <w:color w:val="000000"/>
      <w:sz w:val="24"/>
      <w:szCs w:val="24"/>
    </w:rPr>
  </w:style>
  <w:style w:type="character" w:customStyle="1" w:styleId="21">
    <w:name w:val="Footnote Text Char"/>
    <w:link w:val="12"/>
    <w:semiHidden/>
    <w:unhideWhenUsed/>
    <w:uiPriority w:val="99"/>
    <w:rPr>
      <w:sz w:val="20"/>
      <w:szCs w:val="20"/>
    </w:rPr>
  </w:style>
  <w:style w:type="character" w:customStyle="1" w:styleId="22">
    <w:name w:val="Endnote Text Char"/>
    <w:link w:val="8"/>
    <w:semiHidden/>
    <w:unhideWhenUsed/>
    <w:uiPriority w:val="99"/>
    <w:rPr>
      <w:sz w:val="20"/>
      <w:szCs w:val="20"/>
    </w:rPr>
  </w:style>
  <w:style w:type="paragraph" w:customStyle="1" w:styleId="23">
    <w:name w:val="创新药简报"/>
    <w:basedOn w:val="1"/>
    <w:qFormat/>
    <w:uiPriority w:val="0"/>
    <w:pPr>
      <w:widowControl/>
      <w:shd w:val="clear" w:color="auto" w:fill="FFFFFF"/>
      <w:spacing w:after="0" w:line="500" w:lineRule="exact"/>
      <w:ind w:firstLine="592" w:firstLineChars="200"/>
      <w:jc w:val="both"/>
    </w:pPr>
    <w:rPr>
      <w:rFonts w:ascii="Times New Roman" w:hAnsi="Times New Roman" w:eastAsia="仿宋" w:cs="Times New Roman"/>
      <w:color w:val="222222"/>
      <w:spacing w:val="8"/>
      <w:kern w:val="0"/>
      <w:sz w:val="28"/>
      <w:szCs w:val="28"/>
      <w14:ligatures w14:val="none"/>
    </w:rPr>
  </w:style>
  <w:style w:type="paragraph" w:customStyle="1" w:styleId="24">
    <w:name w:val="创新药标题"/>
    <w:basedOn w:val="1"/>
    <w:qFormat/>
    <w:uiPriority w:val="0"/>
    <w:pPr>
      <w:keepNext/>
      <w:keepLines/>
      <w:spacing w:before="260" w:after="260" w:line="415" w:lineRule="auto"/>
      <w:jc w:val="center"/>
      <w:outlineLvl w:val="1"/>
    </w:pPr>
    <w:rPr>
      <w:rFonts w:ascii="Times New Roman" w:hAnsi="Times New Roman" w:eastAsia="黑体" w:cs="Times New Roman"/>
      <w:b/>
      <w:bCs/>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WPS_1633742157</cp:lastModifiedBy>
  <dcterms:modified xsi:type="dcterms:W3CDTF">2026-03-15T00:48:00Z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06C7A7E68F69FB614091B569A37EC33E_42</vt:lpwstr>
  </property>
</Properties>
</file>