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1B48E5">
      <w:pPr>
        <w:pStyle w:val="3"/>
        <w:numPr>
          <w:numId w:val="0"/>
        </w:numPr>
        <w:ind w:leftChars="0"/>
        <w:rPr>
          <w:rFonts w:hint="eastAsia" w:ascii="华文楷体" w:hAnsi="华文楷体" w:eastAsia="华文楷体" w:cs="华文楷体"/>
          <w:sz w:val="28"/>
          <w:szCs w:val="28"/>
        </w:rPr>
      </w:pPr>
      <w:bookmarkStart w:id="2" w:name="_GoBack"/>
      <w:bookmarkEnd w:id="2"/>
      <w:r>
        <w:rPr>
          <w:rFonts w:hint="eastAsia" w:ascii="华文楷体" w:hAnsi="华文楷体" w:eastAsia="华文楷体" w:cs="华文楷体"/>
          <w:sz w:val="28"/>
          <w:szCs w:val="28"/>
          <w:lang w:eastAsia="zh-CN"/>
        </w:rPr>
        <w:t>（</w:t>
      </w:r>
      <w:r>
        <w:rPr>
          <w:rFonts w:hint="eastAsia" w:ascii="华文楷体" w:hAnsi="华文楷体" w:eastAsia="华文楷体" w:cs="华文楷体"/>
          <w:sz w:val="28"/>
          <w:szCs w:val="28"/>
          <w:lang w:val="en-US" w:eastAsia="zh-CN"/>
        </w:rPr>
        <w:t>一</w:t>
      </w:r>
      <w:r>
        <w:rPr>
          <w:rFonts w:hint="eastAsia" w:ascii="华文楷体" w:hAnsi="华文楷体" w:eastAsia="华文楷体" w:cs="华文楷体"/>
          <w:sz w:val="28"/>
          <w:szCs w:val="28"/>
          <w:lang w:eastAsia="zh-CN"/>
        </w:rPr>
        <w:t>）</w:t>
      </w:r>
      <w:r>
        <w:rPr>
          <w:rFonts w:hint="eastAsia" w:ascii="华文楷体" w:hAnsi="华文楷体" w:eastAsia="华文楷体" w:cs="华文楷体"/>
          <w:sz w:val="28"/>
          <w:szCs w:val="28"/>
        </w:rPr>
        <w:t>理论研究</w:t>
      </w:r>
    </w:p>
    <w:p w14:paraId="0CC842D9">
      <w:pPr>
        <w:pStyle w:val="4"/>
        <w:numPr>
          <w:ilvl w:val="0"/>
          <w:numId w:val="7"/>
        </w:numPr>
        <w:rPr>
          <w:rFonts w:hint="eastAsia" w:ascii="华文楷体" w:hAnsi="华文楷体" w:eastAsia="华文楷体" w:cs="华文楷体"/>
          <w:sz w:val="28"/>
          <w:szCs w:val="28"/>
        </w:rPr>
      </w:pPr>
      <w:r>
        <w:rPr>
          <w:rFonts w:hint="eastAsia" w:ascii="华文楷体" w:hAnsi="华文楷体" w:eastAsia="华文楷体" w:cs="华文楷体"/>
          <w:sz w:val="28"/>
          <w:szCs w:val="28"/>
        </w:rPr>
        <w:t>政策文件</w:t>
      </w:r>
    </w:p>
    <w:p w14:paraId="6D6B3BF3">
      <w:pPr>
        <w:rPr>
          <w:rFonts w:hint="eastAsia" w:ascii="华文楷体" w:hAnsi="华文楷体" w:eastAsia="华文楷体" w:cs="华文楷体"/>
          <w:sz w:val="28"/>
          <w:szCs w:val="28"/>
        </w:rPr>
      </w:pPr>
      <w:r>
        <w:rPr>
          <w:rFonts w:hint="eastAsia" w:ascii="华文楷体" w:hAnsi="华文楷体" w:eastAsia="华文楷体" w:cs="华文楷体"/>
          <w:sz w:val="28"/>
          <w:szCs w:val="28"/>
        </w:rPr>
        <w:tab/>
      </w:r>
      <w:bookmarkStart w:id="0" w:name="OLE_LINK2"/>
      <w:bookmarkStart w:id="1" w:name="OLE_LINK1"/>
      <w:r>
        <w:rPr>
          <w:rFonts w:hint="eastAsia" w:ascii="华文楷体" w:hAnsi="华文楷体" w:eastAsia="华文楷体" w:cs="华文楷体"/>
          <w:sz w:val="28"/>
          <w:szCs w:val="28"/>
        </w:rPr>
        <w:t>2024年《政府工作报告》首次提及“创新药”，将创新药列为积极培育的新兴产业之一。2</w:t>
      </w:r>
      <w:r>
        <w:rPr>
          <w:rFonts w:hint="eastAsia" w:ascii="华文楷体" w:hAnsi="华文楷体" w:eastAsia="华文楷体" w:cs="华文楷体"/>
          <w:sz w:val="28"/>
          <w:szCs w:val="28"/>
        </w:rPr>
        <w:t>024</w:t>
      </w:r>
      <w:r>
        <w:rPr>
          <w:rFonts w:hint="eastAsia" w:ascii="华文楷体" w:hAnsi="华文楷体" w:eastAsia="华文楷体" w:cs="华文楷体"/>
          <w:sz w:val="28"/>
          <w:szCs w:val="28"/>
        </w:rPr>
        <w:t>年7月</w:t>
      </w:r>
      <w:r>
        <w:rPr>
          <w:rFonts w:hint="eastAsia" w:ascii="华文楷体" w:hAnsi="华文楷体" w:eastAsia="华文楷体" w:cs="华文楷体"/>
          <w:sz w:val="28"/>
          <w:szCs w:val="28"/>
        </w:rPr>
        <w:t>17</w:t>
      </w:r>
      <w:r>
        <w:rPr>
          <w:rFonts w:hint="eastAsia" w:ascii="华文楷体" w:hAnsi="华文楷体" w:eastAsia="华文楷体" w:cs="华文楷体"/>
          <w:sz w:val="28"/>
          <w:szCs w:val="28"/>
        </w:rPr>
        <w:t>日《国家医疗保障局办公室关于印发按病组和病种分值付费2.0版分组方案并深入推进相关工作的通知》</w:t>
      </w:r>
      <w:r>
        <w:rPr>
          <w:rStyle w:val="139"/>
          <w:rFonts w:hint="eastAsia" w:ascii="华文楷体" w:hAnsi="华文楷体" w:eastAsia="华文楷体" w:cs="华文楷体"/>
          <w:sz w:val="28"/>
          <w:szCs w:val="28"/>
        </w:rPr>
        <w:footnoteReference w:id="0"/>
      </w:r>
      <w:r>
        <w:rPr>
          <w:rFonts w:hint="eastAsia" w:ascii="华文楷体" w:hAnsi="华文楷体" w:eastAsia="华文楷体" w:cs="华文楷体"/>
          <w:sz w:val="28"/>
          <w:szCs w:val="28"/>
        </w:rPr>
        <w:t>首次提出“</w:t>
      </w:r>
      <w:r>
        <w:rPr>
          <w:rFonts w:hint="eastAsia" w:ascii="华文楷体" w:hAnsi="华文楷体" w:eastAsia="华文楷体" w:cs="华文楷体"/>
          <w:sz w:val="28"/>
          <w:szCs w:val="28"/>
        </w:rPr>
        <w:t>特例单议机制</w:t>
      </w:r>
      <w:r>
        <w:rPr>
          <w:rFonts w:hint="eastAsia" w:ascii="华文楷体" w:hAnsi="华文楷体" w:eastAsia="华文楷体" w:cs="华文楷体"/>
          <w:sz w:val="28"/>
          <w:szCs w:val="28"/>
        </w:rPr>
        <w:t>”</w:t>
      </w:r>
      <w:r>
        <w:rPr>
          <w:rFonts w:hint="eastAsia" w:ascii="华文楷体" w:hAnsi="华文楷体" w:eastAsia="华文楷体" w:cs="华文楷体"/>
          <w:sz w:val="28"/>
          <w:szCs w:val="28"/>
        </w:rPr>
        <w:t>和</w:t>
      </w:r>
      <w:r>
        <w:rPr>
          <w:rFonts w:hint="eastAsia" w:ascii="华文楷体" w:hAnsi="华文楷体" w:eastAsia="华文楷体" w:cs="华文楷体"/>
          <w:sz w:val="28"/>
          <w:szCs w:val="28"/>
        </w:rPr>
        <w:t>“</w:t>
      </w:r>
      <w:r>
        <w:rPr>
          <w:rFonts w:hint="eastAsia" w:ascii="华文楷体" w:hAnsi="华文楷体" w:eastAsia="华文楷体" w:cs="华文楷体"/>
          <w:sz w:val="28"/>
          <w:szCs w:val="28"/>
        </w:rPr>
        <w:t>除外机制</w:t>
      </w:r>
      <w:r>
        <w:rPr>
          <w:rFonts w:hint="eastAsia" w:ascii="华文楷体" w:hAnsi="华文楷体" w:eastAsia="华文楷体" w:cs="华文楷体"/>
          <w:sz w:val="28"/>
          <w:szCs w:val="28"/>
        </w:rPr>
        <w:t>”，提出</w:t>
      </w:r>
      <w:r>
        <w:rPr>
          <w:rFonts w:hint="eastAsia" w:ascii="华文楷体" w:hAnsi="华文楷体" w:eastAsia="华文楷体" w:cs="华文楷体"/>
          <w:sz w:val="28"/>
          <w:szCs w:val="28"/>
        </w:rPr>
        <w:t>创新药新技术可</w:t>
      </w:r>
      <w:r>
        <w:rPr>
          <w:rFonts w:hint="eastAsia" w:ascii="华文楷体" w:hAnsi="华文楷体" w:eastAsia="华文楷体" w:cs="华文楷体"/>
          <w:sz w:val="28"/>
          <w:szCs w:val="28"/>
        </w:rPr>
        <w:t>“</w:t>
      </w:r>
      <w:r>
        <w:rPr>
          <w:rFonts w:hint="eastAsia" w:ascii="华文楷体" w:hAnsi="华文楷体" w:eastAsia="华文楷体" w:cs="华文楷体"/>
          <w:sz w:val="28"/>
          <w:szCs w:val="28"/>
        </w:rPr>
        <w:t>按项目付费”或“权重加成”，后期再纳入DRG/DIP</w:t>
      </w:r>
      <w:r>
        <w:rPr>
          <w:rFonts w:hint="eastAsia" w:ascii="华文楷体" w:hAnsi="华文楷体" w:eastAsia="华文楷体" w:cs="华文楷体"/>
          <w:sz w:val="28"/>
          <w:szCs w:val="28"/>
        </w:rPr>
        <w:t>。2</w:t>
      </w:r>
      <w:r>
        <w:rPr>
          <w:rFonts w:hint="eastAsia" w:ascii="华文楷体" w:hAnsi="华文楷体" w:eastAsia="华文楷体" w:cs="华文楷体"/>
          <w:sz w:val="28"/>
          <w:szCs w:val="28"/>
        </w:rPr>
        <w:t>024</w:t>
      </w:r>
      <w:r>
        <w:rPr>
          <w:rFonts w:hint="eastAsia" w:ascii="华文楷体" w:hAnsi="华文楷体" w:eastAsia="华文楷体" w:cs="华文楷体"/>
          <w:sz w:val="28"/>
          <w:szCs w:val="28"/>
        </w:rPr>
        <w:t>年1</w:t>
      </w:r>
      <w:r>
        <w:rPr>
          <w:rFonts w:hint="eastAsia" w:ascii="华文楷体" w:hAnsi="华文楷体" w:eastAsia="华文楷体" w:cs="华文楷体"/>
          <w:sz w:val="28"/>
          <w:szCs w:val="28"/>
        </w:rPr>
        <w:t>1</w:t>
      </w:r>
      <w:r>
        <w:rPr>
          <w:rFonts w:hint="eastAsia" w:ascii="华文楷体" w:hAnsi="华文楷体" w:eastAsia="华文楷体" w:cs="华文楷体"/>
          <w:sz w:val="28"/>
          <w:szCs w:val="28"/>
        </w:rPr>
        <w:t>月1</w:t>
      </w:r>
      <w:r>
        <w:rPr>
          <w:rFonts w:hint="eastAsia" w:ascii="华文楷体" w:hAnsi="华文楷体" w:eastAsia="华文楷体" w:cs="华文楷体"/>
          <w:sz w:val="28"/>
          <w:szCs w:val="28"/>
        </w:rPr>
        <w:t>6</w:t>
      </w:r>
      <w:r>
        <w:rPr>
          <w:rFonts w:hint="eastAsia" w:ascii="华文楷体" w:hAnsi="华文楷体" w:eastAsia="华文楷体" w:cs="华文楷体"/>
          <w:sz w:val="28"/>
          <w:szCs w:val="28"/>
        </w:rPr>
        <w:t>日《</w:t>
      </w:r>
      <w:r>
        <w:rPr>
          <w:rFonts w:hint="eastAsia" w:ascii="华文楷体" w:hAnsi="华文楷体" w:eastAsia="华文楷体" w:cs="华文楷体"/>
          <w:sz w:val="28"/>
          <w:szCs w:val="28"/>
        </w:rPr>
        <w:t>2024年国家基本医疗保险、工伤保险和生育保险药品目录调整工作方案</w:t>
      </w:r>
      <w:r>
        <w:rPr>
          <w:rFonts w:hint="eastAsia" w:ascii="华文楷体" w:hAnsi="华文楷体" w:eastAsia="华文楷体" w:cs="华文楷体"/>
          <w:sz w:val="28"/>
          <w:szCs w:val="28"/>
        </w:rPr>
        <w:t>》</w:t>
      </w:r>
      <w:r>
        <w:rPr>
          <w:rStyle w:val="139"/>
          <w:rFonts w:hint="eastAsia" w:ascii="华文楷体" w:hAnsi="华文楷体" w:eastAsia="华文楷体" w:cs="华文楷体"/>
          <w:sz w:val="28"/>
          <w:szCs w:val="28"/>
        </w:rPr>
        <w:footnoteReference w:id="1"/>
      </w:r>
      <w:r>
        <w:rPr>
          <w:rFonts w:hint="eastAsia" w:ascii="华文楷体" w:hAnsi="华文楷体" w:eastAsia="华文楷体" w:cs="华文楷体"/>
          <w:sz w:val="28"/>
          <w:szCs w:val="28"/>
        </w:rPr>
        <w:t>首次</w:t>
      </w:r>
      <w:r>
        <w:rPr>
          <w:rFonts w:hint="eastAsia" w:ascii="华文楷体" w:hAnsi="华文楷体" w:eastAsia="华文楷体" w:cs="华文楷体"/>
          <w:sz w:val="28"/>
          <w:szCs w:val="28"/>
        </w:rPr>
        <w:t>在方案中预留“</w:t>
      </w:r>
      <w:r>
        <w:rPr>
          <w:rFonts w:hint="eastAsia" w:ascii="华文楷体" w:hAnsi="华文楷体" w:eastAsia="华文楷体" w:cs="华文楷体"/>
          <w:color w:val="FF0000"/>
          <w:sz w:val="28"/>
          <w:szCs w:val="28"/>
        </w:rPr>
        <w:t>商保目录接口</w:t>
      </w:r>
      <w:r>
        <w:rPr>
          <w:rFonts w:hint="eastAsia" w:ascii="华文楷体" w:hAnsi="华文楷体" w:eastAsia="华文楷体" w:cs="华文楷体"/>
          <w:sz w:val="28"/>
          <w:szCs w:val="28"/>
        </w:rPr>
        <w:t>”字段，为2025年双目录申报提供技术准备。</w:t>
      </w:r>
      <w:r>
        <w:rPr>
          <w:rFonts w:hint="eastAsia" w:ascii="华文楷体" w:hAnsi="华文楷体" w:eastAsia="华文楷体" w:cs="华文楷体"/>
          <w:sz w:val="28"/>
          <w:szCs w:val="28"/>
        </w:rPr>
        <w:t>2</w:t>
      </w:r>
      <w:r>
        <w:rPr>
          <w:rFonts w:hint="eastAsia" w:ascii="华文楷体" w:hAnsi="华文楷体" w:eastAsia="华文楷体" w:cs="华文楷体"/>
          <w:sz w:val="28"/>
          <w:szCs w:val="28"/>
        </w:rPr>
        <w:t>024</w:t>
      </w:r>
      <w:r>
        <w:rPr>
          <w:rFonts w:hint="eastAsia" w:ascii="华文楷体" w:hAnsi="华文楷体" w:eastAsia="华文楷体" w:cs="华文楷体"/>
          <w:sz w:val="28"/>
          <w:szCs w:val="28"/>
        </w:rPr>
        <w:t>年1</w:t>
      </w:r>
      <w:r>
        <w:rPr>
          <w:rFonts w:hint="eastAsia" w:ascii="华文楷体" w:hAnsi="华文楷体" w:eastAsia="华文楷体" w:cs="华文楷体"/>
          <w:sz w:val="28"/>
          <w:szCs w:val="28"/>
        </w:rPr>
        <w:t>2</w:t>
      </w:r>
      <w:r>
        <w:rPr>
          <w:rFonts w:hint="eastAsia" w:ascii="华文楷体" w:hAnsi="华文楷体" w:eastAsia="华文楷体" w:cs="华文楷体"/>
          <w:sz w:val="28"/>
          <w:szCs w:val="28"/>
        </w:rPr>
        <w:t>月2</w:t>
      </w:r>
      <w:r>
        <w:rPr>
          <w:rFonts w:hint="eastAsia" w:ascii="华文楷体" w:hAnsi="华文楷体" w:eastAsia="华文楷体" w:cs="华文楷体"/>
          <w:sz w:val="28"/>
          <w:szCs w:val="28"/>
        </w:rPr>
        <w:t>0</w:t>
      </w:r>
      <w:r>
        <w:rPr>
          <w:rFonts w:hint="eastAsia" w:ascii="华文楷体" w:hAnsi="华文楷体" w:eastAsia="华文楷体" w:cs="华文楷体"/>
          <w:sz w:val="28"/>
          <w:szCs w:val="28"/>
        </w:rPr>
        <w:t>日北京市医疗保障局《关于印发第一批CHS-DRG付费新药新技术除外支付工作有关问题的通知》</w:t>
      </w:r>
      <w:r>
        <w:rPr>
          <w:rStyle w:val="139"/>
          <w:rFonts w:hint="eastAsia" w:ascii="华文楷体" w:hAnsi="华文楷体" w:eastAsia="华文楷体" w:cs="华文楷体"/>
          <w:sz w:val="28"/>
          <w:szCs w:val="28"/>
        </w:rPr>
        <w:footnoteReference w:id="2"/>
      </w:r>
      <w:r>
        <w:rPr>
          <w:rFonts w:hint="eastAsia" w:ascii="华文楷体" w:hAnsi="华文楷体" w:eastAsia="华文楷体" w:cs="华文楷体"/>
          <w:sz w:val="28"/>
          <w:szCs w:val="28"/>
        </w:rPr>
        <w:t>提出了</w:t>
      </w:r>
      <w:r>
        <w:rPr>
          <w:rFonts w:hint="eastAsia" w:ascii="华文楷体" w:hAnsi="华文楷体" w:eastAsia="华文楷体" w:cs="华文楷体"/>
          <w:sz w:val="28"/>
          <w:szCs w:val="28"/>
        </w:rPr>
        <w:t>全国首个DRG除外支付落地名单</w:t>
      </w:r>
      <w:r>
        <w:rPr>
          <w:rFonts w:hint="eastAsia" w:ascii="华文楷体" w:hAnsi="华文楷体" w:eastAsia="华文楷体" w:cs="华文楷体"/>
          <w:sz w:val="28"/>
          <w:szCs w:val="28"/>
        </w:rPr>
        <w:t>，规定三年内</w:t>
      </w:r>
      <w:r>
        <w:rPr>
          <w:rFonts w:hint="eastAsia" w:ascii="华文楷体" w:hAnsi="华文楷体" w:eastAsia="华文楷体" w:cs="华文楷体"/>
          <w:sz w:val="28"/>
          <w:szCs w:val="28"/>
        </w:rPr>
        <w:t>创新药耗新技术病例可“按项目付费”</w:t>
      </w:r>
      <w:r>
        <w:rPr>
          <w:rFonts w:hint="eastAsia" w:ascii="华文楷体" w:hAnsi="华文楷体" w:eastAsia="华文楷体" w:cs="华文楷体"/>
          <w:sz w:val="28"/>
          <w:szCs w:val="28"/>
        </w:rPr>
        <w:t>，</w:t>
      </w:r>
      <w:r>
        <w:rPr>
          <w:rFonts w:hint="eastAsia" w:ascii="华文楷体" w:hAnsi="华文楷体" w:eastAsia="华文楷体" w:cs="华文楷体"/>
          <w:sz w:val="28"/>
          <w:szCs w:val="28"/>
        </w:rPr>
        <w:t>为2025年商保目录“除外支付”提供地方模板。</w:t>
      </w:r>
      <w:r>
        <w:rPr>
          <w:rFonts w:hint="eastAsia" w:ascii="华文楷体" w:hAnsi="华文楷体" w:eastAsia="华文楷体" w:cs="华文楷体"/>
          <w:sz w:val="28"/>
          <w:szCs w:val="28"/>
        </w:rPr>
        <w:t>2</w:t>
      </w:r>
      <w:r>
        <w:rPr>
          <w:rFonts w:hint="eastAsia" w:ascii="华文楷体" w:hAnsi="华文楷体" w:eastAsia="华文楷体" w:cs="华文楷体"/>
          <w:sz w:val="28"/>
          <w:szCs w:val="28"/>
        </w:rPr>
        <w:t>025</w:t>
      </w:r>
      <w:r>
        <w:rPr>
          <w:rFonts w:hint="eastAsia" w:ascii="华文楷体" w:hAnsi="华文楷体" w:eastAsia="华文楷体" w:cs="华文楷体"/>
          <w:sz w:val="28"/>
          <w:szCs w:val="28"/>
        </w:rPr>
        <w:t>年1月2</w:t>
      </w:r>
      <w:r>
        <w:rPr>
          <w:rFonts w:hint="eastAsia" w:ascii="华文楷体" w:hAnsi="华文楷体" w:eastAsia="华文楷体" w:cs="华文楷体"/>
          <w:sz w:val="28"/>
          <w:szCs w:val="28"/>
        </w:rPr>
        <w:t>7</w:t>
      </w:r>
      <w:r>
        <w:rPr>
          <w:rFonts w:hint="eastAsia" w:ascii="华文楷体" w:hAnsi="华文楷体" w:eastAsia="华文楷体" w:cs="华文楷体"/>
          <w:sz w:val="28"/>
          <w:szCs w:val="28"/>
        </w:rPr>
        <w:t>日国务院办公厅颁布的《国务院办公厅关于全面深化药品医疗器械监管改革促进医药产业高质量发展的意见》</w:t>
      </w:r>
      <w:r>
        <w:rPr>
          <w:rFonts w:hint="eastAsia" w:ascii="华文楷体" w:hAnsi="华文楷体" w:eastAsia="华文楷体" w:cs="华文楷体"/>
          <w:sz w:val="28"/>
          <w:szCs w:val="28"/>
          <w:vertAlign w:val="superscript"/>
        </w:rPr>
        <w:footnoteReference w:id="3"/>
      </w:r>
      <w:r>
        <w:rPr>
          <w:rFonts w:hint="eastAsia" w:ascii="华文楷体" w:hAnsi="华文楷体" w:eastAsia="华文楷体" w:cs="华文楷体"/>
          <w:sz w:val="28"/>
          <w:szCs w:val="28"/>
        </w:rPr>
        <w:t>文件中</w:t>
      </w:r>
      <w:r>
        <w:rPr>
          <w:rFonts w:hint="eastAsia" w:ascii="华文楷体" w:hAnsi="华文楷体" w:eastAsia="华文楷体" w:cs="华文楷体"/>
          <w:sz w:val="28"/>
          <w:szCs w:val="28"/>
        </w:rPr>
        <w:t>首次提出“制定创新药目录，支持创新药和医疗器械发展”，为后续商保目录奠定顶层设计。</w:t>
      </w:r>
      <w:r>
        <w:rPr>
          <w:rFonts w:hint="eastAsia" w:ascii="华文楷体" w:hAnsi="华文楷体" w:eastAsia="华文楷体" w:cs="华文楷体"/>
          <w:sz w:val="28"/>
          <w:szCs w:val="28"/>
        </w:rPr>
        <w:t>3月5日，2</w:t>
      </w:r>
      <w:r>
        <w:rPr>
          <w:rFonts w:hint="eastAsia" w:ascii="华文楷体" w:hAnsi="华文楷体" w:eastAsia="华文楷体" w:cs="华文楷体"/>
          <w:sz w:val="28"/>
          <w:szCs w:val="28"/>
        </w:rPr>
        <w:t>025</w:t>
      </w:r>
      <w:r>
        <w:rPr>
          <w:rFonts w:hint="eastAsia" w:ascii="华文楷体" w:hAnsi="华文楷体" w:eastAsia="华文楷体" w:cs="华文楷体"/>
          <w:sz w:val="28"/>
          <w:szCs w:val="28"/>
        </w:rPr>
        <w:t>年《政府工作报告》</w:t>
      </w:r>
      <w:r>
        <w:rPr>
          <w:rStyle w:val="139"/>
          <w:rFonts w:hint="eastAsia" w:ascii="华文楷体" w:hAnsi="华文楷体" w:eastAsia="华文楷体" w:cs="华文楷体"/>
          <w:sz w:val="28"/>
          <w:szCs w:val="28"/>
        </w:rPr>
        <w:footnoteReference w:id="4"/>
      </w:r>
      <w:r>
        <w:rPr>
          <w:rFonts w:hint="eastAsia" w:ascii="华文楷体" w:hAnsi="华文楷体" w:eastAsia="华文楷体" w:cs="华文楷体"/>
          <w:sz w:val="28"/>
          <w:szCs w:val="28"/>
        </w:rPr>
        <w:t>明确提出“制定</w:t>
      </w:r>
      <w:r>
        <w:rPr>
          <w:rFonts w:hint="eastAsia" w:ascii="华文楷体" w:hAnsi="华文楷体" w:eastAsia="华文楷体" w:cs="华文楷体"/>
          <w:color w:val="FF0000"/>
          <w:sz w:val="28"/>
          <w:szCs w:val="28"/>
        </w:rPr>
        <w:t>创新药目录</w:t>
      </w:r>
      <w:r>
        <w:rPr>
          <w:rFonts w:hint="eastAsia" w:ascii="华文楷体" w:hAnsi="华文楷体" w:eastAsia="华文楷体" w:cs="华文楷体"/>
          <w:sz w:val="28"/>
          <w:szCs w:val="28"/>
        </w:rPr>
        <w:t>，支持创新药和医疗器械发展”，为商保目录提供政策锚点。</w:t>
      </w:r>
      <w:r>
        <w:rPr>
          <w:rFonts w:hint="eastAsia" w:ascii="华文楷体" w:hAnsi="华文楷体" w:eastAsia="华文楷体" w:cs="华文楷体"/>
          <w:sz w:val="28"/>
          <w:szCs w:val="28"/>
        </w:rPr>
        <w:t>6月3</w:t>
      </w:r>
      <w:r>
        <w:rPr>
          <w:rFonts w:hint="eastAsia" w:ascii="华文楷体" w:hAnsi="华文楷体" w:eastAsia="华文楷体" w:cs="华文楷体"/>
          <w:sz w:val="28"/>
          <w:szCs w:val="28"/>
        </w:rPr>
        <w:t>0</w:t>
      </w:r>
      <w:r>
        <w:rPr>
          <w:rFonts w:hint="eastAsia" w:ascii="华文楷体" w:hAnsi="华文楷体" w:eastAsia="华文楷体" w:cs="华文楷体"/>
          <w:sz w:val="28"/>
          <w:szCs w:val="28"/>
        </w:rPr>
        <w:t>日《</w:t>
      </w:r>
      <w:r>
        <w:rPr>
          <w:rFonts w:hint="eastAsia" w:ascii="华文楷体" w:hAnsi="华文楷体" w:eastAsia="华文楷体" w:cs="华文楷体"/>
          <w:sz w:val="28"/>
          <w:szCs w:val="28"/>
        </w:rPr>
        <w:t>关于印发《支持创新药高质量发展的若干措施》的通知</w:t>
      </w:r>
      <w:r>
        <w:rPr>
          <w:rFonts w:hint="eastAsia" w:ascii="华文楷体" w:hAnsi="华文楷体" w:eastAsia="华文楷体" w:cs="华文楷体"/>
          <w:sz w:val="28"/>
          <w:szCs w:val="28"/>
        </w:rPr>
        <w:t>》</w:t>
      </w:r>
      <w:r>
        <w:rPr>
          <w:rStyle w:val="139"/>
          <w:rFonts w:hint="eastAsia" w:ascii="华文楷体" w:hAnsi="华文楷体" w:eastAsia="华文楷体" w:cs="华文楷体"/>
          <w:sz w:val="28"/>
          <w:szCs w:val="28"/>
        </w:rPr>
        <w:footnoteReference w:id="5"/>
      </w:r>
      <w:r>
        <w:rPr>
          <w:rFonts w:hint="eastAsia" w:ascii="华文楷体" w:hAnsi="华文楷体" w:eastAsia="华文楷体" w:cs="华文楷体"/>
          <w:sz w:val="28"/>
          <w:szCs w:val="28"/>
        </w:rPr>
        <w:t>首次提出“增设商业健康保险创新药品目录（丙类目录）”</w:t>
      </w:r>
      <w:r>
        <w:rPr>
          <w:rFonts w:hint="eastAsia" w:ascii="华文楷体" w:hAnsi="华文楷体" w:eastAsia="华文楷体" w:cs="华文楷体"/>
          <w:sz w:val="28"/>
          <w:szCs w:val="28"/>
        </w:rPr>
        <w:t>，同时</w:t>
      </w:r>
      <w:r>
        <w:rPr>
          <w:rFonts w:hint="eastAsia" w:ascii="华文楷体" w:hAnsi="华文楷体" w:eastAsia="华文楷体" w:cs="华文楷体"/>
          <w:color w:val="FF0000"/>
          <w:sz w:val="28"/>
          <w:szCs w:val="28"/>
        </w:rPr>
        <w:t>允许商保目录药品“可不纳入DRG/DIP付费范围、不计入医保自费率考核”</w:t>
      </w:r>
      <w:r>
        <w:rPr>
          <w:rFonts w:hint="eastAsia" w:ascii="华文楷体" w:hAnsi="华文楷体" w:eastAsia="华文楷体" w:cs="华文楷体"/>
          <w:sz w:val="28"/>
          <w:szCs w:val="28"/>
        </w:rPr>
        <w:t>，</w:t>
      </w:r>
      <w:r>
        <w:rPr>
          <w:rFonts w:hint="eastAsia" w:ascii="华文楷体" w:hAnsi="华文楷体" w:eastAsia="华文楷体" w:cs="华文楷体"/>
          <w:sz w:val="28"/>
          <w:szCs w:val="28"/>
        </w:rPr>
        <w:t>明确“依托全国统一医保信息平台开发</w:t>
      </w:r>
      <w:r>
        <w:rPr>
          <w:rFonts w:hint="eastAsia" w:ascii="华文楷体" w:hAnsi="华文楷体" w:eastAsia="华文楷体" w:cs="华文楷体"/>
          <w:color w:val="FF0000"/>
          <w:sz w:val="28"/>
          <w:szCs w:val="28"/>
        </w:rPr>
        <w:t>商保专用数据接口</w:t>
      </w:r>
      <w:r>
        <w:rPr>
          <w:rFonts w:hint="eastAsia" w:ascii="华文楷体" w:hAnsi="华文楷体" w:eastAsia="华文楷体" w:cs="华文楷体"/>
          <w:sz w:val="28"/>
          <w:szCs w:val="28"/>
        </w:rPr>
        <w:t>”</w:t>
      </w:r>
      <w:r>
        <w:rPr>
          <w:rFonts w:hint="eastAsia" w:ascii="华文楷体" w:hAnsi="华文楷体" w:eastAsia="华文楷体" w:cs="华文楷体"/>
          <w:sz w:val="28"/>
          <w:szCs w:val="28"/>
        </w:rPr>
        <w:t>的措施</w:t>
      </w:r>
      <w:r>
        <w:rPr>
          <w:rFonts w:hint="eastAsia" w:ascii="华文楷体" w:hAnsi="华文楷体" w:eastAsia="华文楷体" w:cs="华文楷体"/>
          <w:sz w:val="28"/>
          <w:szCs w:val="28"/>
        </w:rPr>
        <w:t>。</w:t>
      </w:r>
      <w:r>
        <w:rPr>
          <w:rFonts w:hint="eastAsia" w:ascii="华文楷体" w:hAnsi="华文楷体" w:eastAsia="华文楷体" w:cs="华文楷体"/>
          <w:sz w:val="28"/>
          <w:szCs w:val="28"/>
        </w:rPr>
        <w:t>7月1</w:t>
      </w:r>
      <w:r>
        <w:rPr>
          <w:rFonts w:hint="eastAsia" w:ascii="华文楷体" w:hAnsi="华文楷体" w:eastAsia="华文楷体" w:cs="华文楷体"/>
          <w:sz w:val="28"/>
          <w:szCs w:val="28"/>
        </w:rPr>
        <w:t>0</w:t>
      </w:r>
      <w:r>
        <w:rPr>
          <w:rFonts w:hint="eastAsia" w:ascii="华文楷体" w:hAnsi="华文楷体" w:eastAsia="华文楷体" w:cs="华文楷体"/>
          <w:sz w:val="28"/>
          <w:szCs w:val="28"/>
        </w:rPr>
        <w:t>日《</w:t>
      </w:r>
      <w:r>
        <w:rPr>
          <w:rFonts w:hint="eastAsia" w:ascii="华文楷体" w:hAnsi="华文楷体" w:eastAsia="华文楷体" w:cs="华文楷体"/>
          <w:sz w:val="28"/>
          <w:szCs w:val="28"/>
        </w:rPr>
        <w:t>国家基本医疗保险、生育保险和工伤保险药品目录及商业健康保险创新药品目录调整</w:t>
      </w:r>
      <w:r>
        <w:rPr>
          <w:rFonts w:hint="eastAsia" w:ascii="华文楷体" w:hAnsi="华文楷体" w:eastAsia="华文楷体" w:cs="华文楷体"/>
          <w:sz w:val="28"/>
          <w:szCs w:val="28"/>
        </w:rPr>
        <w:t>》</w:t>
      </w:r>
      <w:r>
        <w:rPr>
          <w:rStyle w:val="139"/>
          <w:rFonts w:hint="eastAsia" w:ascii="华文楷体" w:hAnsi="华文楷体" w:eastAsia="华文楷体" w:cs="华文楷体"/>
          <w:sz w:val="28"/>
          <w:szCs w:val="28"/>
        </w:rPr>
        <w:footnoteReference w:id="6"/>
      </w:r>
      <w:r>
        <w:rPr>
          <w:rFonts w:hint="eastAsia" w:ascii="华文楷体" w:hAnsi="华文楷体" w:eastAsia="华文楷体" w:cs="华文楷体"/>
          <w:sz w:val="28"/>
          <w:szCs w:val="28"/>
        </w:rPr>
        <w:t>中提出</w:t>
      </w:r>
      <w:r>
        <w:rPr>
          <w:rFonts w:hint="eastAsia" w:ascii="华文楷体" w:hAnsi="华文楷体" w:eastAsia="华文楷体" w:cs="华文楷体"/>
          <w:sz w:val="28"/>
          <w:szCs w:val="28"/>
        </w:rPr>
        <w:t>同步启动“基本医保目录+商保创新药目录”双轨申报</w:t>
      </w:r>
      <w:r>
        <w:rPr>
          <w:rFonts w:hint="eastAsia" w:ascii="华文楷体" w:hAnsi="华文楷体" w:eastAsia="华文楷体" w:cs="华文楷体"/>
          <w:sz w:val="28"/>
          <w:szCs w:val="28"/>
        </w:rPr>
        <w:t>，</w:t>
      </w:r>
      <w:r>
        <w:rPr>
          <w:rFonts w:hint="eastAsia" w:ascii="华文楷体" w:hAnsi="华文楷体" w:eastAsia="华文楷体" w:cs="华文楷体"/>
          <w:color w:val="FF0000"/>
          <w:sz w:val="28"/>
          <w:szCs w:val="28"/>
        </w:rPr>
        <w:t>明确</w:t>
      </w:r>
      <w:r>
        <w:rPr>
          <w:rFonts w:hint="eastAsia" w:ascii="华文楷体" w:hAnsi="华文楷体" w:eastAsia="华文楷体" w:cs="华文楷体"/>
          <w:color w:val="FF0000"/>
          <w:sz w:val="28"/>
          <w:szCs w:val="28"/>
        </w:rPr>
        <w:t>商保目录聚焦“超出保基本、创新程度高”药品</w:t>
      </w:r>
      <w:r>
        <w:rPr>
          <w:rFonts w:hint="eastAsia" w:ascii="华文楷体" w:hAnsi="华文楷体" w:eastAsia="华文楷体" w:cs="华文楷体"/>
          <w:color w:val="FF0000"/>
          <w:sz w:val="28"/>
          <w:szCs w:val="28"/>
        </w:rPr>
        <w:t>的商保定位</w:t>
      </w:r>
      <w:r>
        <w:rPr>
          <w:rFonts w:hint="eastAsia" w:ascii="华文楷体" w:hAnsi="华文楷体" w:eastAsia="华文楷体" w:cs="华文楷体"/>
          <w:sz w:val="28"/>
          <w:szCs w:val="28"/>
        </w:rPr>
        <w:t>，且</w:t>
      </w:r>
      <w:r>
        <w:rPr>
          <w:rFonts w:hint="eastAsia" w:ascii="华文楷体" w:hAnsi="华文楷体" w:eastAsia="华文楷体" w:cs="华文楷体"/>
          <w:sz w:val="28"/>
          <w:szCs w:val="28"/>
        </w:rPr>
        <w:t>商保目录药品可豁免“医保自费率考核”和“按病种付费”</w:t>
      </w:r>
      <w:r>
        <w:rPr>
          <w:rFonts w:hint="eastAsia" w:ascii="华文楷体" w:hAnsi="华文楷体" w:eastAsia="华文楷体" w:cs="华文楷体"/>
          <w:sz w:val="28"/>
          <w:szCs w:val="28"/>
        </w:rPr>
        <w:t>，</w:t>
      </w:r>
      <w:r>
        <w:rPr>
          <w:rFonts w:hint="eastAsia" w:ascii="华文楷体" w:hAnsi="华文楷体" w:eastAsia="华文楷体" w:cs="华文楷体"/>
          <w:sz w:val="28"/>
          <w:szCs w:val="28"/>
        </w:rPr>
        <w:t>被学界解读为“独立支柱”信号</w:t>
      </w:r>
      <w:r>
        <w:rPr>
          <w:rFonts w:hint="eastAsia" w:ascii="华文楷体" w:hAnsi="华文楷体" w:eastAsia="华文楷体" w:cs="华文楷体"/>
          <w:sz w:val="28"/>
          <w:szCs w:val="28"/>
        </w:rPr>
        <w:t>。7月1</w:t>
      </w:r>
      <w:r>
        <w:rPr>
          <w:rFonts w:hint="eastAsia" w:ascii="华文楷体" w:hAnsi="华文楷体" w:eastAsia="华文楷体" w:cs="华文楷体"/>
          <w:sz w:val="28"/>
          <w:szCs w:val="28"/>
        </w:rPr>
        <w:t>5</w:t>
      </w:r>
      <w:r>
        <w:rPr>
          <w:rFonts w:hint="eastAsia" w:ascii="华文楷体" w:hAnsi="华文楷体" w:eastAsia="华文楷体" w:cs="华文楷体"/>
          <w:sz w:val="28"/>
          <w:szCs w:val="28"/>
        </w:rPr>
        <w:t>日《“双目录”机制启动：协同共治支持创新药高质量发展》</w:t>
      </w:r>
      <w:r>
        <w:rPr>
          <w:rStyle w:val="139"/>
          <w:rFonts w:hint="eastAsia" w:ascii="华文楷体" w:hAnsi="华文楷体" w:eastAsia="华文楷体" w:cs="华文楷体"/>
          <w:sz w:val="28"/>
          <w:szCs w:val="28"/>
        </w:rPr>
        <w:footnoteReference w:id="7"/>
      </w:r>
      <w:r>
        <w:rPr>
          <w:rFonts w:hint="eastAsia" w:ascii="华文楷体" w:hAnsi="华文楷体" w:eastAsia="华文楷体" w:cs="华文楷体"/>
          <w:sz w:val="28"/>
          <w:szCs w:val="28"/>
        </w:rPr>
        <w:t>中再次强调创新药领域医保与商保之间的初步关系，即</w:t>
      </w:r>
      <w:r>
        <w:rPr>
          <w:rFonts w:hint="eastAsia" w:ascii="华文楷体" w:hAnsi="华文楷体" w:eastAsia="华文楷体" w:cs="华文楷体"/>
          <w:color w:val="FF0000"/>
          <w:sz w:val="28"/>
          <w:szCs w:val="28"/>
        </w:rPr>
        <w:t>正式提出“商保探路、医保接力”立体保障网络</w:t>
      </w:r>
      <w:r>
        <w:rPr>
          <w:rFonts w:hint="eastAsia" w:ascii="华文楷体" w:hAnsi="华文楷体" w:eastAsia="华文楷体" w:cs="华文楷体"/>
          <w:color w:val="FF0000"/>
          <w:sz w:val="28"/>
          <w:szCs w:val="28"/>
        </w:rPr>
        <w:t>，明确</w:t>
      </w:r>
      <w:r>
        <w:rPr>
          <w:rFonts w:hint="eastAsia" w:ascii="华文楷体" w:hAnsi="华文楷体" w:eastAsia="华文楷体" w:cs="华文楷体"/>
          <w:color w:val="FF0000"/>
          <w:sz w:val="28"/>
          <w:szCs w:val="28"/>
        </w:rPr>
        <w:t>商保目录为“医保外高值创新药”支付主体</w:t>
      </w:r>
      <w:r>
        <w:rPr>
          <w:rFonts w:hint="eastAsia" w:ascii="华文楷体" w:hAnsi="华文楷体" w:eastAsia="华文楷体" w:cs="华文楷体"/>
          <w:color w:val="FF0000"/>
          <w:sz w:val="28"/>
          <w:szCs w:val="28"/>
        </w:rPr>
        <w:t>的重要地位</w:t>
      </w:r>
      <w:r>
        <w:rPr>
          <w:rFonts w:hint="eastAsia" w:ascii="华文楷体" w:hAnsi="华文楷体" w:eastAsia="华文楷体" w:cs="华文楷体"/>
          <w:sz w:val="28"/>
          <w:szCs w:val="28"/>
        </w:rPr>
        <w:t>，并</w:t>
      </w:r>
      <w:r>
        <w:rPr>
          <w:rFonts w:hint="eastAsia" w:ascii="华文楷体" w:hAnsi="华文楷体" w:eastAsia="华文楷体" w:cs="华文楷体"/>
          <w:sz w:val="28"/>
          <w:szCs w:val="28"/>
        </w:rPr>
        <w:t>要求各地3个月内完成“除外支付+商保直赔”接口对接。</w:t>
      </w:r>
    </w:p>
    <w:p w14:paraId="79B94782">
      <w:pPr>
        <w:rPr>
          <w:rFonts w:hint="eastAsia" w:ascii="华文楷体" w:hAnsi="华文楷体" w:eastAsia="华文楷体" w:cs="华文楷体"/>
          <w:sz w:val="28"/>
          <w:szCs w:val="28"/>
        </w:rPr>
      </w:pPr>
      <w:r>
        <w:rPr>
          <w:rFonts w:hint="eastAsia" w:ascii="华文楷体" w:hAnsi="华文楷体" w:eastAsia="华文楷体" w:cs="华文楷体"/>
          <w:sz w:val="28"/>
          <w:szCs w:val="28"/>
        </w:rPr>
        <w:tab/>
      </w:r>
      <w:r>
        <w:rPr>
          <w:rFonts w:hint="eastAsia" w:ascii="华文楷体" w:hAnsi="华文楷体" w:eastAsia="华文楷体" w:cs="华文楷体"/>
          <w:sz w:val="28"/>
          <w:szCs w:val="28"/>
        </w:rPr>
        <w:t>综上，在</w:t>
      </w:r>
      <w:r>
        <w:rPr>
          <w:rFonts w:hint="eastAsia" w:ascii="华文楷体" w:hAnsi="华文楷体" w:eastAsia="华文楷体" w:cs="华文楷体"/>
          <w:color w:val="FF0000"/>
          <w:sz w:val="28"/>
          <w:szCs w:val="28"/>
        </w:rPr>
        <w:t>定位演进角度</w:t>
      </w:r>
      <w:r>
        <w:rPr>
          <w:rFonts w:hint="eastAsia" w:ascii="华文楷体" w:hAnsi="华文楷体" w:eastAsia="华文楷体" w:cs="华文楷体"/>
          <w:sz w:val="28"/>
          <w:szCs w:val="28"/>
        </w:rPr>
        <w:t>，商保逐渐从“医保附属”向“独立支柱”演变，但尚未具有明确表述，边界尚未清晰。在</w:t>
      </w:r>
      <w:r>
        <w:rPr>
          <w:rFonts w:hint="eastAsia" w:ascii="华文楷体" w:hAnsi="华文楷体" w:eastAsia="华文楷体" w:cs="华文楷体"/>
          <w:color w:val="FF0000"/>
          <w:sz w:val="28"/>
          <w:szCs w:val="28"/>
        </w:rPr>
        <w:t>定价演进角度</w:t>
      </w:r>
      <w:r>
        <w:rPr>
          <w:rFonts w:hint="eastAsia" w:ascii="华文楷体" w:hAnsi="华文楷体" w:eastAsia="华文楷体" w:cs="华文楷体"/>
          <w:sz w:val="28"/>
          <w:szCs w:val="28"/>
        </w:rPr>
        <w:t>，创新药定价从原有的</w:t>
      </w:r>
      <w:r>
        <w:rPr>
          <w:rFonts w:hint="eastAsia" w:ascii="华文楷体" w:hAnsi="华文楷体" w:eastAsia="华文楷体" w:cs="华文楷体"/>
          <w:sz w:val="28"/>
          <w:szCs w:val="28"/>
        </w:rPr>
        <w:t>受医保统一支付标准约束</w:t>
      </w:r>
      <w:r>
        <w:rPr>
          <w:rFonts w:hint="eastAsia" w:ascii="华文楷体" w:hAnsi="华文楷体" w:eastAsia="华文楷体" w:cs="华文楷体"/>
          <w:sz w:val="28"/>
          <w:szCs w:val="28"/>
        </w:rPr>
        <w:t>、</w:t>
      </w:r>
      <w:r>
        <w:rPr>
          <w:rFonts w:hint="eastAsia" w:ascii="华文楷体" w:hAnsi="华文楷体" w:eastAsia="华文楷体" w:cs="华文楷体"/>
          <w:sz w:val="28"/>
          <w:szCs w:val="28"/>
        </w:rPr>
        <w:t>地方仅能通过“除外支付”短暂豁免</w:t>
      </w:r>
      <w:r>
        <w:rPr>
          <w:rFonts w:hint="eastAsia" w:ascii="华文楷体" w:hAnsi="华文楷体" w:eastAsia="华文楷体" w:cs="华文楷体"/>
          <w:sz w:val="28"/>
          <w:szCs w:val="28"/>
        </w:rPr>
        <w:t>向</w:t>
      </w:r>
      <w:r>
        <w:rPr>
          <w:rFonts w:hint="eastAsia" w:ascii="华文楷体" w:hAnsi="华文楷体" w:eastAsia="华文楷体" w:cs="华文楷体"/>
          <w:sz w:val="28"/>
          <w:szCs w:val="28"/>
        </w:rPr>
        <w:t>“</w:t>
      </w:r>
      <w:commentRangeStart w:id="0"/>
      <w:r>
        <w:rPr>
          <w:rFonts w:hint="eastAsia" w:ascii="华文楷体" w:hAnsi="华文楷体" w:eastAsia="华文楷体" w:cs="华文楷体"/>
          <w:sz w:val="28"/>
          <w:szCs w:val="28"/>
        </w:rPr>
        <w:t>保密定价</w:t>
      </w:r>
      <w:commentRangeEnd w:id="0"/>
      <w:r>
        <w:rPr>
          <w:rStyle w:val="138"/>
          <w:rFonts w:hint="eastAsia" w:ascii="华文楷体" w:hAnsi="华文楷体" w:eastAsia="华文楷体" w:cs="华文楷体"/>
          <w:sz w:val="28"/>
          <w:szCs w:val="28"/>
        </w:rPr>
        <w:commentReference w:id="0"/>
      </w:r>
      <w:r>
        <w:rPr>
          <w:rFonts w:hint="eastAsia" w:ascii="华文楷体" w:hAnsi="华文楷体" w:eastAsia="华文楷体" w:cs="华文楷体"/>
          <w:sz w:val="28"/>
          <w:szCs w:val="28"/>
        </w:rPr>
        <w:t>+差异定价+多方协商”</w:t>
      </w:r>
      <w:r>
        <w:rPr>
          <w:rFonts w:hint="eastAsia" w:ascii="华文楷体" w:hAnsi="华文楷体" w:eastAsia="华文楷体" w:cs="华文楷体"/>
          <w:sz w:val="28"/>
          <w:szCs w:val="28"/>
        </w:rPr>
        <w:t>演变，但模型尚不明晰。在</w:t>
      </w:r>
      <w:r>
        <w:rPr>
          <w:rFonts w:hint="eastAsia" w:ascii="华文楷体" w:hAnsi="华文楷体" w:eastAsia="华文楷体" w:cs="华文楷体"/>
          <w:color w:val="FF0000"/>
          <w:sz w:val="28"/>
          <w:szCs w:val="28"/>
        </w:rPr>
        <w:t>支付演进角度</w:t>
      </w:r>
      <w:r>
        <w:rPr>
          <w:rFonts w:hint="eastAsia" w:ascii="华文楷体" w:hAnsi="华文楷体" w:eastAsia="华文楷体" w:cs="华文楷体"/>
          <w:sz w:val="28"/>
          <w:szCs w:val="28"/>
        </w:rPr>
        <w:t>，逐渐从“特定项目豁免”向</w:t>
      </w:r>
      <w:r>
        <w:rPr>
          <w:rFonts w:hint="eastAsia" w:ascii="华文楷体" w:hAnsi="华文楷体" w:eastAsia="华文楷体" w:cs="华文楷体"/>
          <w:sz w:val="28"/>
          <w:szCs w:val="28"/>
        </w:rPr>
        <w:t>国家确立“商保探路、医保接力”立体保障网络</w:t>
      </w:r>
      <w:r>
        <w:rPr>
          <w:rFonts w:hint="eastAsia" w:ascii="华文楷体" w:hAnsi="华文楷体" w:eastAsia="华文楷体" w:cs="华文楷体"/>
          <w:sz w:val="28"/>
          <w:szCs w:val="28"/>
        </w:rPr>
        <w:t>的梯度支付闭环演进，但边界尚不明晰。在</w:t>
      </w:r>
      <w:r>
        <w:rPr>
          <w:rFonts w:hint="eastAsia" w:ascii="华文楷体" w:hAnsi="华文楷体" w:eastAsia="华文楷体" w:cs="华文楷体"/>
          <w:color w:val="FF0000"/>
          <w:sz w:val="28"/>
          <w:szCs w:val="28"/>
        </w:rPr>
        <w:t>数据演进角度</w:t>
      </w:r>
      <w:r>
        <w:rPr>
          <w:rFonts w:hint="eastAsia" w:ascii="华文楷体" w:hAnsi="华文楷体" w:eastAsia="华文楷体" w:cs="华文楷体"/>
          <w:sz w:val="28"/>
          <w:szCs w:val="28"/>
        </w:rPr>
        <w:t>，我国地方与国家逐渐认识数据共享与安全的重要性。</w:t>
      </w:r>
    </w:p>
    <w:bookmarkEnd w:id="0"/>
    <w:bookmarkEnd w:id="1"/>
    <w:p w14:paraId="53F94DC5">
      <w:pPr>
        <w:pStyle w:val="4"/>
        <w:numPr>
          <w:ilvl w:val="0"/>
          <w:numId w:val="7"/>
        </w:numPr>
        <w:rPr>
          <w:rFonts w:hint="eastAsia" w:ascii="华文楷体" w:hAnsi="华文楷体" w:eastAsia="华文楷体" w:cs="华文楷体"/>
          <w:sz w:val="28"/>
          <w:szCs w:val="28"/>
        </w:rPr>
      </w:pPr>
      <w:r>
        <w:rPr>
          <w:rFonts w:hint="eastAsia" w:ascii="华文楷体" w:hAnsi="华文楷体" w:eastAsia="华文楷体" w:cs="华文楷体"/>
          <w:sz w:val="28"/>
          <w:szCs w:val="28"/>
        </w:rPr>
        <w:t>国际研究</w:t>
      </w:r>
    </w:p>
    <w:p w14:paraId="1E296F09">
      <w:pPr>
        <w:rPr>
          <w:rFonts w:hint="eastAsia" w:ascii="华文楷体" w:hAnsi="华文楷体" w:eastAsia="华文楷体" w:cs="华文楷体"/>
          <w:sz w:val="28"/>
          <w:szCs w:val="28"/>
        </w:rPr>
      </w:pPr>
      <w:r>
        <w:rPr>
          <w:rFonts w:hint="eastAsia" w:ascii="华文楷体" w:hAnsi="华文楷体" w:eastAsia="华文楷体" w:cs="华文楷体"/>
          <w:sz w:val="28"/>
          <w:szCs w:val="28"/>
        </w:rPr>
        <w:tab/>
      </w:r>
      <w:r>
        <w:rPr>
          <w:rFonts w:hint="eastAsia" w:ascii="华文楷体" w:hAnsi="华文楷体" w:eastAsia="华文楷体" w:cs="华文楷体"/>
          <w:sz w:val="28"/>
          <w:szCs w:val="28"/>
        </w:rPr>
        <w:t>目前，国际期刊主要从各国</w:t>
      </w:r>
      <w:r>
        <w:rPr>
          <w:rFonts w:hint="eastAsia" w:ascii="华文楷体" w:hAnsi="华文楷体" w:eastAsia="华文楷体" w:cs="华文楷体"/>
          <w:color w:val="FF0000"/>
          <w:sz w:val="28"/>
          <w:szCs w:val="28"/>
        </w:rPr>
        <w:t>创新药支付机制</w:t>
      </w:r>
      <w:r>
        <w:rPr>
          <w:rFonts w:hint="eastAsia" w:ascii="华文楷体" w:hAnsi="华文楷体" w:eastAsia="华文楷体" w:cs="华文楷体"/>
          <w:sz w:val="28"/>
          <w:szCs w:val="28"/>
        </w:rPr>
        <w:t>与</w:t>
      </w:r>
      <w:r>
        <w:rPr>
          <w:rFonts w:hint="eastAsia" w:ascii="华文楷体" w:hAnsi="华文楷体" w:eastAsia="华文楷体" w:cs="华文楷体"/>
          <w:color w:val="FF0000"/>
          <w:sz w:val="28"/>
          <w:szCs w:val="28"/>
        </w:rPr>
        <w:t>基于基因疗法</w:t>
      </w:r>
      <w:r>
        <w:rPr>
          <w:rFonts w:hint="eastAsia" w:ascii="华文楷体" w:hAnsi="华文楷体" w:eastAsia="华文楷体" w:cs="华文楷体"/>
          <w:sz w:val="28"/>
          <w:szCs w:val="28"/>
        </w:rPr>
        <w:t>两个方向进行相关研究，对我国创新药的定价与支付提供研究依据。如发表于</w:t>
      </w:r>
      <w:r>
        <w:rPr>
          <w:rFonts w:hint="eastAsia" w:ascii="华文楷体" w:hAnsi="华文楷体" w:eastAsia="华文楷体" w:cs="华文楷体"/>
          <w:sz w:val="28"/>
          <w:szCs w:val="28"/>
        </w:rPr>
        <w:t>Pharmacoeconomics(2024-10)</w:t>
      </w:r>
      <w:r>
        <w:rPr>
          <w:rFonts w:hint="eastAsia" w:ascii="华文楷体" w:hAnsi="华文楷体" w:eastAsia="华文楷体" w:cs="华文楷体"/>
          <w:sz w:val="28"/>
          <w:szCs w:val="28"/>
        </w:rPr>
        <w:t>期刊的《</w:t>
      </w:r>
      <w:commentRangeStart w:id="1"/>
      <w:r>
        <w:rPr>
          <w:rFonts w:hint="eastAsia" w:ascii="华文楷体" w:hAnsi="华文楷体" w:eastAsia="华文楷体" w:cs="华文楷体"/>
          <w:sz w:val="28"/>
          <w:szCs w:val="28"/>
        </w:rPr>
        <w:t>DesignandFeaturesofPricingandPaymentSchemesforHealthTechnologies:AScopingReviewandaProposalforaFlexibleNeed-DrivenClassification</w:t>
      </w:r>
      <w:commentRangeEnd w:id="1"/>
      <w:r>
        <w:rPr>
          <w:rFonts w:hint="eastAsia" w:ascii="华文楷体" w:hAnsi="华文楷体" w:eastAsia="华文楷体" w:cs="华文楷体"/>
          <w:sz w:val="28"/>
          <w:szCs w:val="28"/>
        </w:rPr>
        <w:commentReference w:id="1"/>
      </w:r>
      <w:r>
        <w:rPr>
          <w:rFonts w:hint="eastAsia" w:ascii="华文楷体" w:hAnsi="华文楷体" w:eastAsia="华文楷体" w:cs="华文楷体"/>
          <w:sz w:val="28"/>
          <w:szCs w:val="28"/>
        </w:rPr>
        <w:t>》</w:t>
      </w:r>
      <w:r>
        <w:rPr>
          <w:rFonts w:hint="eastAsia" w:ascii="华文楷体" w:hAnsi="华文楷体" w:eastAsia="华文楷体" w:cs="华文楷体"/>
          <w:sz w:val="28"/>
          <w:szCs w:val="28"/>
          <w:vertAlign w:val="superscript"/>
        </w:rPr>
        <w:footnoteReference w:id="8"/>
      </w:r>
      <w:r>
        <w:rPr>
          <w:rFonts w:hint="eastAsia" w:ascii="华文楷体" w:hAnsi="华文楷体" w:eastAsia="华文楷体" w:cs="华文楷体"/>
          <w:sz w:val="28"/>
          <w:szCs w:val="28"/>
        </w:rPr>
        <w:t>通过</w:t>
      </w:r>
      <w:r>
        <w:rPr>
          <w:rFonts w:hint="eastAsia" w:ascii="华文楷体" w:hAnsi="华文楷体" w:eastAsia="华文楷体" w:cs="华文楷体"/>
          <w:sz w:val="28"/>
          <w:szCs w:val="28"/>
          <w:highlight w:val="yellow"/>
        </w:rPr>
        <w:t>对比OECD国家</w:t>
      </w:r>
      <w:r>
        <w:rPr>
          <w:rFonts w:hint="eastAsia" w:ascii="华文楷体" w:hAnsi="华文楷体" w:eastAsia="华文楷体" w:cs="华文楷体"/>
          <w:sz w:val="28"/>
          <w:szCs w:val="28"/>
        </w:rPr>
        <w:t>“性能基础风险分担协议”（PBRSA）与商保独立议价机制</w:t>
      </w:r>
      <w:r>
        <w:rPr>
          <w:rFonts w:hint="eastAsia" w:ascii="华文楷体" w:hAnsi="华文楷体" w:eastAsia="华文楷体" w:cs="华文楷体"/>
          <w:sz w:val="28"/>
          <w:szCs w:val="28"/>
        </w:rPr>
        <w:t>，得出</w:t>
      </w:r>
      <w:r>
        <w:rPr>
          <w:rFonts w:hint="eastAsia" w:ascii="华文楷体" w:hAnsi="华文楷体" w:eastAsia="华文楷体" w:cs="华文楷体"/>
          <w:sz w:val="28"/>
          <w:szCs w:val="28"/>
          <w:highlight w:val="yellow"/>
        </w:rPr>
        <w:t>商保独立议价</w:t>
      </w:r>
      <w:r>
        <w:rPr>
          <w:rFonts w:hint="eastAsia" w:ascii="华文楷体" w:hAnsi="华文楷体" w:eastAsia="华文楷体" w:cs="华文楷体"/>
          <w:sz w:val="28"/>
          <w:szCs w:val="28"/>
        </w:rPr>
        <w:t>需匹配“保密支付+动态证据更新”，否则无法突破量价挂钩失灵瓶颈</w:t>
      </w:r>
      <w:r>
        <w:rPr>
          <w:rFonts w:hint="eastAsia" w:ascii="华文楷体" w:hAnsi="华文楷体" w:eastAsia="华文楷体" w:cs="华文楷体"/>
          <w:sz w:val="28"/>
          <w:szCs w:val="28"/>
        </w:rPr>
        <w:t>的结论</w:t>
      </w:r>
      <w:r>
        <w:rPr>
          <w:rFonts w:hint="eastAsia" w:ascii="华文楷体" w:hAnsi="华文楷体" w:eastAsia="华文楷体" w:cs="华文楷体"/>
          <w:sz w:val="28"/>
          <w:szCs w:val="28"/>
        </w:rPr>
        <w:t>。</w:t>
      </w:r>
      <w:r>
        <w:rPr>
          <w:rFonts w:hint="eastAsia" w:ascii="华文楷体" w:hAnsi="华文楷体" w:eastAsia="华文楷体" w:cs="华文楷体"/>
          <w:sz w:val="28"/>
          <w:szCs w:val="28"/>
        </w:rPr>
        <w:t>发表于</w:t>
      </w:r>
      <w:r>
        <w:rPr>
          <w:rFonts w:hint="eastAsia" w:ascii="华文楷体" w:hAnsi="华文楷体" w:eastAsia="华文楷体" w:cs="华文楷体"/>
          <w:sz w:val="28"/>
          <w:szCs w:val="28"/>
        </w:rPr>
        <w:t>VALUEINHEALTH</w:t>
      </w:r>
      <w:r>
        <w:rPr>
          <w:rFonts w:hint="eastAsia" w:ascii="华文楷体" w:hAnsi="华文楷体" w:eastAsia="华文楷体" w:cs="华文楷体"/>
          <w:sz w:val="28"/>
          <w:szCs w:val="28"/>
        </w:rPr>
        <w:t>的《</w:t>
      </w:r>
      <w:commentRangeStart w:id="2"/>
      <w:r>
        <w:rPr>
          <w:rFonts w:hint="eastAsia" w:ascii="华文楷体" w:hAnsi="华文楷体" w:eastAsia="华文楷体" w:cs="华文楷体"/>
          <w:sz w:val="28"/>
          <w:szCs w:val="28"/>
        </w:rPr>
        <w:t>A</w:t>
      </w:r>
      <w:r>
        <w:rPr>
          <w:rFonts w:hint="eastAsia" w:ascii="华文楷体" w:hAnsi="华文楷体" w:eastAsia="华文楷体" w:cs="华文楷体"/>
          <w:sz w:val="28"/>
          <w:szCs w:val="28"/>
        </w:rPr>
        <w:t>reviewofcurrentapproachestodefiningandvaluinginnovationinhealthtechnologyassessment</w:t>
      </w:r>
      <w:commentRangeEnd w:id="2"/>
      <w:r>
        <w:rPr>
          <w:rStyle w:val="138"/>
          <w:rFonts w:hint="eastAsia" w:ascii="华文楷体" w:hAnsi="华文楷体" w:eastAsia="华文楷体" w:cs="华文楷体"/>
          <w:sz w:val="28"/>
          <w:szCs w:val="28"/>
        </w:rPr>
        <w:commentReference w:id="2"/>
      </w:r>
      <w:r>
        <w:rPr>
          <w:rFonts w:hint="eastAsia" w:ascii="华文楷体" w:hAnsi="华文楷体" w:eastAsia="华文楷体" w:cs="华文楷体"/>
          <w:sz w:val="28"/>
          <w:szCs w:val="28"/>
        </w:rPr>
        <w:t>》</w:t>
      </w:r>
      <w:r>
        <w:rPr>
          <w:rStyle w:val="139"/>
          <w:rFonts w:hint="eastAsia" w:ascii="华文楷体" w:hAnsi="华文楷体" w:eastAsia="华文楷体" w:cs="华文楷体"/>
          <w:sz w:val="28"/>
          <w:szCs w:val="28"/>
        </w:rPr>
        <w:footnoteReference w:id="9"/>
      </w:r>
      <w:r>
        <w:rPr>
          <w:rFonts w:hint="eastAsia" w:ascii="华文楷体" w:hAnsi="华文楷体" w:eastAsia="华文楷体" w:cs="华文楷体"/>
          <w:sz w:val="28"/>
          <w:szCs w:val="28"/>
        </w:rPr>
        <w:t>系统综述欧盟、美国、澳大利亚在</w:t>
      </w:r>
      <w:r>
        <w:rPr>
          <w:rFonts w:hint="eastAsia" w:ascii="华文楷体" w:hAnsi="华文楷体" w:eastAsia="华文楷体" w:cs="华文楷体"/>
          <w:sz w:val="28"/>
          <w:szCs w:val="28"/>
          <w:highlight w:val="yellow"/>
        </w:rPr>
        <w:t>HTA框架</w:t>
      </w:r>
      <w:r>
        <w:rPr>
          <w:rFonts w:hint="eastAsia" w:ascii="华文楷体" w:hAnsi="华文楷体" w:eastAsia="华文楷体" w:cs="华文楷体"/>
          <w:sz w:val="28"/>
          <w:szCs w:val="28"/>
        </w:rPr>
        <w:t>下如何为创新药设置</w:t>
      </w:r>
      <w:r>
        <w:rPr>
          <w:rFonts w:hint="eastAsia" w:ascii="华文楷体" w:hAnsi="华文楷体" w:eastAsia="华文楷体" w:cs="华文楷体"/>
          <w:color w:val="000000" w:themeColor="text1"/>
          <w:sz w:val="28"/>
          <w:szCs w:val="28"/>
          <w:highlight w:val="yellow"/>
          <w14:textFill>
            <w14:solidFill>
              <w14:schemeClr w14:val="tx1"/>
            </w14:solidFill>
          </w14:textFill>
        </w:rPr>
        <w:t>“商保独立议价窗口”</w:t>
      </w:r>
      <w:r>
        <w:rPr>
          <w:rFonts w:hint="eastAsia" w:ascii="华文楷体" w:hAnsi="华文楷体" w:eastAsia="华文楷体" w:cs="华文楷体"/>
          <w:sz w:val="28"/>
          <w:szCs w:val="28"/>
        </w:rPr>
        <w:t>，</w:t>
      </w:r>
      <w:r>
        <w:rPr>
          <w:rFonts w:hint="eastAsia" w:ascii="华文楷体" w:hAnsi="华文楷体" w:eastAsia="华文楷体" w:cs="华文楷体"/>
          <w:sz w:val="28"/>
          <w:szCs w:val="28"/>
        </w:rPr>
        <w:t>提出“保密折扣+疗效对赌+再保险超赔”三件套，使</w:t>
      </w:r>
      <w:r>
        <w:rPr>
          <w:rFonts w:hint="eastAsia" w:ascii="华文楷体" w:hAnsi="华文楷体" w:eastAsia="华文楷体" w:cs="华文楷体"/>
          <w:color w:val="000000" w:themeColor="text1"/>
          <w:sz w:val="28"/>
          <w:szCs w:val="28"/>
          <w:highlight w:val="yellow"/>
          <w14:textFill>
            <w14:solidFill>
              <w14:schemeClr w14:val="tx1"/>
            </w14:solidFill>
          </w14:textFill>
        </w:rPr>
        <w:t>商保可独立于医保ICER阈值</w:t>
      </w:r>
      <w:r>
        <w:rPr>
          <w:rFonts w:hint="eastAsia" w:ascii="华文楷体" w:hAnsi="华文楷体" w:eastAsia="华文楷体" w:cs="华文楷体"/>
          <w:sz w:val="28"/>
          <w:szCs w:val="28"/>
        </w:rPr>
        <w:t>，为超阈值创新药提供定价空间。可使创新药上市首年价格不受医保天花板限制</w:t>
      </w:r>
      <w:r>
        <w:rPr>
          <w:rFonts w:hint="eastAsia" w:ascii="华文楷体" w:hAnsi="华文楷体" w:eastAsia="华文楷体" w:cs="华文楷体"/>
          <w:sz w:val="28"/>
          <w:szCs w:val="28"/>
        </w:rPr>
        <w:t>的结论</w:t>
      </w:r>
      <w:r>
        <w:rPr>
          <w:rFonts w:hint="eastAsia" w:ascii="华文楷体" w:hAnsi="华文楷体" w:eastAsia="华文楷体" w:cs="华文楷体"/>
          <w:sz w:val="28"/>
          <w:szCs w:val="28"/>
        </w:rPr>
        <w:t>。</w:t>
      </w:r>
      <w:r>
        <w:rPr>
          <w:rFonts w:hint="eastAsia" w:ascii="华文楷体" w:hAnsi="华文楷体" w:eastAsia="华文楷体" w:cs="华文楷体"/>
          <w:sz w:val="28"/>
          <w:szCs w:val="28"/>
        </w:rPr>
        <w:t>发表于</w:t>
      </w:r>
      <w:r>
        <w:rPr>
          <w:rFonts w:hint="eastAsia" w:ascii="华文楷体" w:hAnsi="华文楷体" w:eastAsia="华文楷体" w:cs="华文楷体"/>
          <w:sz w:val="28"/>
          <w:szCs w:val="28"/>
        </w:rPr>
        <w:t>JOURNALOFPHARMACEUTICALPOLICYANDPRACTICE</w:t>
      </w:r>
      <w:r>
        <w:rPr>
          <w:rFonts w:hint="eastAsia" w:ascii="华文楷体" w:hAnsi="华文楷体" w:eastAsia="华文楷体" w:cs="华文楷体"/>
          <w:sz w:val="28"/>
          <w:szCs w:val="28"/>
        </w:rPr>
        <w:t>的</w:t>
      </w:r>
      <w:commentRangeStart w:id="3"/>
      <w:r>
        <w:rPr>
          <w:rFonts w:hint="eastAsia" w:ascii="华文楷体" w:hAnsi="华文楷体" w:eastAsia="华文楷体" w:cs="华文楷体"/>
          <w:sz w:val="28"/>
          <w:szCs w:val="28"/>
        </w:rPr>
        <w:t>《</w:t>
      </w:r>
      <w:r>
        <w:rPr>
          <w:rFonts w:hint="eastAsia" w:ascii="华文楷体" w:hAnsi="华文楷体" w:eastAsia="华文楷体" w:cs="华文楷体"/>
          <w:sz w:val="28"/>
          <w:szCs w:val="28"/>
        </w:rPr>
        <w:t>RisingpharmaceuticalinnovationintheGlobalSouth:alandscapestudy</w:t>
      </w:r>
      <w:r>
        <w:rPr>
          <w:rFonts w:hint="eastAsia" w:ascii="华文楷体" w:hAnsi="华文楷体" w:eastAsia="华文楷体" w:cs="华文楷体"/>
          <w:sz w:val="28"/>
          <w:szCs w:val="28"/>
        </w:rPr>
        <w:t>》</w:t>
      </w:r>
      <w:commentRangeEnd w:id="3"/>
      <w:r>
        <w:rPr>
          <w:rStyle w:val="138"/>
          <w:rFonts w:hint="eastAsia" w:ascii="华文楷体" w:hAnsi="华文楷体" w:eastAsia="华文楷体" w:cs="华文楷体"/>
          <w:sz w:val="28"/>
          <w:szCs w:val="28"/>
        </w:rPr>
        <w:commentReference w:id="3"/>
      </w:r>
      <w:r>
        <w:rPr>
          <w:rStyle w:val="139"/>
          <w:rFonts w:hint="eastAsia" w:ascii="华文楷体" w:hAnsi="华文楷体" w:eastAsia="华文楷体" w:cs="华文楷体"/>
          <w:sz w:val="28"/>
          <w:szCs w:val="28"/>
        </w:rPr>
        <w:footnoteReference w:id="10"/>
      </w:r>
      <w:r>
        <w:rPr>
          <w:rFonts w:hint="eastAsia" w:ascii="华文楷体" w:hAnsi="华文楷体" w:eastAsia="华文楷体" w:cs="华文楷体"/>
          <w:sz w:val="28"/>
          <w:szCs w:val="28"/>
        </w:rPr>
        <w:t>通过</w:t>
      </w:r>
      <w:r>
        <w:rPr>
          <w:rFonts w:hint="eastAsia" w:ascii="华文楷体" w:hAnsi="华文楷体" w:eastAsia="华文楷体" w:cs="华文楷体"/>
          <w:sz w:val="28"/>
          <w:szCs w:val="28"/>
        </w:rPr>
        <w:t>对比巴西、哥伦比亚、印度等国商保/自费市场对高值创新药的</w:t>
      </w:r>
      <w:r>
        <w:rPr>
          <w:rFonts w:hint="eastAsia" w:ascii="华文楷体" w:hAnsi="华文楷体" w:eastAsia="华文楷体" w:cs="华文楷体"/>
          <w:color w:val="000000" w:themeColor="text1"/>
          <w:sz w:val="28"/>
          <w:szCs w:val="28"/>
          <w:highlight w:val="yellow"/>
          <w14:textFill>
            <w14:solidFill>
              <w14:schemeClr w14:val="tx1"/>
            </w14:solidFill>
          </w14:textFill>
        </w:rPr>
        <w:t>“分期+疗效对赌”定</w:t>
      </w:r>
      <w:r>
        <w:rPr>
          <w:rFonts w:hint="eastAsia" w:ascii="华文楷体" w:hAnsi="华文楷体" w:eastAsia="华文楷体" w:cs="华文楷体"/>
          <w:color w:val="000000" w:themeColor="text1"/>
          <w:sz w:val="28"/>
          <w:szCs w:val="28"/>
          <w:highlight w:val="yellow"/>
          <w14:textFill>
            <w14:solidFill>
              <w14:schemeClr w14:val="tx1"/>
            </w14:solidFill>
          </w14:textFill>
        </w:rPr>
        <w:t>价</w:t>
      </w:r>
      <w:r>
        <w:rPr>
          <w:rFonts w:hint="eastAsia" w:ascii="华文楷体" w:hAnsi="华文楷体" w:eastAsia="华文楷体" w:cs="华文楷体"/>
          <w:color w:val="000000" w:themeColor="text1"/>
          <w:sz w:val="28"/>
          <w:szCs w:val="28"/>
          <w:highlight w:val="yellow"/>
          <w14:textFill>
            <w14:solidFill>
              <w14:schemeClr w14:val="tx1"/>
            </w14:solidFill>
          </w14:textFill>
        </w:rPr>
        <w:t>机制</w:t>
      </w:r>
      <w:r>
        <w:rPr>
          <w:rFonts w:hint="eastAsia" w:ascii="华文楷体" w:hAnsi="华文楷体" w:eastAsia="华文楷体" w:cs="华文楷体"/>
          <w:sz w:val="28"/>
          <w:szCs w:val="28"/>
        </w:rPr>
        <w:t>，得出</w:t>
      </w:r>
      <w:r>
        <w:rPr>
          <w:rFonts w:hint="eastAsia" w:ascii="华文楷体" w:hAnsi="华文楷体" w:eastAsia="华文楷体" w:cs="华文楷体"/>
          <w:sz w:val="28"/>
          <w:szCs w:val="28"/>
        </w:rPr>
        <w:t>商保分期付款可使创新药可及性提升22%，再保险池可覆盖超赔层</w:t>
      </w:r>
      <w:r>
        <w:rPr>
          <w:rFonts w:hint="eastAsia" w:ascii="华文楷体" w:hAnsi="华文楷体" w:eastAsia="华文楷体" w:cs="华文楷体"/>
          <w:sz w:val="28"/>
          <w:szCs w:val="28"/>
        </w:rPr>
        <w:t>的结论</w:t>
      </w:r>
      <w:r>
        <w:rPr>
          <w:rFonts w:hint="eastAsia" w:ascii="华文楷体" w:hAnsi="华文楷体" w:eastAsia="华文楷体" w:cs="华文楷体"/>
          <w:sz w:val="28"/>
          <w:szCs w:val="28"/>
        </w:rPr>
        <w:t>，建议</w:t>
      </w:r>
      <w:r>
        <w:rPr>
          <w:rFonts w:hint="eastAsia" w:ascii="华文楷体" w:hAnsi="华文楷体" w:eastAsia="华文楷体" w:cs="华文楷体"/>
          <w:sz w:val="28"/>
          <w:szCs w:val="28"/>
          <w:highlight w:val="yellow"/>
        </w:rPr>
        <w:t>全球南方国家建立“商保-医保”双轨定价</w:t>
      </w:r>
      <w:r>
        <w:rPr>
          <w:rFonts w:hint="eastAsia" w:ascii="华文楷体" w:hAnsi="华文楷体" w:eastAsia="华文楷体" w:cs="华文楷体"/>
          <w:sz w:val="28"/>
          <w:szCs w:val="28"/>
        </w:rPr>
        <w:t>。</w:t>
      </w:r>
      <w:r>
        <w:rPr>
          <w:rFonts w:hint="eastAsia" w:ascii="华文楷体" w:hAnsi="华文楷体" w:eastAsia="华文楷体" w:cs="华文楷体"/>
          <w:sz w:val="28"/>
          <w:szCs w:val="28"/>
        </w:rPr>
        <w:t>另外部分学者也基于前沿的基因疗法为创新药的商保定位与支付提供参考。发表于</w:t>
      </w:r>
      <w:r>
        <w:rPr>
          <w:rFonts w:hint="eastAsia" w:ascii="华文楷体" w:hAnsi="华文楷体" w:eastAsia="华文楷体" w:cs="华文楷体"/>
          <w:sz w:val="28"/>
          <w:szCs w:val="28"/>
        </w:rPr>
        <w:t>APPLIEDHEALTHECONOMICSANDHEALTHPOLIC</w:t>
      </w:r>
      <w:r>
        <w:rPr>
          <w:rFonts w:hint="eastAsia" w:ascii="华文楷体" w:hAnsi="华文楷体" w:eastAsia="华文楷体" w:cs="华文楷体"/>
          <w:sz w:val="28"/>
          <w:szCs w:val="28"/>
        </w:rPr>
        <w:t>Y（</w:t>
      </w:r>
      <w:r>
        <w:rPr>
          <w:rFonts w:hint="eastAsia" w:ascii="华文楷体" w:hAnsi="华文楷体" w:eastAsia="华文楷体" w:cs="华文楷体"/>
          <w:sz w:val="28"/>
          <w:szCs w:val="28"/>
        </w:rPr>
        <w:t>2025-04-05</w:t>
      </w:r>
      <w:r>
        <w:rPr>
          <w:rFonts w:hint="eastAsia" w:ascii="华文楷体" w:hAnsi="华文楷体" w:eastAsia="华文楷体" w:cs="华文楷体"/>
          <w:sz w:val="28"/>
          <w:szCs w:val="28"/>
        </w:rPr>
        <w:t>）期刊的</w:t>
      </w:r>
      <w:commentRangeStart w:id="4"/>
      <w:r>
        <w:rPr>
          <w:rFonts w:hint="eastAsia" w:ascii="华文楷体" w:hAnsi="华文楷体" w:eastAsia="华文楷体" w:cs="华文楷体"/>
          <w:sz w:val="28"/>
          <w:szCs w:val="28"/>
        </w:rPr>
        <w:t>《</w:t>
      </w:r>
      <w:r>
        <w:rPr>
          <w:rFonts w:hint="eastAsia" w:ascii="华文楷体" w:hAnsi="华文楷体" w:eastAsia="华文楷体" w:cs="华文楷体"/>
          <w:sz w:val="28"/>
          <w:szCs w:val="28"/>
        </w:rPr>
        <w:t>AlternativePaymentModelsforInnovativeMedicines:AFrameworkforEffectiveImplementation</w:t>
      </w:r>
      <w:r>
        <w:rPr>
          <w:rFonts w:hint="eastAsia" w:ascii="华文楷体" w:hAnsi="华文楷体" w:eastAsia="华文楷体" w:cs="华文楷体"/>
          <w:sz w:val="28"/>
          <w:szCs w:val="28"/>
        </w:rPr>
        <w:t>》</w:t>
      </w:r>
      <w:commentRangeEnd w:id="4"/>
      <w:r>
        <w:rPr>
          <w:rFonts w:hint="eastAsia" w:ascii="华文楷体" w:hAnsi="华文楷体" w:eastAsia="华文楷体" w:cs="华文楷体"/>
          <w:sz w:val="28"/>
          <w:szCs w:val="28"/>
        </w:rPr>
        <w:commentReference w:id="4"/>
      </w:r>
      <w:r>
        <w:rPr>
          <w:rFonts w:hint="eastAsia" w:ascii="华文楷体" w:hAnsi="华文楷体" w:eastAsia="华文楷体" w:cs="华文楷体"/>
          <w:sz w:val="28"/>
          <w:szCs w:val="28"/>
          <w:vertAlign w:val="superscript"/>
        </w:rPr>
        <w:footnoteReference w:id="11"/>
      </w:r>
      <w:r>
        <w:rPr>
          <w:rFonts w:hint="eastAsia" w:ascii="华文楷体" w:hAnsi="华文楷体" w:eastAsia="华文楷体" w:cs="华文楷体"/>
          <w:sz w:val="28"/>
          <w:szCs w:val="28"/>
        </w:rPr>
        <w:t>提出</w:t>
      </w:r>
      <w:r>
        <w:rPr>
          <w:rFonts w:hint="eastAsia" w:ascii="华文楷体" w:hAnsi="华文楷体" w:eastAsia="华文楷体" w:cs="华文楷体"/>
          <w:color w:val="000000" w:themeColor="text1"/>
          <w:sz w:val="28"/>
          <w:szCs w:val="28"/>
          <w:highlight w:val="yellow"/>
          <w14:textFill>
            <w14:solidFill>
              <w14:schemeClr w14:val="tx1"/>
            </w14:solidFill>
          </w14:textFill>
        </w:rPr>
        <w:t>“再保险池+疗效对赌”双轨模型</w:t>
      </w:r>
      <w:r>
        <w:rPr>
          <w:rFonts w:hint="eastAsia" w:ascii="华文楷体" w:hAnsi="华文楷体" w:eastAsia="华文楷体" w:cs="华文楷体"/>
          <w:sz w:val="28"/>
          <w:szCs w:val="28"/>
        </w:rPr>
        <w:t>，</w:t>
      </w:r>
      <w:r>
        <w:rPr>
          <w:rFonts w:hint="eastAsia" w:ascii="华文楷体" w:hAnsi="华文楷体" w:eastAsia="华文楷体" w:cs="华文楷体"/>
          <w:sz w:val="28"/>
          <w:szCs w:val="28"/>
        </w:rPr>
        <w:t>并发现此模型</w:t>
      </w:r>
      <w:r>
        <w:rPr>
          <w:rFonts w:hint="eastAsia" w:ascii="华文楷体" w:hAnsi="华文楷体" w:eastAsia="华文楷体" w:cs="华文楷体"/>
          <w:sz w:val="28"/>
          <w:szCs w:val="28"/>
        </w:rPr>
        <w:t>可使商保对创新药预算冲击下降18-32%，建议联邦层面设立基因疗法再保险池。</w:t>
      </w:r>
      <w:r>
        <w:rPr>
          <w:rFonts w:hint="eastAsia" w:ascii="华文楷体" w:hAnsi="华文楷体" w:eastAsia="华文楷体" w:cs="华文楷体"/>
          <w:sz w:val="28"/>
          <w:szCs w:val="28"/>
        </w:rPr>
        <w:t>发表于</w:t>
      </w:r>
      <w:r>
        <w:rPr>
          <w:rFonts w:hint="eastAsia" w:ascii="华文楷体" w:hAnsi="华文楷体" w:eastAsia="华文楷体" w:cs="华文楷体"/>
          <w:sz w:val="28"/>
          <w:szCs w:val="28"/>
        </w:rPr>
        <w:t>Health Affairs</w:t>
      </w:r>
      <w:r>
        <w:rPr>
          <w:rFonts w:hint="eastAsia" w:ascii="华文楷体" w:hAnsi="华文楷体" w:eastAsia="华文楷体" w:cs="华文楷体"/>
          <w:sz w:val="28"/>
          <w:szCs w:val="28"/>
        </w:rPr>
        <w:t>（2</w:t>
      </w:r>
      <w:r>
        <w:rPr>
          <w:rFonts w:hint="eastAsia" w:ascii="华文楷体" w:hAnsi="华文楷体" w:eastAsia="华文楷体" w:cs="华文楷体"/>
          <w:sz w:val="28"/>
          <w:szCs w:val="28"/>
        </w:rPr>
        <w:t>023</w:t>
      </w:r>
      <w:r>
        <w:rPr>
          <w:rFonts w:hint="eastAsia" w:ascii="华文楷体" w:hAnsi="华文楷体" w:eastAsia="华文楷体" w:cs="华文楷体"/>
          <w:sz w:val="28"/>
          <w:szCs w:val="28"/>
        </w:rPr>
        <w:t>）期刊的《</w:t>
      </w:r>
      <w:r>
        <w:rPr>
          <w:rFonts w:hint="eastAsia" w:ascii="华文楷体" w:hAnsi="华文楷体" w:eastAsia="华文楷体" w:cs="华文楷体"/>
          <w:sz w:val="28"/>
          <w:szCs w:val="28"/>
        </w:rPr>
        <w:t>Confrontinghighcostsandclinicaluncertainty:innovativepaymentmodelsforgene</w:t>
      </w:r>
      <w:commentRangeStart w:id="5"/>
      <w:r>
        <w:rPr>
          <w:rFonts w:hint="eastAsia" w:ascii="华文楷体" w:hAnsi="华文楷体" w:eastAsia="华文楷体" w:cs="华文楷体"/>
          <w:sz w:val="28"/>
          <w:szCs w:val="28"/>
        </w:rPr>
        <w:t>therapies</w:t>
      </w:r>
      <w:commentRangeEnd w:id="5"/>
      <w:r>
        <w:rPr>
          <w:rFonts w:hint="eastAsia" w:ascii="华文楷体" w:hAnsi="华文楷体" w:eastAsia="华文楷体" w:cs="华文楷体"/>
          <w:sz w:val="28"/>
          <w:szCs w:val="28"/>
        </w:rPr>
        <w:commentReference w:id="5"/>
      </w:r>
      <w:r>
        <w:rPr>
          <w:rFonts w:hint="eastAsia" w:ascii="华文楷体" w:hAnsi="华文楷体" w:eastAsia="华文楷体" w:cs="华文楷体"/>
          <w:sz w:val="28"/>
          <w:szCs w:val="28"/>
        </w:rPr>
        <w:t>.</w:t>
      </w:r>
      <w:r>
        <w:rPr>
          <w:rFonts w:hint="eastAsia" w:ascii="华文楷体" w:hAnsi="华文楷体" w:eastAsia="华文楷体" w:cs="华文楷体"/>
          <w:sz w:val="28"/>
          <w:szCs w:val="28"/>
        </w:rPr>
        <w:t>》</w:t>
      </w:r>
      <w:r>
        <w:rPr>
          <w:rStyle w:val="139"/>
          <w:rFonts w:hint="eastAsia" w:ascii="华文楷体" w:hAnsi="华文楷体" w:eastAsia="华文楷体" w:cs="华文楷体"/>
          <w:sz w:val="28"/>
          <w:szCs w:val="28"/>
        </w:rPr>
        <w:footnoteReference w:id="12"/>
      </w:r>
      <w:r>
        <w:rPr>
          <w:rFonts w:hint="eastAsia" w:ascii="华文楷体" w:hAnsi="华文楷体" w:eastAsia="华文楷体" w:cs="华文楷体"/>
          <w:sz w:val="28"/>
          <w:szCs w:val="28"/>
        </w:rPr>
        <w:t>通过</w:t>
      </w:r>
      <w:r>
        <w:rPr>
          <w:rFonts w:hint="eastAsia" w:ascii="华文楷体" w:hAnsi="华文楷体" w:eastAsia="华文楷体" w:cs="华文楷体"/>
          <w:sz w:val="28"/>
          <w:szCs w:val="28"/>
        </w:rPr>
        <w:t>系统分类基因治疗</w:t>
      </w:r>
      <w:r>
        <w:rPr>
          <w:rFonts w:hint="eastAsia" w:ascii="华文楷体" w:hAnsi="华文楷体" w:eastAsia="华文楷体" w:cs="华文楷体"/>
          <w:color w:val="000000" w:themeColor="text1"/>
          <w:sz w:val="28"/>
          <w:szCs w:val="28"/>
          <w:highlight w:val="yellow"/>
          <w14:textFill>
            <w14:solidFill>
              <w14:schemeClr w14:val="tx1"/>
            </w14:solidFill>
          </w14:textFill>
        </w:rPr>
        <w:t>支付工具（分期、疗效对赌、再保险、支出封顶等）</w:t>
      </w:r>
      <w:r>
        <w:rPr>
          <w:rFonts w:hint="eastAsia" w:ascii="华文楷体" w:hAnsi="华文楷体" w:eastAsia="华文楷体" w:cs="华文楷体"/>
          <w:sz w:val="28"/>
          <w:szCs w:val="28"/>
        </w:rPr>
        <w:t>，并</w:t>
      </w:r>
      <w:r>
        <w:rPr>
          <w:rFonts w:hint="eastAsia" w:ascii="华文楷体" w:hAnsi="华文楷体" w:eastAsia="华文楷体" w:cs="华文楷体"/>
          <w:sz w:val="28"/>
          <w:szCs w:val="28"/>
        </w:rPr>
        <w:t>对美国12种已上市基因药对比测算，</w:t>
      </w:r>
      <w:r>
        <w:rPr>
          <w:rFonts w:hint="eastAsia" w:ascii="华文楷体" w:hAnsi="华文楷体" w:eastAsia="华文楷体" w:cs="华文楷体"/>
          <w:sz w:val="28"/>
          <w:szCs w:val="28"/>
        </w:rPr>
        <w:t>发现</w:t>
      </w:r>
      <w:r>
        <w:rPr>
          <w:rFonts w:hint="eastAsia" w:ascii="华文楷体" w:hAnsi="华文楷体" w:eastAsia="华文楷体" w:cs="华文楷体"/>
          <w:sz w:val="28"/>
          <w:szCs w:val="28"/>
        </w:rPr>
        <w:t>疗效对赌可使预算冲击下降18-32%，再保险分层可将险企赔付波动压缩40%</w:t>
      </w:r>
      <w:r>
        <w:rPr>
          <w:rFonts w:hint="eastAsia" w:ascii="华文楷体" w:hAnsi="华文楷体" w:eastAsia="华文楷体" w:cs="华文楷体"/>
          <w:sz w:val="28"/>
          <w:szCs w:val="28"/>
        </w:rPr>
        <w:t>，进一步提出</w:t>
      </w:r>
      <w:r>
        <w:rPr>
          <w:rFonts w:hint="eastAsia" w:ascii="华文楷体" w:hAnsi="华文楷体" w:eastAsia="华文楷体" w:cs="华文楷体"/>
          <w:sz w:val="28"/>
          <w:szCs w:val="28"/>
        </w:rPr>
        <w:t>建议联邦层面设立“基因疗法再保险池”，并允许商保与药企保密协商疗效触发条款，</w:t>
      </w:r>
      <w:r>
        <w:rPr>
          <w:rFonts w:hint="eastAsia" w:ascii="华文楷体" w:hAnsi="华文楷体" w:eastAsia="华文楷体" w:cs="华文楷体"/>
          <w:color w:val="000000" w:themeColor="text1"/>
          <w:sz w:val="28"/>
          <w:szCs w:val="28"/>
          <w:highlight w:val="yellow"/>
          <w14:textFill>
            <w14:solidFill>
              <w14:schemeClr w14:val="tx1"/>
            </w14:solidFill>
          </w14:textFill>
        </w:rPr>
        <w:t>将商保定位为</w:t>
      </w:r>
      <w:r>
        <w:rPr>
          <w:rFonts w:hint="eastAsia" w:ascii="华文楷体" w:hAnsi="华文楷体" w:eastAsia="华文楷体" w:cs="华文楷体"/>
          <w:color w:val="000000" w:themeColor="text1"/>
          <w:sz w:val="28"/>
          <w:szCs w:val="28"/>
          <w:highlight w:val="yellow"/>
          <w14:textFill>
            <w14:solidFill>
              <w14:schemeClr w14:val="tx1"/>
            </w14:solidFill>
          </w14:textFill>
        </w:rPr>
        <w:t>可持续第二支付支柱</w:t>
      </w:r>
      <w:r>
        <w:rPr>
          <w:rFonts w:hint="eastAsia" w:ascii="华文楷体" w:hAnsi="华文楷体" w:eastAsia="华文楷体" w:cs="华文楷体"/>
          <w:sz w:val="28"/>
          <w:szCs w:val="28"/>
        </w:rPr>
        <w:t>。</w:t>
      </w:r>
      <w:r>
        <w:rPr>
          <w:rFonts w:hint="eastAsia" w:ascii="华文楷体" w:hAnsi="华文楷体" w:eastAsia="华文楷体" w:cs="华文楷体"/>
          <w:sz w:val="28"/>
          <w:szCs w:val="28"/>
        </w:rPr>
        <w:t>综上可知，</w:t>
      </w:r>
      <w:r>
        <w:rPr>
          <w:rFonts w:hint="eastAsia" w:ascii="华文楷体" w:hAnsi="华文楷体" w:eastAsia="华文楷体" w:cs="华文楷体"/>
          <w:color w:val="FF0000"/>
          <w:sz w:val="28"/>
          <w:szCs w:val="28"/>
        </w:rPr>
        <w:t>国际多通过对各国或特定领域的案例研究，均得出创新药进入商保的必要性，且大多基于创新药定价角度提出有效模型，为我国商保模型提供依据；部分提出商保应被定义为第二支柱，但整体确定性表达较少。</w:t>
      </w:r>
    </w:p>
    <w:p w14:paraId="36957866">
      <w:pPr>
        <w:pStyle w:val="4"/>
        <w:numPr>
          <w:ilvl w:val="0"/>
          <w:numId w:val="7"/>
        </w:numPr>
        <w:rPr>
          <w:rFonts w:hint="eastAsia" w:ascii="华文楷体" w:hAnsi="华文楷体" w:eastAsia="华文楷体" w:cs="华文楷体"/>
          <w:sz w:val="28"/>
          <w:szCs w:val="28"/>
        </w:rPr>
      </w:pPr>
      <w:r>
        <w:rPr>
          <w:rFonts w:hint="eastAsia" w:ascii="华文楷体" w:hAnsi="华文楷体" w:eastAsia="华文楷体" w:cs="华文楷体"/>
          <w:sz w:val="28"/>
          <w:szCs w:val="28"/>
        </w:rPr>
        <w:t>理论研究</w:t>
      </w:r>
    </w:p>
    <w:p w14:paraId="4AAB7728">
      <w:pPr>
        <w:pStyle w:val="148"/>
        <w:numPr>
          <w:ilvl w:val="0"/>
          <w:numId w:val="8"/>
        </w:numPr>
        <w:rPr>
          <w:rFonts w:hint="eastAsia" w:ascii="华文楷体" w:hAnsi="华文楷体" w:eastAsia="华文楷体" w:cs="华文楷体"/>
          <w:b/>
          <w:bCs/>
          <w:sz w:val="28"/>
          <w:szCs w:val="28"/>
        </w:rPr>
      </w:pPr>
      <w:r>
        <w:rPr>
          <w:rStyle w:val="135"/>
          <w:rFonts w:hint="eastAsia" w:ascii="华文楷体" w:hAnsi="华文楷体" w:eastAsia="华文楷体" w:cs="华文楷体"/>
          <w:b w:val="0"/>
          <w:bCs w:val="0"/>
          <w:sz w:val="28"/>
          <w:szCs w:val="28"/>
          <w:shd w:val="clear" w:color="auto" w:fill="FFFFFF"/>
        </w:rPr>
        <w:t>Extra-Welfarist框架</w:t>
      </w:r>
    </w:p>
    <w:p w14:paraId="5C32E63B">
      <w:pPr>
        <w:rPr>
          <w:rFonts w:hint="eastAsia" w:ascii="华文楷体" w:hAnsi="华文楷体" w:eastAsia="华文楷体" w:cs="华文楷体"/>
          <w:sz w:val="28"/>
          <w:szCs w:val="28"/>
        </w:rPr>
      </w:pPr>
      <w:r>
        <w:rPr>
          <w:rFonts w:hint="eastAsia" w:ascii="华文楷体" w:hAnsi="华文楷体" w:eastAsia="华文楷体" w:cs="华文楷体"/>
          <w:sz w:val="28"/>
          <w:szCs w:val="28"/>
        </w:rPr>
        <w:tab/>
      </w:r>
      <w:r>
        <w:rPr>
          <w:rFonts w:hint="eastAsia" w:ascii="华文楷体" w:hAnsi="华文楷体" w:eastAsia="华文楷体" w:cs="华文楷体"/>
          <w:sz w:val="28"/>
          <w:szCs w:val="28"/>
        </w:rPr>
        <w:t>该理论核心在于</w:t>
      </w:r>
      <w:r>
        <w:rPr>
          <w:rFonts w:hint="eastAsia" w:ascii="华文楷体" w:hAnsi="华文楷体" w:eastAsia="华文楷体" w:cs="华文楷体"/>
          <w:sz w:val="28"/>
          <w:szCs w:val="28"/>
        </w:rPr>
        <w:t>不仅以“效用”为结果，而</w:t>
      </w:r>
      <w:r>
        <w:rPr>
          <w:rFonts w:hint="eastAsia" w:ascii="华文楷体" w:hAnsi="华文楷体" w:eastAsia="华文楷体" w:cs="华文楷体"/>
          <w:color w:val="FF0000"/>
          <w:sz w:val="28"/>
          <w:szCs w:val="28"/>
        </w:rPr>
        <w:t>以“健康”本身作为主要评价指标</w:t>
      </w:r>
      <w:r>
        <w:rPr>
          <w:rFonts w:hint="eastAsia" w:ascii="华文楷体" w:hAnsi="华文楷体" w:eastAsia="华文楷体" w:cs="华文楷体"/>
          <w:sz w:val="28"/>
          <w:szCs w:val="28"/>
        </w:rPr>
        <w:t>。Extra-Welfarist框架下，政府优先最大化人口健康，预算内由医保承担；预算外</w:t>
      </w:r>
      <w:r>
        <w:rPr>
          <w:rFonts w:hint="eastAsia" w:ascii="华文楷体" w:hAnsi="华文楷体" w:eastAsia="华文楷体" w:cs="华文楷体"/>
          <w:sz w:val="28"/>
          <w:szCs w:val="28"/>
        </w:rPr>
        <w:t>将</w:t>
      </w:r>
      <w:r>
        <w:rPr>
          <w:rFonts w:hint="eastAsia" w:ascii="华文楷体" w:hAnsi="华文楷体" w:eastAsia="华文楷体" w:cs="华文楷体"/>
          <w:sz w:val="28"/>
          <w:szCs w:val="28"/>
        </w:rPr>
        <w:t>高值创新药的健康增益</w:t>
      </w:r>
      <w:r>
        <w:rPr>
          <w:rFonts w:hint="eastAsia" w:ascii="华文楷体" w:hAnsi="华文楷体" w:eastAsia="华文楷体" w:cs="华文楷体"/>
          <w:sz w:val="28"/>
          <w:szCs w:val="28"/>
        </w:rPr>
        <w:t>作为</w:t>
      </w:r>
      <w:r>
        <w:rPr>
          <w:rFonts w:hint="eastAsia" w:ascii="华文楷体" w:hAnsi="华文楷体" w:eastAsia="华文楷体" w:cs="华文楷体"/>
          <w:sz w:val="28"/>
          <w:szCs w:val="28"/>
        </w:rPr>
        <w:t>最大化目标，</w:t>
      </w:r>
      <w:r>
        <w:rPr>
          <w:rFonts w:hint="eastAsia" w:ascii="华文楷体" w:hAnsi="华文楷体" w:eastAsia="华文楷体" w:cs="华文楷体"/>
          <w:sz w:val="28"/>
          <w:szCs w:val="28"/>
        </w:rPr>
        <w:t>由商保承担</w:t>
      </w:r>
      <w:r>
        <w:rPr>
          <w:rFonts w:hint="eastAsia" w:ascii="华文楷体" w:hAnsi="华文楷体" w:eastAsia="华文楷体" w:cs="华文楷体"/>
          <w:sz w:val="28"/>
          <w:szCs w:val="28"/>
        </w:rPr>
        <w:t>，形成</w:t>
      </w:r>
      <w:r>
        <w:rPr>
          <w:rFonts w:hint="eastAsia" w:ascii="华文楷体" w:hAnsi="华文楷体" w:eastAsia="华文楷体" w:cs="华文楷体"/>
          <w:color w:val="FF0000"/>
          <w:sz w:val="28"/>
          <w:szCs w:val="28"/>
        </w:rPr>
        <w:t>“医保保基本、商保保高端”</w:t>
      </w:r>
      <w:r>
        <w:rPr>
          <w:rFonts w:hint="eastAsia" w:ascii="华文楷体" w:hAnsi="华文楷体" w:eastAsia="华文楷体" w:cs="华文楷体"/>
          <w:sz w:val="28"/>
          <w:szCs w:val="28"/>
        </w:rPr>
        <w:t>的</w:t>
      </w:r>
      <w:r>
        <w:rPr>
          <w:rFonts w:hint="eastAsia" w:ascii="华文楷体" w:hAnsi="华文楷体" w:eastAsia="华文楷体" w:cs="华文楷体"/>
          <w:sz w:val="28"/>
          <w:szCs w:val="28"/>
        </w:rPr>
        <w:t>定位</w:t>
      </w:r>
      <w:r>
        <w:rPr>
          <w:rFonts w:hint="eastAsia" w:ascii="华文楷体" w:hAnsi="华文楷体" w:eastAsia="华文楷体" w:cs="华文楷体"/>
          <w:sz w:val="28"/>
          <w:szCs w:val="28"/>
        </w:rPr>
        <w:t>正当性。</w:t>
      </w:r>
    </w:p>
    <w:p w14:paraId="6B1526D7">
      <w:pPr>
        <w:pStyle w:val="148"/>
        <w:numPr>
          <w:ilvl w:val="0"/>
          <w:numId w:val="8"/>
        </w:numPr>
        <w:rPr>
          <w:rStyle w:val="135"/>
          <w:rFonts w:hint="eastAsia" w:ascii="华文楷体" w:hAnsi="华文楷体" w:eastAsia="华文楷体" w:cs="华文楷体"/>
          <w:sz w:val="28"/>
          <w:szCs w:val="28"/>
          <w:shd w:val="clear" w:color="auto" w:fill="FFFFFF"/>
        </w:rPr>
      </w:pPr>
      <w:r>
        <w:rPr>
          <w:rStyle w:val="135"/>
          <w:rFonts w:hint="eastAsia" w:ascii="华文楷体" w:hAnsi="华文楷体" w:eastAsia="华文楷体" w:cs="华文楷体"/>
          <w:b w:val="0"/>
          <w:bCs w:val="0"/>
          <w:sz w:val="28"/>
          <w:szCs w:val="28"/>
          <w:shd w:val="clear" w:color="auto" w:fill="FFFFFF"/>
        </w:rPr>
        <w:t>Coase交易成本理论</w:t>
      </w:r>
    </w:p>
    <w:p w14:paraId="1A354671">
      <w:pPr>
        <w:rPr>
          <w:rFonts w:hint="eastAsia" w:ascii="华文楷体" w:hAnsi="华文楷体" w:eastAsia="华文楷体" w:cs="华文楷体"/>
          <w:sz w:val="28"/>
          <w:szCs w:val="28"/>
        </w:rPr>
      </w:pPr>
      <w:r>
        <w:rPr>
          <w:rFonts w:hint="eastAsia" w:ascii="华文楷体" w:hAnsi="华文楷体" w:eastAsia="华文楷体" w:cs="华文楷体"/>
          <w:sz w:val="28"/>
          <w:szCs w:val="28"/>
        </w:rPr>
        <w:tab/>
      </w:r>
      <w:r>
        <w:rPr>
          <w:rFonts w:hint="eastAsia" w:ascii="华文楷体" w:hAnsi="华文楷体" w:eastAsia="华文楷体" w:cs="华文楷体"/>
          <w:sz w:val="28"/>
          <w:szCs w:val="28"/>
        </w:rPr>
        <w:t>该理论核心在于</w:t>
      </w:r>
      <w:r>
        <w:rPr>
          <w:rFonts w:hint="eastAsia" w:ascii="华文楷体" w:hAnsi="华文楷体" w:eastAsia="华文楷体" w:cs="华文楷体"/>
          <w:sz w:val="28"/>
          <w:szCs w:val="28"/>
        </w:rPr>
        <w:t>若交易成本为零，资源配置效率与初始产权分配无关；若交易成本为正，应选择</w:t>
      </w:r>
      <w:r>
        <w:rPr>
          <w:rFonts w:hint="eastAsia" w:ascii="华文楷体" w:hAnsi="华文楷体" w:eastAsia="华文楷体" w:cs="华文楷体"/>
          <w:color w:val="FF0000"/>
          <w:sz w:val="28"/>
          <w:szCs w:val="28"/>
        </w:rPr>
        <w:t>交易成本最低</w:t>
      </w:r>
      <w:r>
        <w:rPr>
          <w:rFonts w:hint="eastAsia" w:ascii="华文楷体" w:hAnsi="华文楷体" w:eastAsia="华文楷体" w:cs="华文楷体"/>
          <w:sz w:val="28"/>
          <w:szCs w:val="28"/>
        </w:rPr>
        <w:t>的组织形式。</w:t>
      </w:r>
      <w:r>
        <w:rPr>
          <w:rFonts w:hint="eastAsia" w:ascii="华文楷体" w:hAnsi="华文楷体" w:eastAsia="华文楷体" w:cs="华文楷体"/>
          <w:sz w:val="28"/>
          <w:szCs w:val="28"/>
        </w:rPr>
        <w:t>从而</w:t>
      </w:r>
      <w:r>
        <w:rPr>
          <w:rFonts w:hint="eastAsia" w:ascii="华文楷体" w:hAnsi="华文楷体" w:eastAsia="华文楷体" w:cs="华文楷体"/>
          <w:sz w:val="28"/>
          <w:szCs w:val="28"/>
        </w:rPr>
        <w:t>当</w:t>
      </w:r>
      <w:r>
        <w:rPr>
          <w:rFonts w:hint="eastAsia" w:ascii="华文楷体" w:hAnsi="华文楷体" w:eastAsia="华文楷体" w:cs="华文楷体"/>
          <w:color w:val="FF0000"/>
          <w:sz w:val="28"/>
          <w:szCs w:val="28"/>
        </w:rPr>
        <w:t>“医保压价+延期”交易成本</w:t>
      </w:r>
      <w:r>
        <w:rPr>
          <w:rFonts w:hint="eastAsia" w:ascii="华文楷体" w:hAnsi="华文楷体" w:eastAsia="华文楷体" w:cs="华文楷体"/>
          <w:color w:val="FF0000"/>
          <w:sz w:val="28"/>
          <w:szCs w:val="28"/>
        </w:rPr>
        <w:t>大于</w:t>
      </w:r>
      <w:r>
        <w:rPr>
          <w:rFonts w:hint="eastAsia" w:ascii="华文楷体" w:hAnsi="华文楷体" w:eastAsia="华文楷体" w:cs="华文楷体"/>
          <w:color w:val="FF0000"/>
          <w:sz w:val="28"/>
          <w:szCs w:val="28"/>
        </w:rPr>
        <w:t>“</w:t>
      </w:r>
      <w:commentRangeStart w:id="6"/>
      <w:r>
        <w:rPr>
          <w:rFonts w:hint="eastAsia" w:ascii="华文楷体" w:hAnsi="华文楷体" w:eastAsia="华文楷体" w:cs="华文楷体"/>
          <w:color w:val="FF0000"/>
          <w:sz w:val="28"/>
          <w:szCs w:val="28"/>
        </w:rPr>
        <w:t>商保保密</w:t>
      </w:r>
      <w:commentRangeEnd w:id="6"/>
      <w:r>
        <w:rPr>
          <w:rStyle w:val="138"/>
          <w:rFonts w:hint="eastAsia" w:ascii="华文楷体" w:hAnsi="华文楷体" w:eastAsia="华文楷体" w:cs="华文楷体"/>
          <w:sz w:val="28"/>
          <w:szCs w:val="28"/>
        </w:rPr>
        <w:commentReference w:id="6"/>
      </w:r>
      <w:r>
        <w:rPr>
          <w:rFonts w:hint="eastAsia" w:ascii="华文楷体" w:hAnsi="华文楷体" w:eastAsia="华文楷体" w:cs="华文楷体"/>
          <w:color w:val="FF0000"/>
          <w:sz w:val="28"/>
          <w:szCs w:val="28"/>
        </w:rPr>
        <w:t>+对赌”设计成本</w:t>
      </w:r>
      <w:r>
        <w:rPr>
          <w:rFonts w:hint="eastAsia" w:ascii="华文楷体" w:hAnsi="华文楷体" w:eastAsia="华文楷体" w:cs="华文楷体"/>
          <w:sz w:val="28"/>
          <w:szCs w:val="28"/>
        </w:rPr>
        <w:t>时</w:t>
      </w:r>
      <w:r>
        <w:rPr>
          <w:rFonts w:hint="eastAsia" w:ascii="华文楷体" w:hAnsi="华文楷体" w:eastAsia="华文楷体" w:cs="华文楷体"/>
          <w:sz w:val="28"/>
          <w:szCs w:val="28"/>
        </w:rPr>
        <w:t>，</w:t>
      </w:r>
      <w:r>
        <w:rPr>
          <w:rFonts w:hint="eastAsia" w:ascii="华文楷体" w:hAnsi="华文楷体" w:eastAsia="华文楷体" w:cs="华文楷体"/>
          <w:sz w:val="28"/>
          <w:szCs w:val="28"/>
        </w:rPr>
        <w:t>最优组织形式应</w:t>
      </w:r>
      <w:r>
        <w:rPr>
          <w:rFonts w:hint="eastAsia" w:ascii="华文楷体" w:hAnsi="华文楷体" w:eastAsia="华文楷体" w:cs="华文楷体"/>
          <w:sz w:val="28"/>
          <w:szCs w:val="28"/>
        </w:rPr>
        <w:t>转向为商保端</w:t>
      </w:r>
      <w:r>
        <w:rPr>
          <w:rFonts w:hint="eastAsia" w:ascii="华文楷体" w:hAnsi="华文楷体" w:eastAsia="华文楷体" w:cs="华文楷体"/>
          <w:sz w:val="28"/>
          <w:szCs w:val="28"/>
        </w:rPr>
        <w:t>保密支付、实时议价、疗效对赌</w:t>
      </w:r>
      <w:r>
        <w:rPr>
          <w:rFonts w:hint="eastAsia" w:ascii="华文楷体" w:hAnsi="华文楷体" w:eastAsia="华文楷体" w:cs="华文楷体"/>
          <w:sz w:val="28"/>
          <w:szCs w:val="28"/>
        </w:rPr>
        <w:t>等机制，为商保定位研究等重要性提供理论支持。</w:t>
      </w:r>
    </w:p>
    <w:p w14:paraId="01E5259C">
      <w:pPr>
        <w:pStyle w:val="148"/>
        <w:numPr>
          <w:ilvl w:val="0"/>
          <w:numId w:val="8"/>
        </w:numPr>
        <w:rPr>
          <w:rStyle w:val="135"/>
          <w:rFonts w:hint="eastAsia" w:ascii="华文楷体" w:hAnsi="华文楷体" w:eastAsia="华文楷体" w:cs="华文楷体"/>
          <w:b w:val="0"/>
          <w:bCs w:val="0"/>
          <w:sz w:val="28"/>
          <w:szCs w:val="28"/>
          <w:shd w:val="clear" w:color="auto" w:fill="FFFFFF"/>
        </w:rPr>
      </w:pPr>
      <w:commentRangeStart w:id="7"/>
      <w:r>
        <w:rPr>
          <w:rStyle w:val="135"/>
          <w:rFonts w:hint="eastAsia" w:ascii="华文楷体" w:hAnsi="华文楷体" w:eastAsia="华文楷体" w:cs="华文楷体"/>
          <w:b w:val="0"/>
          <w:bCs w:val="0"/>
          <w:sz w:val="28"/>
          <w:szCs w:val="28"/>
          <w:shd w:val="clear" w:color="auto" w:fill="FFFFFF"/>
        </w:rPr>
        <w:t>HTA框架</w:t>
      </w:r>
      <w:commentRangeEnd w:id="7"/>
      <w:r>
        <w:rPr>
          <w:rStyle w:val="138"/>
          <w:rFonts w:hint="eastAsia" w:ascii="华文楷体" w:hAnsi="华文楷体" w:eastAsia="华文楷体" w:cs="华文楷体"/>
          <w:sz w:val="28"/>
          <w:szCs w:val="28"/>
        </w:rPr>
        <w:commentReference w:id="7"/>
      </w:r>
    </w:p>
    <w:p w14:paraId="6C44EDAE">
      <w:pPr>
        <w:rPr>
          <w:rFonts w:hint="eastAsia" w:ascii="华文楷体" w:hAnsi="华文楷体" w:eastAsia="华文楷体" w:cs="华文楷体"/>
          <w:sz w:val="28"/>
          <w:szCs w:val="28"/>
        </w:rPr>
      </w:pPr>
      <w:r>
        <w:rPr>
          <w:rFonts w:hint="eastAsia" w:ascii="华文楷体" w:hAnsi="华文楷体" w:eastAsia="华文楷体" w:cs="华文楷体"/>
          <w:sz w:val="28"/>
          <w:szCs w:val="28"/>
        </w:rPr>
        <w:tab/>
      </w:r>
      <w:r>
        <w:rPr>
          <w:rFonts w:hint="eastAsia" w:ascii="华文楷体" w:hAnsi="华文楷体" w:eastAsia="华文楷体" w:cs="华文楷体"/>
          <w:sz w:val="28"/>
          <w:szCs w:val="28"/>
        </w:rPr>
        <w:t>HTA框架是一套用于</w:t>
      </w:r>
      <w:r>
        <w:rPr>
          <w:rFonts w:hint="eastAsia" w:ascii="华文楷体" w:hAnsi="华文楷体" w:eastAsia="华文楷体" w:cs="华文楷体"/>
          <w:color w:val="FF0000"/>
          <w:sz w:val="28"/>
          <w:szCs w:val="28"/>
        </w:rPr>
        <w:t>系统评估医疗技术的工具与方法体系</w:t>
      </w:r>
      <w:r>
        <w:rPr>
          <w:rFonts w:hint="eastAsia" w:ascii="华文楷体" w:hAnsi="华文楷体" w:eastAsia="华文楷体" w:cs="华文楷体"/>
          <w:sz w:val="28"/>
          <w:szCs w:val="28"/>
        </w:rPr>
        <w:t>，核心目标是为医保、商保、政府等支付方提供科学、透明、可解释的决策依据。在创新药商保定位语境下</w:t>
      </w:r>
      <w:r>
        <w:rPr>
          <w:rFonts w:hint="eastAsia" w:ascii="华文楷体" w:hAnsi="华文楷体" w:eastAsia="华文楷体" w:cs="华文楷体"/>
          <w:sz w:val="28"/>
          <w:szCs w:val="28"/>
        </w:rPr>
        <w:t>，</w:t>
      </w:r>
      <w:r>
        <w:rPr>
          <w:rFonts w:hint="eastAsia" w:ascii="华文楷体" w:hAnsi="华文楷体" w:eastAsia="华文楷体" w:cs="华文楷体"/>
          <w:sz w:val="28"/>
          <w:szCs w:val="28"/>
        </w:rPr>
        <w:t>医保端：HTA以“预算最大化”为目标，</w:t>
      </w:r>
      <w:r>
        <w:rPr>
          <w:rFonts w:hint="eastAsia" w:ascii="华文楷体" w:hAnsi="华文楷体" w:eastAsia="华文楷体" w:cs="华文楷体"/>
          <w:sz w:val="28"/>
          <w:szCs w:val="28"/>
        </w:rPr>
        <w:t>使得</w:t>
      </w:r>
      <w:r>
        <w:rPr>
          <w:rFonts w:hint="eastAsia" w:ascii="华文楷体" w:hAnsi="华文楷体" w:eastAsia="华文楷体" w:cs="华文楷体"/>
          <w:sz w:val="28"/>
          <w:szCs w:val="28"/>
        </w:rPr>
        <w:t>ICER阈值必然排斥高值创新药</w:t>
      </w:r>
      <w:r>
        <w:rPr>
          <w:rFonts w:hint="eastAsia" w:ascii="华文楷体" w:hAnsi="华文楷体" w:eastAsia="华文楷体" w:cs="华文楷体"/>
          <w:sz w:val="28"/>
          <w:szCs w:val="28"/>
        </w:rPr>
        <w:t>；</w:t>
      </w:r>
      <w:r>
        <w:rPr>
          <w:rFonts w:hint="eastAsia" w:ascii="华文楷体" w:hAnsi="华文楷体" w:eastAsia="华文楷体" w:cs="华文楷体"/>
          <w:sz w:val="28"/>
          <w:szCs w:val="28"/>
        </w:rPr>
        <w:t>商保端：HTA框架允许将“健康增益最大化”目标外溢至商保，聚焦“医保外高值创新药”独立定价</w:t>
      </w:r>
      <w:r>
        <w:rPr>
          <w:rFonts w:hint="eastAsia" w:ascii="华文楷体" w:hAnsi="华文楷体" w:eastAsia="华文楷体" w:cs="华文楷体"/>
          <w:sz w:val="28"/>
          <w:szCs w:val="28"/>
        </w:rPr>
        <w:t>。为商保定位的重要性以及</w:t>
      </w:r>
      <w:r>
        <w:rPr>
          <w:rFonts w:hint="eastAsia" w:ascii="华文楷体" w:hAnsi="华文楷体" w:eastAsia="华文楷体" w:cs="华文楷体"/>
          <w:color w:val="FF0000"/>
          <w:sz w:val="28"/>
          <w:szCs w:val="28"/>
        </w:rPr>
        <w:t>ICER阈值在我国背景下的确定</w:t>
      </w:r>
      <w:r>
        <w:rPr>
          <w:rFonts w:hint="eastAsia" w:ascii="华文楷体" w:hAnsi="华文楷体" w:eastAsia="华文楷体" w:cs="华文楷体"/>
          <w:sz w:val="28"/>
          <w:szCs w:val="28"/>
        </w:rPr>
        <w:t>提供依据。</w:t>
      </w:r>
    </w:p>
    <w:p w14:paraId="1A13AC4E">
      <w:pPr>
        <w:rPr>
          <w:rFonts w:hint="eastAsia" w:ascii="华文楷体" w:hAnsi="华文楷体" w:eastAsia="华文楷体" w:cs="华文楷体"/>
          <w:sz w:val="28"/>
          <w:szCs w:val="28"/>
        </w:rPr>
      </w:pPr>
    </w:p>
    <w:p w14:paraId="682A5D93">
      <w:pPr>
        <w:rPr>
          <w:rFonts w:hint="eastAsia" w:ascii="华文楷体" w:hAnsi="华文楷体" w:eastAsia="华文楷体" w:cs="华文楷体"/>
          <w:sz w:val="28"/>
          <w:szCs w:val="28"/>
        </w:rPr>
      </w:pPr>
      <w:r>
        <w:rPr>
          <w:rFonts w:hint="eastAsia" w:ascii="华文楷体" w:hAnsi="华文楷体" w:eastAsia="华文楷体" w:cs="华文楷体"/>
          <w:sz w:val="28"/>
          <w:szCs w:val="28"/>
        </w:rPr>
        <w:t>抽象出相关目标（健康中国指标 哪些可以结合 关心的1</w:t>
      </w:r>
      <w:r>
        <w:rPr>
          <w:rFonts w:hint="eastAsia" w:ascii="华文楷体" w:hAnsi="华文楷体" w:eastAsia="华文楷体" w:cs="华文楷体"/>
          <w:sz w:val="28"/>
          <w:szCs w:val="28"/>
        </w:rPr>
        <w:t>-2</w:t>
      </w:r>
      <w:r>
        <w:rPr>
          <w:rFonts w:hint="eastAsia" w:ascii="华文楷体" w:hAnsi="华文楷体" w:eastAsia="华文楷体" w:cs="华文楷体"/>
          <w:sz w:val="28"/>
          <w:szCs w:val="28"/>
        </w:rPr>
        <w:t>个指标，对结果的影响） 分析&amp;预测 技术预见方法在里面的应用</w:t>
      </w:r>
    </w:p>
    <w:p w14:paraId="2267082E">
      <w:pPr>
        <w:pStyle w:val="4"/>
        <w:pageBreakBefore w:val="0"/>
        <w:widowControl/>
        <w:kinsoku/>
        <w:wordWrap/>
        <w:overflowPunct/>
        <w:topLinePunct w:val="0"/>
        <w:autoSpaceDE/>
        <w:autoSpaceDN/>
        <w:bidi w:val="0"/>
        <w:adjustRightInd/>
        <w:snapToGrid/>
        <w:ind w:firstLine="561" w:firstLineChars="200"/>
        <w:textAlignment w:val="auto"/>
        <w:rPr>
          <w:rFonts w:hint="eastAsia" w:ascii="华文楷体" w:hAnsi="华文楷体" w:eastAsia="华文楷体" w:cs="华文楷体"/>
          <w:sz w:val="28"/>
          <w:szCs w:val="28"/>
        </w:rPr>
      </w:pPr>
    </w:p>
    <w:p w14:paraId="7474957A">
      <w:pPr>
        <w:pStyle w:val="4"/>
        <w:pageBreakBefore w:val="0"/>
        <w:widowControl/>
        <w:kinsoku/>
        <w:wordWrap/>
        <w:overflowPunct/>
        <w:topLinePunct w:val="0"/>
        <w:autoSpaceDE/>
        <w:autoSpaceDN/>
        <w:bidi w:val="0"/>
        <w:adjustRightInd/>
        <w:snapToGrid/>
        <w:ind w:firstLine="561" w:firstLineChars="200"/>
        <w:textAlignment w:val="auto"/>
        <w:rPr>
          <w:rFonts w:hint="eastAsia" w:ascii="华文楷体" w:hAnsi="华文楷体" w:eastAsia="华文楷体" w:cs="华文楷体"/>
          <w:sz w:val="28"/>
          <w:szCs w:val="28"/>
        </w:rPr>
      </w:pPr>
      <w:r>
        <w:rPr>
          <w:rFonts w:hint="eastAsia" w:ascii="华文楷体" w:hAnsi="华文楷体" w:eastAsia="华文楷体" w:cs="华文楷体"/>
          <w:sz w:val="28"/>
          <w:szCs w:val="28"/>
        </w:rPr>
        <w:t>（</w:t>
      </w:r>
      <w:r>
        <w:rPr>
          <w:rFonts w:hint="eastAsia" w:ascii="华文楷体" w:hAnsi="华文楷体" w:eastAsia="华文楷体" w:cs="华文楷体"/>
          <w:sz w:val="28"/>
          <w:szCs w:val="28"/>
          <w:lang w:val="en-US" w:eastAsia="zh-CN"/>
        </w:rPr>
        <w:t>二</w:t>
      </w:r>
      <w:r>
        <w:rPr>
          <w:rFonts w:hint="eastAsia" w:ascii="华文楷体" w:hAnsi="华文楷体" w:eastAsia="华文楷体" w:cs="华文楷体"/>
          <w:sz w:val="28"/>
          <w:szCs w:val="28"/>
        </w:rPr>
        <w:t>）</w:t>
      </w:r>
      <w:commentRangeStart w:id="8"/>
      <w:r>
        <w:rPr>
          <w:rFonts w:hint="eastAsia" w:ascii="华文楷体" w:hAnsi="华文楷体" w:eastAsia="华文楷体" w:cs="华文楷体"/>
          <w:sz w:val="28"/>
          <w:szCs w:val="28"/>
        </w:rPr>
        <w:t>国际经验</w:t>
      </w:r>
      <w:commentRangeEnd w:id="8"/>
      <w:r>
        <w:rPr>
          <w:rFonts w:hint="eastAsia" w:ascii="华文楷体" w:hAnsi="华文楷体" w:eastAsia="华文楷体" w:cs="华文楷体"/>
          <w:sz w:val="28"/>
          <w:szCs w:val="28"/>
        </w:rPr>
        <w:commentReference w:id="8"/>
      </w:r>
      <w:r>
        <w:rPr>
          <w:rFonts w:hint="eastAsia" w:ascii="华文楷体" w:hAnsi="华文楷体" w:eastAsia="华文楷体" w:cs="华文楷体"/>
          <w:sz w:val="28"/>
          <w:szCs w:val="28"/>
        </w:rPr>
        <w:t>对标与中国特色商保创新药制度设计研究</w:t>
      </w:r>
    </w:p>
    <w:p w14:paraId="25BCD53F">
      <w:pPr>
        <w:pageBreakBefore w:val="0"/>
        <w:widowControl/>
        <w:kinsoku/>
        <w:wordWrap/>
        <w:overflowPunct/>
        <w:topLinePunct w:val="0"/>
        <w:autoSpaceDE/>
        <w:autoSpaceDN/>
        <w:bidi w:val="0"/>
        <w:adjustRightInd/>
        <w:snapToGrid/>
        <w:ind w:firstLine="560" w:firstLineChars="200"/>
        <w:textAlignment w:val="auto"/>
        <w:rPr>
          <w:rFonts w:hint="eastAsia" w:ascii="华文楷体" w:hAnsi="华文楷体" w:eastAsia="华文楷体" w:cs="华文楷体"/>
          <w:sz w:val="28"/>
          <w:szCs w:val="28"/>
        </w:rPr>
      </w:pPr>
      <w:r>
        <w:rPr>
          <w:rFonts w:hint="eastAsia" w:ascii="华文楷体" w:hAnsi="华文楷体" w:eastAsia="华文楷体" w:cs="华文楷体"/>
          <w:sz w:val="28"/>
          <w:szCs w:val="28"/>
        </w:rPr>
        <w:t>本部分通过系统梳理国际主要国家和地区的创新药支付体系，研究商业保险与医保在药品支付中的分工模式及其演化趋势，分析其在风险共担、价格形成、疗效验证和监管协作方面的制度安排，并探讨这些经验对我国构建多层次医疗保障体系的启示。随着全球创新药研发投入的显著增长，各国普遍面临医保基金支出压力上升与患者用药可及性之间的结构性矛盾，商业保险在医药支付体系中承担了越来越重要的角色。</w:t>
      </w:r>
    </w:p>
    <w:p w14:paraId="393A0CA0">
      <w:pPr>
        <w:pageBreakBefore w:val="0"/>
        <w:widowControl/>
        <w:kinsoku/>
        <w:wordWrap/>
        <w:overflowPunct/>
        <w:topLinePunct w:val="0"/>
        <w:autoSpaceDE/>
        <w:autoSpaceDN/>
        <w:bidi w:val="0"/>
        <w:adjustRightInd/>
        <w:snapToGrid/>
        <w:ind w:firstLine="560" w:firstLineChars="200"/>
        <w:textAlignment w:val="auto"/>
        <w:rPr>
          <w:rFonts w:hint="eastAsia" w:ascii="华文楷体" w:hAnsi="华文楷体" w:eastAsia="华文楷体" w:cs="华文楷体"/>
          <w:sz w:val="28"/>
          <w:szCs w:val="28"/>
        </w:rPr>
      </w:pPr>
      <w:r>
        <w:rPr>
          <w:rFonts w:hint="eastAsia" w:ascii="华文楷体" w:hAnsi="华文楷体" w:eastAsia="华文楷体" w:cs="华文楷体"/>
          <w:sz w:val="28"/>
          <w:szCs w:val="28"/>
        </w:rPr>
        <w:t>以英国、德国、日本、加拿大及中国台湾地区为代表的国家和地区，均已形成较为成熟的“公共医保为主、商业保险补充”的支付格局。英国国家医疗服务体系（NHS）以税收资金为基础保障，但其国家健康与临床优化研究所（NICE）通过“药物性价比评估机制”决定药品的准入与报销标准。对于部分高值创新药，NICE 与制药企业及商业保险机构签订疗效支付协议（Outcome-based Agreements），以真实世界疗效数据（RWE）为依据调整支付比例，实现药品价格与临床价值挂钩。德国通过《药品市场再组织法案（AMNOG）》建立了创新药上市后附加价值评估体系，由IQWiG和G-BA共同开展评估，医保谈判以附加价值结果为基础，商业保险在早期阶段提供补充支付以保障患者可及性。</w:t>
      </w:r>
    </w:p>
    <w:p w14:paraId="2F681EB3">
      <w:pPr>
        <w:pageBreakBefore w:val="0"/>
        <w:widowControl/>
        <w:kinsoku/>
        <w:wordWrap/>
        <w:overflowPunct/>
        <w:topLinePunct w:val="0"/>
        <w:autoSpaceDE/>
        <w:autoSpaceDN/>
        <w:bidi w:val="0"/>
        <w:adjustRightInd/>
        <w:snapToGrid/>
        <w:ind w:firstLine="560" w:firstLineChars="200"/>
        <w:textAlignment w:val="auto"/>
        <w:rPr>
          <w:rFonts w:hint="eastAsia" w:ascii="华文楷体" w:hAnsi="华文楷体" w:eastAsia="华文楷体" w:cs="华文楷体"/>
          <w:sz w:val="28"/>
          <w:szCs w:val="28"/>
        </w:rPr>
      </w:pPr>
      <w:r>
        <w:rPr>
          <w:rFonts w:hint="eastAsia" w:ascii="华文楷体" w:hAnsi="华文楷体" w:eastAsia="华文楷体" w:cs="华文楷体"/>
          <w:sz w:val="28"/>
          <w:szCs w:val="28"/>
        </w:rPr>
        <w:t>日本的全民医保体系以标准化价格机制为核心，但针对罕见病和肿瘤创新药，厚生劳动省允许商业保险以专项健康险形式提供覆盖，并通过药品价格再评估制度对疗效不达标产品进行降价处理。加拿大实行联邦-省双层医保体系，省级公共药品计划主要覆盖基础药物，商业保险承担创新药支付职能；加拿大健康信息署（CADTH）建立了真实世界绩效数据平台，用于再评估药品价格。</w:t>
      </w:r>
      <w:commentRangeStart w:id="9"/>
      <w:r>
        <w:rPr>
          <w:rFonts w:hint="eastAsia" w:ascii="华文楷体" w:hAnsi="华文楷体" w:eastAsia="华文楷体" w:cs="华文楷体"/>
          <w:sz w:val="28"/>
          <w:szCs w:val="28"/>
        </w:rPr>
        <w:t>中国台湾地区自2023年起启动“药品真实世界绩效验证计划”，通过数据共享实现商保与健保协同管理，形成了“先商保—后健保”的过渡机制。</w:t>
      </w:r>
      <w:commentRangeEnd w:id="9"/>
      <w:r>
        <w:rPr>
          <w:rFonts w:hint="eastAsia" w:ascii="华文楷体" w:hAnsi="华文楷体" w:eastAsia="华文楷体" w:cs="华文楷体"/>
          <w:sz w:val="28"/>
          <w:szCs w:val="28"/>
        </w:rPr>
        <w:commentReference w:id="9"/>
      </w:r>
    </w:p>
    <w:p w14:paraId="50B54ABF">
      <w:pPr>
        <w:pageBreakBefore w:val="0"/>
        <w:widowControl/>
        <w:kinsoku/>
        <w:wordWrap/>
        <w:overflowPunct/>
        <w:topLinePunct w:val="0"/>
        <w:autoSpaceDE/>
        <w:autoSpaceDN/>
        <w:bidi w:val="0"/>
        <w:adjustRightInd/>
        <w:snapToGrid/>
        <w:ind w:firstLine="560" w:firstLineChars="200"/>
        <w:textAlignment w:val="auto"/>
        <w:rPr>
          <w:rFonts w:hint="eastAsia" w:ascii="华文楷体" w:hAnsi="华文楷体" w:eastAsia="华文楷体" w:cs="华文楷体"/>
          <w:sz w:val="28"/>
          <w:szCs w:val="28"/>
        </w:rPr>
      </w:pPr>
      <w:r>
        <w:rPr>
          <w:rFonts w:hint="eastAsia" w:ascii="华文楷体" w:hAnsi="华文楷体" w:eastAsia="华文楷体" w:cs="华文楷体"/>
          <w:sz w:val="28"/>
          <w:szCs w:val="28"/>
        </w:rPr>
        <w:t>国际经验显示，商业保险在创新药支付体系中发挥了三项关键功能：一是承担医保未覆盖药物的补充支付责任，通过分担高值支出缓解基金压力；二是作为风险再分配机制，通过共担基金与再保险体系平滑赔付波动；三是利用真实世界数据形成支付决策闭环，为药价谈判和再定价提供量化依据。这种“共付—共担—共评”模式，使得创新药的支付更具灵活性和可持续性。</w:t>
      </w:r>
    </w:p>
    <w:p w14:paraId="5ADABF2A">
      <w:pPr>
        <w:pageBreakBefore w:val="0"/>
        <w:widowControl/>
        <w:kinsoku/>
        <w:wordWrap/>
        <w:overflowPunct/>
        <w:topLinePunct w:val="0"/>
        <w:autoSpaceDE/>
        <w:autoSpaceDN/>
        <w:bidi w:val="0"/>
        <w:adjustRightInd/>
        <w:snapToGrid/>
        <w:ind w:firstLine="560" w:firstLineChars="200"/>
        <w:textAlignment w:val="auto"/>
        <w:rPr>
          <w:rFonts w:hint="eastAsia" w:ascii="华文楷体" w:hAnsi="华文楷体" w:eastAsia="华文楷体" w:cs="华文楷体"/>
          <w:sz w:val="28"/>
          <w:szCs w:val="28"/>
        </w:rPr>
      </w:pPr>
      <w:r>
        <w:rPr>
          <w:rFonts w:hint="eastAsia" w:ascii="华文楷体" w:hAnsi="华文楷体" w:eastAsia="华文楷体" w:cs="华文楷体"/>
          <w:sz w:val="28"/>
          <w:szCs w:val="28"/>
        </w:rPr>
        <w:t>结合我国现实背景，国家医保局在国务院办公厅发布的《深化医药卫生体制改革2024年重点工作任务》中首次明确提出“完善多层次医疗保障体系，发挥商业保险补充作用，探索创新药支付机制改革”，为商保创新药制度建设奠定了政策基础。我国医保体系已实现广覆盖和精细化管理，但创新药价格高、准入周期长、谈判压力大、数据回流不足的问题依然存在。未来应在现有医保谈判和目录准入机制外，建立以商业保险为前置支付工具的创新药分层支付体系，形成“先商保验证、后医保准入”的梯度模式。一方面，商保在药品上市初期承担先行支付和风险分担职能，为创新药提供早期可及通道；另一方面，医保可根据商保阶段积累的真实世界数据，科学评估药品疗效与成本效果，为医保谈判与再定价提供依据。</w:t>
      </w:r>
    </w:p>
    <w:p w14:paraId="2EA4B772">
      <w:pPr>
        <w:pageBreakBefore w:val="0"/>
        <w:widowControl/>
        <w:kinsoku/>
        <w:wordWrap/>
        <w:overflowPunct/>
        <w:topLinePunct w:val="0"/>
        <w:autoSpaceDE/>
        <w:autoSpaceDN/>
        <w:bidi w:val="0"/>
        <w:adjustRightInd/>
        <w:snapToGrid/>
        <w:ind w:firstLine="560" w:firstLineChars="200"/>
        <w:textAlignment w:val="auto"/>
        <w:rPr>
          <w:rFonts w:hint="eastAsia" w:ascii="华文楷体" w:hAnsi="华文楷体" w:eastAsia="华文楷体" w:cs="华文楷体"/>
          <w:sz w:val="28"/>
          <w:szCs w:val="28"/>
        </w:rPr>
      </w:pPr>
      <w:r>
        <w:rPr>
          <w:rFonts w:hint="eastAsia" w:ascii="华文楷体" w:hAnsi="华文楷体" w:eastAsia="华文楷体" w:cs="华文楷体"/>
          <w:sz w:val="28"/>
          <w:szCs w:val="28"/>
        </w:rPr>
        <w:t>为此，应当形成以“制度协同、数据联通、风险共担、激励兼容”为特征的中国特色商保创新药机制。具体包括：建立国家层面的商保创新药目录制度，明确准入标准和数据共享规范；建设医保、商保与医疗机构互通的真实世界数据平台；完善基于疗效的价格调整与再谈判机制；构建财政与商保共同出资的风险分担基金，为创新药支付提供保障。这一体系将实现“制度有边界、数据有流通、价格有依据、风险有缓冲”的多层次支付格局，为我国创新药支付体系改革提供可持续的政策路径。</w:t>
      </w:r>
      <w:r>
        <w:rPr>
          <w:rFonts w:hint="eastAsia" w:ascii="华文楷体" w:hAnsi="华文楷体" w:eastAsia="华文楷体" w:cs="华文楷体"/>
          <w:sz w:val="28"/>
          <w:szCs w:val="28"/>
        </w:rPr>
        <w:commentReference w:id="10"/>
      </w:r>
    </w:p>
    <w:p w14:paraId="6A0B4B8F">
      <w:pPr>
        <w:pStyle w:val="4"/>
        <w:pageBreakBefore w:val="0"/>
        <w:widowControl/>
        <w:kinsoku/>
        <w:wordWrap/>
        <w:overflowPunct/>
        <w:topLinePunct w:val="0"/>
        <w:autoSpaceDE/>
        <w:autoSpaceDN/>
        <w:bidi w:val="0"/>
        <w:adjustRightInd/>
        <w:snapToGrid/>
        <w:ind w:firstLine="561" w:firstLineChars="200"/>
        <w:textAlignment w:val="auto"/>
        <w:rPr>
          <w:rFonts w:hint="eastAsia" w:ascii="华文楷体" w:hAnsi="华文楷体" w:eastAsia="华文楷体" w:cs="华文楷体"/>
          <w:sz w:val="28"/>
          <w:szCs w:val="28"/>
        </w:rPr>
      </w:pPr>
      <w:r>
        <w:rPr>
          <w:rFonts w:hint="eastAsia" w:ascii="华文楷体" w:hAnsi="华文楷体" w:eastAsia="华文楷体" w:cs="华文楷体"/>
          <w:sz w:val="28"/>
          <w:szCs w:val="28"/>
        </w:rPr>
        <w:t>（</w:t>
      </w:r>
      <w:r>
        <w:rPr>
          <w:rFonts w:hint="eastAsia" w:ascii="华文楷体" w:hAnsi="华文楷体" w:eastAsia="华文楷体" w:cs="华文楷体"/>
          <w:sz w:val="28"/>
          <w:szCs w:val="28"/>
          <w:lang w:val="en-US" w:eastAsia="zh-CN"/>
        </w:rPr>
        <w:t>三</w:t>
      </w:r>
      <w:commentRangeStart w:id="11"/>
      <w:r>
        <w:rPr>
          <w:rFonts w:hint="eastAsia" w:ascii="华文楷体" w:hAnsi="华文楷体" w:eastAsia="华文楷体" w:cs="华文楷体"/>
          <w:sz w:val="28"/>
          <w:szCs w:val="28"/>
        </w:rPr>
        <w:t>）政策情景构建与比较分析</w:t>
      </w:r>
      <w:commentRangeEnd w:id="11"/>
      <w:r>
        <w:rPr>
          <w:rFonts w:hint="eastAsia" w:ascii="华文楷体" w:hAnsi="华文楷体" w:eastAsia="华文楷体" w:cs="华文楷体"/>
          <w:sz w:val="28"/>
          <w:szCs w:val="28"/>
        </w:rPr>
        <w:commentReference w:id="11"/>
      </w:r>
    </w:p>
    <w:p w14:paraId="0452D6DC">
      <w:pPr>
        <w:pageBreakBefore w:val="0"/>
        <w:widowControl/>
        <w:kinsoku/>
        <w:wordWrap/>
        <w:overflowPunct/>
        <w:topLinePunct w:val="0"/>
        <w:autoSpaceDE/>
        <w:autoSpaceDN/>
        <w:bidi w:val="0"/>
        <w:adjustRightInd/>
        <w:snapToGrid/>
        <w:ind w:firstLine="560" w:firstLineChars="200"/>
        <w:textAlignment w:val="auto"/>
        <w:rPr>
          <w:rFonts w:hint="eastAsia" w:ascii="华文楷体" w:hAnsi="华文楷体" w:eastAsia="华文楷体" w:cs="华文楷体"/>
          <w:sz w:val="28"/>
          <w:szCs w:val="28"/>
        </w:rPr>
      </w:pPr>
      <w:r>
        <w:rPr>
          <w:rFonts w:hint="eastAsia" w:ascii="华文楷体" w:hAnsi="华文楷体" w:eastAsia="华文楷体" w:cs="华文楷体"/>
          <w:sz w:val="28"/>
          <w:szCs w:val="28"/>
        </w:rPr>
        <w:commentReference w:id="12"/>
      </w:r>
      <w:r>
        <w:rPr>
          <w:rFonts w:hint="eastAsia" w:ascii="华文楷体" w:hAnsi="华文楷体" w:eastAsia="华文楷体" w:cs="华文楷体"/>
          <w:sz w:val="28"/>
          <w:szCs w:val="28"/>
        </w:rPr>
        <w:t>为科学评估商保创新药制度在我国医疗体系中的功能定位和政策成效，本研究基于国际实践与我国制度特征，构建了“补充型—并行型—混合型”三种政策情景，分析不同情景在支付效率、风险控制、可及性与创新激励方面的运行逻辑和可行路径。</w:t>
      </w:r>
    </w:p>
    <w:p w14:paraId="3A747C60">
      <w:pPr>
        <w:pageBreakBefore w:val="0"/>
        <w:widowControl/>
        <w:kinsoku/>
        <w:wordWrap/>
        <w:overflowPunct/>
        <w:topLinePunct w:val="0"/>
        <w:autoSpaceDE/>
        <w:autoSpaceDN/>
        <w:bidi w:val="0"/>
        <w:adjustRightInd/>
        <w:snapToGrid/>
        <w:ind w:firstLine="560" w:firstLineChars="200"/>
        <w:textAlignment w:val="auto"/>
        <w:rPr>
          <w:rFonts w:hint="eastAsia" w:ascii="华文楷体" w:hAnsi="华文楷体" w:eastAsia="华文楷体" w:cs="华文楷体"/>
          <w:sz w:val="28"/>
          <w:szCs w:val="28"/>
        </w:rPr>
      </w:pPr>
      <w:r>
        <w:rPr>
          <w:rFonts w:hint="eastAsia" w:ascii="华文楷体" w:hAnsi="华文楷体" w:eastAsia="华文楷体" w:cs="华文楷体"/>
          <w:sz w:val="28"/>
          <w:szCs w:val="28"/>
        </w:rPr>
        <w:t>补充型情景以医保为主导，商保为辅助。在该模式下，商业保险主要承担医保目录外药物和高值创新药的先行报销责任，为医保谈判留出时间窗口。其制度逻辑是以最小改革成本实现快速落地，行政协调难度低、风险可控。支付环节中，商保与医保在信息端对接，通过医保电子凭证或院内系统实现自动识别与结算。此类模式适合医保基金压力较大但信息系统成熟的地区试点。</w:t>
      </w:r>
      <w:commentRangeStart w:id="13"/>
      <w:r>
        <w:rPr>
          <w:rFonts w:hint="eastAsia" w:ascii="华文楷体" w:hAnsi="华文楷体" w:eastAsia="华文楷体" w:cs="华文楷体"/>
          <w:sz w:val="28"/>
          <w:szCs w:val="28"/>
        </w:rPr>
        <w:t>评估指标</w:t>
      </w:r>
      <w:commentRangeEnd w:id="13"/>
      <w:r>
        <w:rPr>
          <w:rFonts w:hint="eastAsia" w:ascii="华文楷体" w:hAnsi="华文楷体" w:eastAsia="华文楷体" w:cs="华文楷体"/>
          <w:sz w:val="28"/>
          <w:szCs w:val="28"/>
        </w:rPr>
        <w:commentReference w:id="13"/>
      </w:r>
      <w:r>
        <w:rPr>
          <w:rFonts w:hint="eastAsia" w:ascii="华文楷体" w:hAnsi="华文楷体" w:eastAsia="华文楷体" w:cs="华文楷体"/>
          <w:sz w:val="28"/>
          <w:szCs w:val="28"/>
        </w:rPr>
        <w:t>可包括患者自付比例下降幅度、药品上市至首次支付间隔时间、以及医保目录外药物使用渗透率。其不足在于数据未能形成共享闭环，商保的风险管理与疗效验证职能发挥有限，创新药价格形成机制仍依赖医保谈判。</w:t>
      </w:r>
    </w:p>
    <w:p w14:paraId="1E42C5AA">
      <w:pPr>
        <w:pageBreakBefore w:val="0"/>
        <w:widowControl/>
        <w:kinsoku/>
        <w:wordWrap/>
        <w:overflowPunct/>
        <w:topLinePunct w:val="0"/>
        <w:autoSpaceDE/>
        <w:autoSpaceDN/>
        <w:bidi w:val="0"/>
        <w:adjustRightInd/>
        <w:snapToGrid/>
        <w:ind w:firstLine="560" w:firstLineChars="200"/>
        <w:textAlignment w:val="auto"/>
        <w:rPr>
          <w:rFonts w:hint="eastAsia" w:ascii="华文楷体" w:hAnsi="华文楷体" w:eastAsia="华文楷体" w:cs="华文楷体"/>
          <w:sz w:val="28"/>
          <w:szCs w:val="28"/>
        </w:rPr>
      </w:pPr>
      <w:r>
        <w:rPr>
          <w:rFonts w:hint="eastAsia" w:ascii="华文楷体" w:hAnsi="华文楷体" w:eastAsia="华文楷体" w:cs="华文楷体"/>
          <w:sz w:val="28"/>
          <w:szCs w:val="28"/>
        </w:rPr>
        <w:t>并行型情景则强调医保与商保的制度分工与市场化竞争。医保延续临床价值导向的谈判机制，商保建立独立的药品评估与定价体系，适用于经济水平较高、创新药产业集聚的地区。制度上应明确“评估—支付—监测”全流程的法律与监管边界，建立药品风险共担协议与疗效支付模型。例如，参照英国NICE的管理准入机制与德国AMNOG的上市后附加价值评估，商保可根据人群适配性与真实世界疗效数据动态调整保费。财政层面，建议设立行业再保险机制分摊尾部风险，数据层面通过可信执行环境实现医院与保险间的最小化数据共享。该模式的评估指标包括商保独立准入药品数量、风险共担合同履约率、赔付波动率以及RWE数据回流周期。其优势在于促进市场竞争与价格发现，劣势在于监管复杂与区域差异扩大。</w:t>
      </w:r>
    </w:p>
    <w:p w14:paraId="741249BF">
      <w:pPr>
        <w:pageBreakBefore w:val="0"/>
        <w:widowControl/>
        <w:kinsoku/>
        <w:wordWrap/>
        <w:overflowPunct/>
        <w:topLinePunct w:val="0"/>
        <w:autoSpaceDE/>
        <w:autoSpaceDN/>
        <w:bidi w:val="0"/>
        <w:adjustRightInd/>
        <w:snapToGrid/>
        <w:ind w:firstLine="560" w:firstLineChars="200"/>
        <w:textAlignment w:val="auto"/>
        <w:rPr>
          <w:rFonts w:hint="eastAsia" w:ascii="华文楷体" w:hAnsi="华文楷体" w:eastAsia="华文楷体" w:cs="华文楷体"/>
          <w:sz w:val="28"/>
          <w:szCs w:val="28"/>
        </w:rPr>
      </w:pPr>
      <w:commentRangeStart w:id="14"/>
      <w:r>
        <w:rPr>
          <w:rFonts w:hint="eastAsia" w:ascii="华文楷体" w:hAnsi="华文楷体" w:eastAsia="华文楷体" w:cs="华文楷体"/>
          <w:sz w:val="28"/>
          <w:szCs w:val="28"/>
        </w:rPr>
        <w:t>混合型情景</w:t>
      </w:r>
      <w:commentRangeEnd w:id="14"/>
      <w:r>
        <w:rPr>
          <w:rFonts w:hint="eastAsia" w:ascii="华文楷体" w:hAnsi="华文楷体" w:eastAsia="华文楷体" w:cs="华文楷体"/>
          <w:sz w:val="28"/>
          <w:szCs w:val="28"/>
        </w:rPr>
        <w:commentReference w:id="14"/>
      </w:r>
      <w:r>
        <w:rPr>
          <w:rFonts w:hint="eastAsia" w:ascii="华文楷体" w:hAnsi="华文楷体" w:eastAsia="华文楷体" w:cs="华文楷体"/>
          <w:sz w:val="28"/>
          <w:szCs w:val="28"/>
        </w:rPr>
        <w:t>是我国长期制度目标。其核心在于通过国家层面的政策设计，实现医保与商保的动态协同与数据共享。医保提供基础保障与政策锚定，商保承担前置验证与风险共担，形成“医保主锚—商保前置—数据共建—价格联动”的机制。支付环节中，国家医保局应建立统一的清分平台，实现身份识别、费用分账、自动结算和实时数据回流。数据环节以真实世界证据为核心，设定疗效触发阈值，例如疗效达标率或不良事件发生率达到标准即触发再谈判。财政层面，建立创新药风险分担基金，由财政、医保与商保共同出资，形成“共同池”式的风险管理。监管层面，通过医保局、银保监会、药监局和卫健委建立联动机制，确保制度边界清晰、数据安全合规。混合型情景的评估指标可包括医保目录外患者可及性提升幅度、医保与商保支付占比变化、基金运行波动率、创新药准入周期缩短幅度等。此模式兼具制度稳定性与创新激励，可在“十五五”期间形成全国推广条件。</w:t>
      </w:r>
    </w:p>
    <w:p w14:paraId="75F529D8">
      <w:pPr>
        <w:pageBreakBefore w:val="0"/>
        <w:widowControl/>
        <w:kinsoku/>
        <w:wordWrap/>
        <w:overflowPunct/>
        <w:topLinePunct w:val="0"/>
        <w:autoSpaceDE/>
        <w:autoSpaceDN/>
        <w:bidi w:val="0"/>
        <w:adjustRightInd/>
        <w:snapToGrid/>
        <w:ind w:firstLine="560" w:firstLineChars="200"/>
        <w:textAlignment w:val="auto"/>
        <w:rPr>
          <w:rFonts w:hint="eastAsia" w:ascii="华文楷体" w:hAnsi="华文楷体" w:eastAsia="华文楷体" w:cs="华文楷体"/>
          <w:sz w:val="28"/>
          <w:szCs w:val="28"/>
        </w:rPr>
      </w:pPr>
      <w:r>
        <w:rPr>
          <w:rFonts w:hint="eastAsia" w:ascii="华文楷体" w:hAnsi="华文楷体" w:eastAsia="华文楷体" w:cs="华文楷体"/>
          <w:sz w:val="28"/>
          <w:szCs w:val="28"/>
        </w:rPr>
        <w:t>总体而言，补充型情景适合短期试点，并行型情景可在产业基础较好的区域推广，而混合型情景应作为“十五五”时期的总体目标。政策推进路径应遵循“先补充—再并行—终混合”的阶段性逻辑，实现制度演进与市场成熟的同步。</w:t>
      </w:r>
    </w:p>
    <w:p w14:paraId="1F38A983">
      <w:pPr>
        <w:pStyle w:val="3"/>
        <w:numPr>
          <w:numId w:val="0"/>
        </w:numPr>
        <w:ind w:leftChars="0"/>
        <w:rPr>
          <w:rFonts w:hint="eastAsia" w:ascii="华文楷体" w:hAnsi="华文楷体" w:eastAsia="华文楷体" w:cs="华文楷体"/>
          <w:sz w:val="28"/>
          <w:szCs w:val="28"/>
        </w:rPr>
      </w:pPr>
      <w:r>
        <w:rPr>
          <w:rFonts w:hint="eastAsia" w:ascii="华文楷体" w:hAnsi="华文楷体" w:eastAsia="华文楷体" w:cs="华文楷体"/>
          <w:sz w:val="28"/>
          <w:szCs w:val="28"/>
          <w:lang w:eastAsia="zh-CN"/>
        </w:rPr>
        <w:t>（</w:t>
      </w:r>
      <w:r>
        <w:rPr>
          <w:rFonts w:hint="eastAsia" w:ascii="华文楷体" w:hAnsi="华文楷体" w:eastAsia="华文楷体" w:cs="华文楷体"/>
          <w:sz w:val="28"/>
          <w:szCs w:val="28"/>
          <w:lang w:val="en-US" w:eastAsia="zh-CN"/>
        </w:rPr>
        <w:t>四</w:t>
      </w:r>
      <w:r>
        <w:rPr>
          <w:rFonts w:hint="eastAsia" w:ascii="华文楷体" w:hAnsi="华文楷体" w:eastAsia="华文楷体" w:cs="华文楷体"/>
          <w:sz w:val="28"/>
          <w:szCs w:val="28"/>
          <w:lang w:eastAsia="zh-CN"/>
        </w:rPr>
        <w:t>）</w:t>
      </w:r>
      <w:r>
        <w:rPr>
          <w:rFonts w:hint="eastAsia" w:ascii="华文楷体" w:hAnsi="华文楷体" w:eastAsia="华文楷体" w:cs="华文楷体"/>
          <w:sz w:val="28"/>
          <w:szCs w:val="28"/>
        </w:rPr>
        <w:t>国内进展</w:t>
      </w:r>
    </w:p>
    <w:p w14:paraId="5BCBD2DE">
      <w:pPr>
        <w:pStyle w:val="4"/>
        <w:numPr>
          <w:ilvl w:val="0"/>
          <w:numId w:val="9"/>
        </w:numPr>
        <w:rPr>
          <w:rFonts w:hint="eastAsia" w:ascii="华文楷体" w:hAnsi="华文楷体" w:eastAsia="华文楷体" w:cs="华文楷体"/>
          <w:sz w:val="28"/>
          <w:szCs w:val="28"/>
        </w:rPr>
      </w:pPr>
      <w:r>
        <w:rPr>
          <w:rFonts w:hint="eastAsia" w:ascii="华文楷体" w:hAnsi="华文楷体" w:eastAsia="华文楷体" w:cs="华文楷体"/>
          <w:sz w:val="28"/>
          <w:szCs w:val="28"/>
        </w:rPr>
        <w:t>现实实践</w:t>
      </w:r>
    </w:p>
    <w:p w14:paraId="6D92E19A">
      <w:pPr>
        <w:rPr>
          <w:rFonts w:hint="eastAsia" w:ascii="华文楷体" w:hAnsi="华文楷体" w:eastAsia="华文楷体" w:cs="华文楷体"/>
          <w:sz w:val="28"/>
          <w:szCs w:val="28"/>
        </w:rPr>
      </w:pPr>
      <w:r>
        <w:rPr>
          <w:rFonts w:hint="eastAsia" w:ascii="华文楷体" w:hAnsi="华文楷体" w:eastAsia="华文楷体" w:cs="华文楷体"/>
          <w:sz w:val="28"/>
          <w:szCs w:val="28"/>
        </w:rPr>
        <w:tab/>
      </w:r>
      <w:r>
        <w:rPr>
          <w:rFonts w:hint="eastAsia" w:ascii="华文楷体" w:hAnsi="华文楷体" w:eastAsia="华文楷体" w:cs="华文楷体"/>
          <w:sz w:val="28"/>
          <w:szCs w:val="28"/>
        </w:rPr>
        <w:t>2025年国家层面首次设立商保创新药目录，</w:t>
      </w:r>
      <w:r>
        <w:rPr>
          <w:rFonts w:hint="eastAsia" w:ascii="华文楷体" w:hAnsi="华文楷体" w:eastAsia="华文楷体" w:cs="华文楷体"/>
          <w:sz w:val="28"/>
          <w:szCs w:val="28"/>
        </w:rPr>
        <w:t>纳入1</w:t>
      </w:r>
      <w:r>
        <w:rPr>
          <w:rFonts w:hint="eastAsia" w:ascii="华文楷体" w:hAnsi="华文楷体" w:eastAsia="华文楷体" w:cs="华文楷体"/>
          <w:sz w:val="28"/>
          <w:szCs w:val="28"/>
        </w:rPr>
        <w:t>21</w:t>
      </w:r>
      <w:r>
        <w:rPr>
          <w:rFonts w:hint="eastAsia" w:ascii="华文楷体" w:hAnsi="华文楷体" w:eastAsia="华文楷体" w:cs="华文楷体"/>
          <w:sz w:val="28"/>
          <w:szCs w:val="28"/>
        </w:rPr>
        <w:t>个品种的创新药</w:t>
      </w:r>
      <w:r>
        <w:rPr>
          <w:rFonts w:hint="eastAsia" w:ascii="华文楷体" w:hAnsi="华文楷体" w:eastAsia="华文楷体" w:cs="华文楷体"/>
          <w:sz w:val="28"/>
          <w:szCs w:val="28"/>
          <w:vertAlign w:val="superscript"/>
        </w:rPr>
        <w:footnoteReference w:id="13"/>
      </w:r>
      <w:r>
        <w:rPr>
          <w:rFonts w:hint="eastAsia" w:ascii="华文楷体" w:hAnsi="华文楷体" w:eastAsia="华文楷体" w:cs="华文楷体"/>
          <w:sz w:val="28"/>
          <w:szCs w:val="28"/>
        </w:rPr>
        <w:t>，</w:t>
      </w:r>
      <w:r>
        <w:rPr>
          <w:rFonts w:hint="eastAsia" w:ascii="华文楷体" w:hAnsi="华文楷体" w:eastAsia="华文楷体" w:cs="华文楷体"/>
          <w:sz w:val="28"/>
          <w:szCs w:val="28"/>
        </w:rPr>
        <w:t>赋予保密定价、除外支付、数据接口三大政策工具，将商保从‘补充层’升格为‘医保外高值创新药独立支付主体’，</w:t>
      </w:r>
      <w:r>
        <w:rPr>
          <w:rFonts w:hint="eastAsia" w:ascii="华文楷体" w:hAnsi="华文楷体" w:eastAsia="华文楷体" w:cs="华文楷体"/>
          <w:sz w:val="28"/>
          <w:szCs w:val="28"/>
        </w:rPr>
        <w:t>反映出</w:t>
      </w:r>
      <w:r>
        <w:rPr>
          <w:rFonts w:hint="eastAsia" w:ascii="华文楷体" w:hAnsi="华文楷体" w:eastAsia="华文楷体" w:cs="华文楷体"/>
          <w:sz w:val="28"/>
          <w:szCs w:val="28"/>
        </w:rPr>
        <w:t>国家对‘健康中国’</w:t>
      </w:r>
      <w:r>
        <w:rPr>
          <w:rFonts w:hint="eastAsia" w:ascii="华文楷体" w:hAnsi="华文楷体" w:eastAsia="华文楷体" w:cs="华文楷体"/>
          <w:sz w:val="28"/>
          <w:szCs w:val="28"/>
        </w:rPr>
        <w:t>的</w:t>
      </w:r>
      <w:r>
        <w:rPr>
          <w:rFonts w:hint="eastAsia" w:ascii="华文楷体" w:hAnsi="华文楷体" w:eastAsia="华文楷体" w:cs="华文楷体"/>
          <w:sz w:val="28"/>
          <w:szCs w:val="28"/>
        </w:rPr>
        <w:t>战略重视</w:t>
      </w:r>
      <w:r>
        <w:rPr>
          <w:rFonts w:hint="eastAsia" w:ascii="华文楷体" w:hAnsi="华文楷体" w:eastAsia="华文楷体" w:cs="华文楷体"/>
          <w:sz w:val="28"/>
          <w:szCs w:val="28"/>
        </w:rPr>
        <w:t>，并</w:t>
      </w:r>
      <w:r>
        <w:rPr>
          <w:rFonts w:hint="eastAsia" w:ascii="华文楷体" w:hAnsi="华文楷体" w:eastAsia="华文楷体" w:cs="华文楷体"/>
          <w:color w:val="FF0000"/>
          <w:sz w:val="28"/>
          <w:szCs w:val="28"/>
        </w:rPr>
        <w:t>形成‘医保保基本、商保保高端’的效率</w:t>
      </w:r>
      <w:r>
        <w:rPr>
          <w:rFonts w:hint="eastAsia" w:ascii="华文楷体" w:hAnsi="华文楷体" w:eastAsia="华文楷体" w:cs="华文楷体"/>
          <w:color w:val="FF0000"/>
          <w:sz w:val="28"/>
          <w:szCs w:val="28"/>
        </w:rPr>
        <w:t>与福利双</w:t>
      </w:r>
      <w:r>
        <w:rPr>
          <w:rFonts w:hint="eastAsia" w:ascii="华文楷体" w:hAnsi="华文楷体" w:eastAsia="华文楷体" w:cs="华文楷体"/>
          <w:color w:val="FF0000"/>
          <w:sz w:val="28"/>
          <w:szCs w:val="28"/>
        </w:rPr>
        <w:t>定位</w:t>
      </w:r>
      <w:r>
        <w:rPr>
          <w:rFonts w:hint="eastAsia" w:ascii="华文楷体" w:hAnsi="华文楷体" w:eastAsia="华文楷体" w:cs="华文楷体"/>
          <w:sz w:val="28"/>
          <w:szCs w:val="28"/>
        </w:rPr>
        <w:t>。</w:t>
      </w:r>
    </w:p>
    <w:p w14:paraId="13FCB833">
      <w:pPr>
        <w:rPr>
          <w:rFonts w:hint="eastAsia" w:ascii="华文楷体" w:hAnsi="华文楷体" w:eastAsia="华文楷体" w:cs="华文楷体"/>
          <w:color w:val="FF0000"/>
          <w:sz w:val="28"/>
          <w:szCs w:val="28"/>
        </w:rPr>
      </w:pPr>
      <w:r>
        <w:rPr>
          <w:rFonts w:hint="eastAsia" w:ascii="华文楷体" w:hAnsi="华文楷体" w:eastAsia="华文楷体" w:cs="华文楷体"/>
          <w:sz w:val="28"/>
          <w:szCs w:val="28"/>
        </w:rPr>
        <w:tab/>
      </w:r>
      <w:r>
        <w:rPr>
          <w:rFonts w:hint="eastAsia" w:ascii="华文楷体" w:hAnsi="华文楷体" w:eastAsia="华文楷体" w:cs="华文楷体"/>
          <w:sz w:val="28"/>
          <w:szCs w:val="28"/>
        </w:rPr>
        <w:t>2025</w:t>
      </w:r>
      <w:r>
        <w:rPr>
          <w:rFonts w:hint="eastAsia" w:ascii="华文楷体" w:hAnsi="华文楷体" w:eastAsia="华文楷体" w:cs="华文楷体"/>
          <w:sz w:val="28"/>
          <w:szCs w:val="28"/>
        </w:rPr>
        <w:t>年我国</w:t>
      </w:r>
      <w:r>
        <w:rPr>
          <w:rFonts w:hint="eastAsia" w:ascii="华文楷体" w:hAnsi="华文楷体" w:eastAsia="华文楷体" w:cs="华文楷体"/>
          <w:color w:val="FF0000"/>
          <w:sz w:val="28"/>
          <w:szCs w:val="28"/>
        </w:rPr>
        <w:t>多地区</w:t>
      </w:r>
      <w:r>
        <w:rPr>
          <w:rFonts w:hint="eastAsia" w:ascii="华文楷体" w:hAnsi="华文楷体" w:eastAsia="华文楷体" w:cs="华文楷体"/>
          <w:sz w:val="28"/>
          <w:szCs w:val="28"/>
        </w:rPr>
        <w:t>在政策文件中涉及创新药商业保险相关内容。1月3日《</w:t>
      </w:r>
      <w:r>
        <w:rPr>
          <w:rFonts w:hint="eastAsia" w:ascii="华文楷体" w:hAnsi="华文楷体" w:eastAsia="华文楷体" w:cs="华文楷体"/>
          <w:sz w:val="28"/>
          <w:szCs w:val="28"/>
        </w:rPr>
        <w:t>上海市医疗保障条例</w:t>
      </w:r>
      <w:r>
        <w:rPr>
          <w:rFonts w:hint="eastAsia" w:ascii="华文楷体" w:hAnsi="华文楷体" w:eastAsia="华文楷体" w:cs="华文楷体"/>
          <w:sz w:val="28"/>
          <w:szCs w:val="28"/>
        </w:rPr>
        <w:t>》</w:t>
      </w:r>
      <w:r>
        <w:rPr>
          <w:rFonts w:hint="eastAsia" w:ascii="华文楷体" w:hAnsi="华文楷体" w:eastAsia="华文楷体" w:cs="华文楷体"/>
          <w:sz w:val="28"/>
          <w:szCs w:val="28"/>
          <w:vertAlign w:val="superscript"/>
        </w:rPr>
        <w:footnoteReference w:id="14"/>
      </w:r>
      <w:r>
        <w:rPr>
          <w:rFonts w:hint="eastAsia" w:ascii="华文楷体" w:hAnsi="华文楷体" w:eastAsia="华文楷体" w:cs="华文楷体"/>
          <w:sz w:val="28"/>
          <w:szCs w:val="28"/>
        </w:rPr>
        <w:t>作为</w:t>
      </w:r>
      <w:r>
        <w:rPr>
          <w:rFonts w:hint="eastAsia" w:ascii="华文楷体" w:hAnsi="华文楷体" w:eastAsia="华文楷体" w:cs="华文楷体"/>
          <w:sz w:val="28"/>
          <w:szCs w:val="28"/>
        </w:rPr>
        <w:t>全国首个省级条例6次提及“商业健康保险”</w:t>
      </w:r>
      <w:r>
        <w:rPr>
          <w:rFonts w:hint="eastAsia" w:ascii="华文楷体" w:hAnsi="华文楷体" w:eastAsia="华文楷体" w:cs="华文楷体"/>
          <w:sz w:val="28"/>
          <w:szCs w:val="28"/>
        </w:rPr>
        <w:t>，其中明确提出</w:t>
      </w:r>
      <w:r>
        <w:rPr>
          <w:rFonts w:hint="eastAsia" w:ascii="华文楷体" w:hAnsi="华文楷体" w:eastAsia="华文楷体" w:cs="华文楷体"/>
          <w:sz w:val="28"/>
          <w:szCs w:val="28"/>
        </w:rPr>
        <w:t>“支持创新药械纳入商保支付范围”，并依托医保大数据创新实验室为商保产品开发提供数据接口。</w:t>
      </w:r>
      <w:r>
        <w:rPr>
          <w:rFonts w:hint="eastAsia" w:ascii="华文楷体" w:hAnsi="华文楷体" w:eastAsia="华文楷体" w:cs="华文楷体"/>
          <w:sz w:val="28"/>
          <w:szCs w:val="28"/>
        </w:rPr>
        <w:t>浙江省于2</w:t>
      </w:r>
      <w:r>
        <w:rPr>
          <w:rFonts w:hint="eastAsia" w:ascii="华文楷体" w:hAnsi="华文楷体" w:eastAsia="华文楷体" w:cs="华文楷体"/>
          <w:sz w:val="28"/>
          <w:szCs w:val="28"/>
        </w:rPr>
        <w:t>021</w:t>
      </w:r>
      <w:r>
        <w:rPr>
          <w:rFonts w:hint="eastAsia" w:ascii="华文楷体" w:hAnsi="华文楷体" w:eastAsia="华文楷体" w:cs="华文楷体"/>
          <w:sz w:val="28"/>
          <w:szCs w:val="28"/>
        </w:rPr>
        <w:t>年提出2</w:t>
      </w:r>
      <w:r>
        <w:rPr>
          <w:rFonts w:hint="eastAsia" w:ascii="华文楷体" w:hAnsi="华文楷体" w:eastAsia="华文楷体" w:cs="华文楷体"/>
          <w:sz w:val="28"/>
          <w:szCs w:val="28"/>
        </w:rPr>
        <w:t>025</w:t>
      </w:r>
      <w:r>
        <w:rPr>
          <w:rFonts w:hint="eastAsia" w:ascii="华文楷体" w:hAnsi="华文楷体" w:eastAsia="华文楷体" w:cs="华文楷体"/>
          <w:sz w:val="28"/>
          <w:szCs w:val="28"/>
        </w:rPr>
        <w:t>年仍实行的《</w:t>
      </w:r>
      <w:r>
        <w:rPr>
          <w:rFonts w:hint="eastAsia" w:ascii="华文楷体" w:hAnsi="华文楷体" w:eastAsia="华文楷体" w:cs="华文楷体"/>
          <w:sz w:val="28"/>
          <w:szCs w:val="28"/>
        </w:rPr>
        <w:t>医疗保障条例</w:t>
      </w:r>
      <w:r>
        <w:rPr>
          <w:rFonts w:hint="eastAsia" w:ascii="华文楷体" w:hAnsi="华文楷体" w:eastAsia="华文楷体" w:cs="华文楷体"/>
          <w:sz w:val="28"/>
          <w:szCs w:val="28"/>
        </w:rPr>
        <w:t>》</w:t>
      </w:r>
      <w:r>
        <w:rPr>
          <w:rStyle w:val="139"/>
          <w:rFonts w:hint="eastAsia" w:ascii="华文楷体" w:hAnsi="华文楷体" w:eastAsia="华文楷体" w:cs="华文楷体"/>
          <w:sz w:val="28"/>
          <w:szCs w:val="28"/>
        </w:rPr>
        <w:footnoteReference w:id="15"/>
      </w:r>
      <w:r>
        <w:rPr>
          <w:rFonts w:hint="eastAsia" w:ascii="华文楷体" w:hAnsi="华文楷体" w:eastAsia="华文楷体" w:cs="华文楷体"/>
          <w:sz w:val="28"/>
          <w:szCs w:val="28"/>
        </w:rPr>
        <w:t>中明确提出“以基本医疗保险为主体，医疗救助为托底，</w:t>
      </w:r>
      <w:r>
        <w:rPr>
          <w:rFonts w:hint="eastAsia" w:ascii="华文楷体" w:hAnsi="华文楷体" w:eastAsia="华文楷体" w:cs="华文楷体"/>
          <w:color w:val="FF0000"/>
          <w:sz w:val="28"/>
          <w:szCs w:val="28"/>
        </w:rPr>
        <w:t>商业健康保险等为补充</w:t>
      </w:r>
      <w:r>
        <w:rPr>
          <w:rFonts w:hint="eastAsia" w:ascii="华文楷体" w:hAnsi="华文楷体" w:eastAsia="华文楷体" w:cs="华文楷体"/>
          <w:sz w:val="28"/>
          <w:szCs w:val="28"/>
        </w:rPr>
        <w:t>的多层次医疗保障体系”。截至目前，北京市已进行两批CHS-DRG付费新药新技术除外支付申报工作</w:t>
      </w:r>
      <w:r>
        <w:rPr>
          <w:rStyle w:val="139"/>
          <w:rFonts w:hint="eastAsia" w:ascii="华文楷体" w:hAnsi="华文楷体" w:eastAsia="华文楷体" w:cs="华文楷体"/>
          <w:sz w:val="28"/>
          <w:szCs w:val="28"/>
        </w:rPr>
        <w:footnoteReference w:id="16"/>
      </w:r>
      <w:r>
        <w:rPr>
          <w:rFonts w:hint="eastAsia" w:ascii="华文楷体" w:hAnsi="华文楷体" w:eastAsia="华文楷体" w:cs="华文楷体"/>
          <w:sz w:val="28"/>
          <w:szCs w:val="28"/>
        </w:rPr>
        <w:t>。深圳市医保局联合多方通过打通深圳医保、医院与商保系统的</w:t>
      </w:r>
      <w:r>
        <w:rPr>
          <w:rFonts w:hint="eastAsia" w:ascii="华文楷体" w:hAnsi="华文楷体" w:eastAsia="华文楷体" w:cs="华文楷体"/>
          <w:color w:val="FF0000"/>
          <w:sz w:val="28"/>
          <w:szCs w:val="28"/>
        </w:rPr>
        <w:t>数据</w:t>
      </w:r>
      <w:r>
        <w:rPr>
          <w:rFonts w:hint="eastAsia" w:ascii="华文楷体" w:hAnsi="华文楷体" w:eastAsia="华文楷体" w:cs="华文楷体"/>
          <w:sz w:val="28"/>
          <w:szCs w:val="28"/>
        </w:rPr>
        <w:t>壁垒，推出了专为</w:t>
      </w:r>
      <w:r>
        <w:rPr>
          <w:rFonts w:hint="eastAsia" w:ascii="华文楷体" w:hAnsi="华文楷体" w:eastAsia="华文楷体" w:cs="华文楷体"/>
          <w:color w:val="FF0000"/>
          <w:sz w:val="28"/>
          <w:szCs w:val="28"/>
        </w:rPr>
        <w:t>商业保险理赔</w:t>
      </w:r>
      <w:r>
        <w:rPr>
          <w:rFonts w:hint="eastAsia" w:ascii="华文楷体" w:hAnsi="华文楷体" w:eastAsia="华文楷体" w:cs="华文楷体"/>
          <w:sz w:val="28"/>
          <w:szCs w:val="28"/>
        </w:rPr>
        <w:t>设计的“商保直付”和“商保快赔”双快捷通道</w:t>
      </w:r>
      <w:r>
        <w:rPr>
          <w:rStyle w:val="139"/>
          <w:rFonts w:hint="eastAsia" w:ascii="华文楷体" w:hAnsi="华文楷体" w:eastAsia="华文楷体" w:cs="华文楷体"/>
          <w:sz w:val="28"/>
          <w:szCs w:val="28"/>
        </w:rPr>
        <w:footnoteReference w:id="17"/>
      </w:r>
      <w:r>
        <w:rPr>
          <w:rStyle w:val="139"/>
          <w:rFonts w:hint="eastAsia" w:ascii="华文楷体" w:hAnsi="华文楷体" w:eastAsia="华文楷体" w:cs="华文楷体"/>
          <w:sz w:val="28"/>
          <w:szCs w:val="28"/>
        </w:rPr>
        <w:footnoteReference w:id="18"/>
      </w:r>
      <w:r>
        <w:rPr>
          <w:rFonts w:hint="eastAsia" w:ascii="华文楷体" w:hAnsi="华文楷体" w:eastAsia="华文楷体" w:cs="华文楷体"/>
          <w:sz w:val="28"/>
          <w:szCs w:val="28"/>
        </w:rPr>
        <w:t>。基于以上政策文件可看出，</w:t>
      </w:r>
      <w:r>
        <w:rPr>
          <w:rFonts w:hint="eastAsia" w:ascii="华文楷体" w:hAnsi="华文楷体" w:eastAsia="华文楷体" w:cs="华文楷体"/>
          <w:color w:val="FF0000"/>
          <w:sz w:val="28"/>
          <w:szCs w:val="28"/>
        </w:rPr>
        <w:t>目前我国各地区对商保定位以及创新药与商保的结合多聚集于一线省市，且内容多直接采用商保作为医保的补充，强调商保在医疗保障中的重要地位，但对其真正定位并无明确研究。</w:t>
      </w:r>
    </w:p>
    <w:p w14:paraId="4AE4D9AA">
      <w:pPr>
        <w:rPr>
          <w:rFonts w:hint="eastAsia" w:ascii="华文楷体" w:hAnsi="华文楷体" w:eastAsia="华文楷体" w:cs="华文楷体"/>
          <w:sz w:val="28"/>
          <w:szCs w:val="28"/>
        </w:rPr>
      </w:pPr>
      <w:r>
        <w:rPr>
          <w:rFonts w:hint="eastAsia" w:ascii="华文楷体" w:hAnsi="华文楷体" w:eastAsia="华文楷体" w:cs="华文楷体"/>
          <w:sz w:val="28"/>
          <w:szCs w:val="28"/>
        </w:rPr>
        <w:tab/>
      </w:r>
      <w:r>
        <w:rPr>
          <w:rFonts w:hint="eastAsia" w:ascii="华文楷体" w:hAnsi="华文楷体" w:eastAsia="华文楷体" w:cs="华文楷体"/>
          <w:sz w:val="28"/>
          <w:szCs w:val="28"/>
        </w:rPr>
        <w:t>我国部分地区也不断促进医保与商保之间的</w:t>
      </w:r>
      <w:r>
        <w:rPr>
          <w:rFonts w:hint="eastAsia" w:ascii="华文楷体" w:hAnsi="华文楷体" w:eastAsia="华文楷体" w:cs="华文楷体"/>
          <w:color w:val="FF0000"/>
          <w:sz w:val="28"/>
          <w:szCs w:val="28"/>
        </w:rPr>
        <w:t>数据对接</w:t>
      </w:r>
      <w:r>
        <w:rPr>
          <w:rFonts w:hint="eastAsia" w:ascii="华文楷体" w:hAnsi="华文楷体" w:eastAsia="华文楷体" w:cs="华文楷体"/>
          <w:sz w:val="28"/>
          <w:szCs w:val="28"/>
        </w:rPr>
        <w:t>。如</w:t>
      </w:r>
      <w:r>
        <w:rPr>
          <w:rFonts w:hint="eastAsia" w:ascii="华文楷体" w:hAnsi="华文楷体" w:eastAsia="华文楷体" w:cs="华文楷体"/>
          <w:sz w:val="28"/>
          <w:szCs w:val="28"/>
        </w:rPr>
        <w:t>上海12家三甲医院推行“医保+商保一站式秒赔”，商保公司实时抓取医保结算数据，将理赔周期从7个工作日缩短至30分钟；广州与22家医院实现全流程数据对接，出院时同步完成医保与商保结算。</w:t>
      </w:r>
      <w:r>
        <w:rPr>
          <w:rFonts w:hint="eastAsia" w:ascii="华文楷体" w:hAnsi="华文楷体" w:eastAsia="华文楷体" w:cs="华文楷体"/>
          <w:sz w:val="28"/>
          <w:szCs w:val="28"/>
        </w:rPr>
        <w:t>综上，</w:t>
      </w:r>
      <w:r>
        <w:rPr>
          <w:rFonts w:hint="eastAsia" w:ascii="华文楷体" w:hAnsi="华文楷体" w:eastAsia="华文楷体" w:cs="华文楷体"/>
          <w:color w:val="FF0000"/>
          <w:sz w:val="28"/>
          <w:szCs w:val="28"/>
        </w:rPr>
        <w:t>我国及各地区随对医保与商保的数据问题有所关注，但仍处于初级阶段，暂未公布有效且统一的数据共享平台与法律法规。</w:t>
      </w:r>
    </w:p>
    <w:p w14:paraId="3565650B">
      <w:pPr>
        <w:pStyle w:val="4"/>
        <w:numPr>
          <w:ilvl w:val="0"/>
          <w:numId w:val="9"/>
        </w:numPr>
        <w:rPr>
          <w:rFonts w:hint="eastAsia" w:ascii="华文楷体" w:hAnsi="华文楷体" w:eastAsia="华文楷体" w:cs="华文楷体"/>
          <w:sz w:val="28"/>
          <w:szCs w:val="28"/>
        </w:rPr>
      </w:pPr>
      <w:r>
        <w:rPr>
          <w:rFonts w:hint="eastAsia" w:ascii="华文楷体" w:hAnsi="华文楷体" w:eastAsia="华文楷体" w:cs="华文楷体"/>
          <w:sz w:val="28"/>
          <w:szCs w:val="28"/>
        </w:rPr>
        <w:t>学界研究</w:t>
      </w:r>
    </w:p>
    <w:p w14:paraId="051027E8">
      <w:pPr>
        <w:rPr>
          <w:rFonts w:hint="eastAsia" w:ascii="华文楷体" w:hAnsi="华文楷体" w:eastAsia="华文楷体" w:cs="华文楷体"/>
          <w:color w:val="FF0000"/>
          <w:sz w:val="28"/>
          <w:szCs w:val="28"/>
        </w:rPr>
      </w:pPr>
      <w:r>
        <w:rPr>
          <w:rFonts w:hint="eastAsia" w:ascii="华文楷体" w:hAnsi="华文楷体" w:eastAsia="华文楷体" w:cs="华文楷体"/>
          <w:sz w:val="28"/>
          <w:szCs w:val="28"/>
        </w:rPr>
        <w:tab/>
      </w:r>
      <w:r>
        <w:rPr>
          <w:rFonts w:hint="eastAsia" w:ascii="华文楷体" w:hAnsi="华文楷体" w:eastAsia="华文楷体" w:cs="华文楷体"/>
          <w:sz w:val="28"/>
          <w:szCs w:val="28"/>
        </w:rPr>
        <w:t>我国学界对创新药领域的商保定位与对应定价与支付措施具有初步研究。部分学者基于对部分国家对应机制的研究，总结出相关措施。发表于《中国药房》的《</w:t>
      </w:r>
      <w:r>
        <w:rPr>
          <w:rFonts w:hint="eastAsia" w:ascii="华文楷体" w:hAnsi="华文楷体" w:eastAsia="华文楷体" w:cs="华文楷体"/>
          <w:sz w:val="28"/>
          <w:szCs w:val="28"/>
        </w:rPr>
        <w:t>医保视角下新药创新性认定与价格管理政策的国际对比分析</w:t>
      </w:r>
      <w:r>
        <w:rPr>
          <w:rFonts w:hint="eastAsia" w:ascii="华文楷体" w:hAnsi="华文楷体" w:eastAsia="华文楷体" w:cs="华文楷体"/>
          <w:sz w:val="28"/>
          <w:szCs w:val="28"/>
        </w:rPr>
        <w:t>》</w:t>
      </w:r>
      <w:r>
        <w:rPr>
          <w:rStyle w:val="139"/>
          <w:rFonts w:hint="eastAsia" w:ascii="华文楷体" w:hAnsi="华文楷体" w:eastAsia="华文楷体" w:cs="华文楷体"/>
          <w:sz w:val="28"/>
          <w:szCs w:val="28"/>
        </w:rPr>
        <w:footnoteReference w:id="19"/>
      </w:r>
      <w:r>
        <w:rPr>
          <w:rFonts w:hint="eastAsia" w:ascii="华文楷体" w:hAnsi="华文楷体" w:eastAsia="华文楷体" w:cs="华文楷体"/>
          <w:sz w:val="28"/>
          <w:szCs w:val="28"/>
        </w:rPr>
        <w:t>通过</w:t>
      </w:r>
      <w:r>
        <w:rPr>
          <w:rFonts w:hint="eastAsia" w:ascii="华文楷体" w:hAnsi="华文楷体" w:eastAsia="华文楷体" w:cs="华文楷体"/>
          <w:sz w:val="28"/>
          <w:szCs w:val="28"/>
        </w:rPr>
        <w:t>对比德、法、澳、英、日五国医保/商保对创新药“创新性”认定标准与差异化定价机制</w:t>
      </w:r>
      <w:r>
        <w:rPr>
          <w:rFonts w:hint="eastAsia" w:ascii="华文楷体" w:hAnsi="华文楷体" w:eastAsia="华文楷体" w:cs="华文楷体"/>
          <w:sz w:val="28"/>
          <w:szCs w:val="28"/>
        </w:rPr>
        <w:t>，建议我国在创新药管理中进一步明晰创新的内涵与分级，应用多种定价方式促进创新分级管理，探索引入</w:t>
      </w:r>
      <w:r>
        <w:rPr>
          <w:rFonts w:hint="eastAsia" w:ascii="华文楷体" w:hAnsi="华文楷体" w:eastAsia="华文楷体" w:cs="华文楷体"/>
          <w:sz w:val="28"/>
          <w:szCs w:val="28"/>
          <w:highlight w:val="yellow"/>
        </w:rPr>
        <w:t>风险分担协议</w:t>
      </w:r>
      <w:r>
        <w:rPr>
          <w:rFonts w:hint="eastAsia" w:ascii="华文楷体" w:hAnsi="华文楷体" w:eastAsia="华文楷体" w:cs="华文楷体"/>
          <w:sz w:val="28"/>
          <w:szCs w:val="28"/>
        </w:rPr>
        <w:t>，并进一步构建主动药价调整机制，以完善我国</w:t>
      </w:r>
      <w:r>
        <w:rPr>
          <w:rFonts w:hint="eastAsia" w:ascii="华文楷体" w:hAnsi="华文楷体" w:eastAsia="华文楷体" w:cs="华文楷体"/>
          <w:sz w:val="28"/>
          <w:szCs w:val="28"/>
          <w:highlight w:val="yellow"/>
        </w:rPr>
        <w:t>创新药价格体系</w:t>
      </w:r>
      <w:r>
        <w:rPr>
          <w:rFonts w:hint="eastAsia" w:ascii="华文楷体" w:hAnsi="华文楷体" w:eastAsia="华文楷体" w:cs="华文楷体"/>
          <w:sz w:val="28"/>
          <w:szCs w:val="28"/>
        </w:rPr>
        <w:t>。发表于《医药导报》的《</w:t>
      </w:r>
      <w:r>
        <w:rPr>
          <w:rFonts w:hint="eastAsia" w:ascii="华文楷体" w:hAnsi="华文楷体" w:eastAsia="华文楷体" w:cs="华文楷体"/>
          <w:sz w:val="28"/>
          <w:szCs w:val="28"/>
        </w:rPr>
        <w:t>中外创新药物医保支付的比较研究</w:t>
      </w:r>
      <w:r>
        <w:rPr>
          <w:rFonts w:hint="eastAsia" w:ascii="华文楷体" w:hAnsi="华文楷体" w:eastAsia="华文楷体" w:cs="华文楷体"/>
          <w:sz w:val="28"/>
          <w:szCs w:val="28"/>
        </w:rPr>
        <w:t>》</w:t>
      </w:r>
      <w:r>
        <w:rPr>
          <w:rStyle w:val="139"/>
          <w:rFonts w:hint="eastAsia" w:ascii="华文楷体" w:hAnsi="华文楷体" w:eastAsia="华文楷体" w:cs="华文楷体"/>
          <w:sz w:val="28"/>
          <w:szCs w:val="28"/>
        </w:rPr>
        <w:footnoteReference w:id="20"/>
      </w:r>
      <w:r>
        <w:rPr>
          <w:rFonts w:hint="eastAsia" w:ascii="华文楷体" w:hAnsi="华文楷体" w:eastAsia="华文楷体" w:cs="华文楷体"/>
          <w:sz w:val="28"/>
          <w:szCs w:val="28"/>
        </w:rPr>
        <w:t>以美国、法国、德国为例，分析总结DRG付费体系下</w:t>
      </w:r>
      <w:r>
        <w:rPr>
          <w:rFonts w:hint="eastAsia" w:ascii="华文楷体" w:hAnsi="华文楷体" w:eastAsia="华文楷体" w:cs="华文楷体"/>
          <w:sz w:val="28"/>
          <w:szCs w:val="28"/>
          <w:highlight w:val="yellow"/>
        </w:rPr>
        <w:t>创新药物额外支付的国际经验</w:t>
      </w:r>
      <w:r>
        <w:rPr>
          <w:rFonts w:hint="eastAsia" w:ascii="华文楷体" w:hAnsi="华文楷体" w:eastAsia="华文楷体" w:cs="华文楷体"/>
          <w:sz w:val="28"/>
          <w:szCs w:val="28"/>
        </w:rPr>
        <w:t>，并结合我国创新药物医保支付现状及DRG付费对创新药物发展的影响，提出了明确的纳入标准、选择合适支付模式、建立动态调整机制、完善支付方式等政策建议。发表于《</w:t>
      </w:r>
      <w:r>
        <w:rPr>
          <w:rFonts w:hint="eastAsia" w:ascii="华文楷体" w:hAnsi="华文楷体" w:eastAsia="华文楷体" w:cs="华文楷体"/>
          <w:sz w:val="28"/>
          <w:szCs w:val="28"/>
        </w:rPr>
        <w:t>南京医科大学学报</w:t>
      </w:r>
      <w:r>
        <w:rPr>
          <w:rFonts w:hint="eastAsia" w:ascii="华文楷体" w:hAnsi="华文楷体" w:eastAsia="华文楷体" w:cs="华文楷体"/>
          <w:sz w:val="28"/>
          <w:szCs w:val="28"/>
        </w:rPr>
        <w:t>》的《</w:t>
      </w:r>
      <w:r>
        <w:rPr>
          <w:rFonts w:hint="eastAsia" w:ascii="华文楷体" w:hAnsi="华文楷体" w:eastAsia="华文楷体" w:cs="华文楷体"/>
          <w:sz w:val="28"/>
          <w:szCs w:val="28"/>
        </w:rPr>
        <w:t>我国商业健康保险研究现状与演进趋势分析</w:t>
      </w:r>
      <w:r>
        <w:rPr>
          <w:rFonts w:hint="eastAsia" w:ascii="华文楷体" w:hAnsi="华文楷体" w:eastAsia="华文楷体" w:cs="华文楷体"/>
          <w:sz w:val="28"/>
          <w:szCs w:val="28"/>
        </w:rPr>
        <w:t>》</w:t>
      </w:r>
      <w:r>
        <w:rPr>
          <w:rStyle w:val="139"/>
          <w:rFonts w:hint="eastAsia" w:ascii="华文楷体" w:hAnsi="华文楷体" w:eastAsia="华文楷体" w:cs="华文楷体"/>
          <w:sz w:val="28"/>
          <w:szCs w:val="28"/>
        </w:rPr>
        <w:footnoteReference w:id="21"/>
      </w:r>
      <w:r>
        <w:rPr>
          <w:rFonts w:hint="eastAsia" w:ascii="华文楷体" w:hAnsi="华文楷体" w:eastAsia="华文楷体" w:cs="华文楷体"/>
          <w:sz w:val="28"/>
          <w:szCs w:val="28"/>
        </w:rPr>
        <w:t>运用CiteSpace文献计量软件对</w:t>
      </w:r>
      <w:r>
        <w:rPr>
          <w:rFonts w:hint="eastAsia" w:ascii="华文楷体" w:hAnsi="华文楷体" w:eastAsia="华文楷体" w:cs="华文楷体"/>
          <w:sz w:val="28"/>
          <w:szCs w:val="28"/>
          <w:highlight w:val="yellow"/>
        </w:rPr>
        <w:t>我国商业健康保险的研究现状、演进趋势</w:t>
      </w:r>
      <w:r>
        <w:rPr>
          <w:rFonts w:hint="eastAsia" w:ascii="华文楷体" w:hAnsi="华文楷体" w:eastAsia="华文楷体" w:cs="华文楷体"/>
          <w:sz w:val="28"/>
          <w:szCs w:val="28"/>
        </w:rPr>
        <w:t>进行可视化分析,并提出其对该领域未来研究选题方向的</w:t>
      </w:r>
      <w:r>
        <w:rPr>
          <w:rFonts w:hint="eastAsia" w:ascii="华文楷体" w:hAnsi="华文楷体" w:eastAsia="华文楷体" w:cs="华文楷体"/>
          <w:sz w:val="28"/>
          <w:szCs w:val="28"/>
          <w:highlight w:val="yellow"/>
        </w:rPr>
        <w:t>预测</w:t>
      </w:r>
      <w:r>
        <w:rPr>
          <w:rFonts w:hint="eastAsia" w:ascii="华文楷体" w:hAnsi="华文楷体" w:eastAsia="华文楷体" w:cs="华文楷体"/>
          <w:sz w:val="28"/>
          <w:szCs w:val="28"/>
        </w:rPr>
        <w:t>。由</w:t>
      </w:r>
      <w:r>
        <w:rPr>
          <w:rFonts w:hint="eastAsia" w:ascii="华文楷体" w:hAnsi="华文楷体" w:eastAsia="华文楷体" w:cs="华文楷体"/>
          <w:sz w:val="28"/>
          <w:szCs w:val="28"/>
        </w:rPr>
        <w:t>RDPAC</w:t>
      </w:r>
      <w:r>
        <w:rPr>
          <w:rFonts w:hint="eastAsia" w:ascii="华文楷体" w:hAnsi="华文楷体" w:eastAsia="华文楷体" w:cs="华文楷体"/>
          <w:sz w:val="28"/>
          <w:szCs w:val="28"/>
        </w:rPr>
        <w:t>发布的《</w:t>
      </w:r>
      <w:r>
        <w:rPr>
          <w:rFonts w:hint="eastAsia" w:ascii="华文楷体" w:hAnsi="华文楷体" w:eastAsia="华文楷体" w:cs="华文楷体"/>
          <w:sz w:val="28"/>
          <w:szCs w:val="28"/>
        </w:rPr>
        <w:t>商业健康险、医药行业与医疗机构协同创新案例研究</w:t>
      </w:r>
      <w:r>
        <w:rPr>
          <w:rFonts w:hint="eastAsia" w:ascii="华文楷体" w:hAnsi="华文楷体" w:eastAsia="华文楷体" w:cs="华文楷体"/>
          <w:sz w:val="28"/>
          <w:szCs w:val="28"/>
        </w:rPr>
        <w:t>》</w:t>
      </w:r>
      <w:r>
        <w:rPr>
          <w:rStyle w:val="139"/>
          <w:rFonts w:hint="eastAsia" w:ascii="华文楷体" w:hAnsi="华文楷体" w:eastAsia="华文楷体" w:cs="华文楷体"/>
          <w:sz w:val="28"/>
          <w:szCs w:val="28"/>
        </w:rPr>
        <w:footnoteReference w:id="22"/>
      </w:r>
      <w:r>
        <w:rPr>
          <w:rFonts w:hint="eastAsia" w:ascii="华文楷体" w:hAnsi="华文楷体" w:eastAsia="华文楷体" w:cs="华文楷体"/>
          <w:sz w:val="28"/>
          <w:szCs w:val="28"/>
        </w:rPr>
        <w:t>中聚焦数据</w:t>
      </w:r>
      <w:r>
        <w:rPr>
          <w:rFonts w:hint="eastAsia" w:ascii="华文楷体" w:hAnsi="华文楷体" w:eastAsia="华文楷体" w:cs="华文楷体"/>
          <w:sz w:val="28"/>
          <w:szCs w:val="28"/>
        </w:rPr>
        <w:t>提出“原始数据不出域、数据可用不可见”的隐私计算标准，为</w:t>
      </w:r>
      <w:r>
        <w:rPr>
          <w:rFonts w:hint="eastAsia" w:ascii="华文楷体" w:hAnsi="华文楷体" w:eastAsia="华文楷体" w:cs="华文楷体"/>
          <w:sz w:val="28"/>
          <w:szCs w:val="28"/>
          <w:highlight w:val="yellow"/>
        </w:rPr>
        <w:t>地方商保接入医保数据</w:t>
      </w:r>
      <w:r>
        <w:rPr>
          <w:rFonts w:hint="eastAsia" w:ascii="华文楷体" w:hAnsi="华文楷体" w:eastAsia="华文楷体" w:cs="华文楷体"/>
          <w:sz w:val="28"/>
          <w:szCs w:val="28"/>
        </w:rPr>
        <w:t>提供技术路径</w:t>
      </w:r>
      <w:r>
        <w:rPr>
          <w:rFonts w:hint="eastAsia" w:ascii="华文楷体" w:hAnsi="华文楷体" w:eastAsia="华文楷体" w:cs="华文楷体"/>
          <w:sz w:val="28"/>
          <w:szCs w:val="28"/>
        </w:rPr>
        <w:t>，并</w:t>
      </w:r>
      <w:r>
        <w:rPr>
          <w:rFonts w:hint="eastAsia" w:ascii="华文楷体" w:hAnsi="华文楷体" w:eastAsia="华文楷体" w:cs="华文楷体"/>
          <w:sz w:val="28"/>
          <w:szCs w:val="28"/>
        </w:rPr>
        <w:t>建议由国家医保局+金监总局出台系统对接标准、数据交互标准、数据保护标准。</w:t>
      </w:r>
      <w:r>
        <w:rPr>
          <w:rFonts w:hint="eastAsia" w:ascii="华文楷体" w:hAnsi="华文楷体" w:eastAsia="华文楷体" w:cs="华文楷体"/>
          <w:sz w:val="28"/>
          <w:szCs w:val="28"/>
        </w:rPr>
        <w:t>综上，</w:t>
      </w:r>
      <w:r>
        <w:rPr>
          <w:rFonts w:hint="eastAsia" w:ascii="华文楷体" w:hAnsi="华文楷体" w:eastAsia="华文楷体" w:cs="华文楷体"/>
          <w:color w:val="FF0000"/>
          <w:sz w:val="28"/>
          <w:szCs w:val="28"/>
        </w:rPr>
        <w:t>我国学界已对创新药商保定位与价格机制具有初步研究，但主要聚焦于价格机制，对定位的研究尚不充足，多基于目前“医保为主、商保补充”的基础上继续研究。</w:t>
      </w:r>
    </w:p>
    <w:p w14:paraId="4DD89658">
      <w:pPr>
        <w:rPr>
          <w:rFonts w:hint="eastAsia" w:ascii="华文楷体" w:hAnsi="华文楷体" w:eastAsia="华文楷体" w:cs="华文楷体"/>
          <w:color w:val="FF0000"/>
          <w:sz w:val="28"/>
          <w:szCs w:val="28"/>
        </w:rPr>
      </w:pPr>
    </w:p>
    <w:p w14:paraId="3FAEEE49">
      <w:pPr>
        <w:rPr>
          <w:rFonts w:hint="eastAsia" w:ascii="华文楷体" w:hAnsi="华文楷体" w:eastAsia="华文楷体" w:cs="华文楷体"/>
          <w:sz w:val="28"/>
          <w:szCs w:val="28"/>
        </w:rPr>
      </w:pPr>
      <w:r>
        <w:rPr>
          <w:rFonts w:hint="eastAsia" w:ascii="华文楷体" w:hAnsi="华文楷体" w:eastAsia="华文楷体" w:cs="华文楷体"/>
          <w:sz w:val="28"/>
          <w:szCs w:val="28"/>
        </w:rPr>
        <w:t>独特方法</w:t>
      </w:r>
    </w:p>
    <w:p w14:paraId="5887BB18">
      <w:pPr>
        <w:rPr>
          <w:rFonts w:hint="eastAsia" w:ascii="华文楷体" w:hAnsi="华文楷体" w:eastAsia="华文楷体" w:cs="华文楷体"/>
          <w:sz w:val="28"/>
          <w:szCs w:val="28"/>
        </w:rPr>
      </w:pPr>
      <w:r>
        <w:rPr>
          <w:rFonts w:hint="eastAsia" w:ascii="华文楷体" w:hAnsi="华文楷体" w:eastAsia="华文楷体" w:cs="华文楷体"/>
          <w:sz w:val="28"/>
          <w:szCs w:val="28"/>
        </w:rPr>
        <w:t>按结构定</w:t>
      </w:r>
    </w:p>
    <w:p w14:paraId="0BD323C8">
      <w:pPr>
        <w:pStyle w:val="4"/>
        <w:pageBreakBefore w:val="0"/>
        <w:widowControl/>
        <w:kinsoku/>
        <w:wordWrap/>
        <w:overflowPunct/>
        <w:topLinePunct w:val="0"/>
        <w:autoSpaceDE/>
        <w:autoSpaceDN/>
        <w:bidi w:val="0"/>
        <w:adjustRightInd/>
        <w:snapToGrid/>
        <w:ind w:firstLine="561" w:firstLineChars="200"/>
        <w:textAlignment w:val="auto"/>
        <w:rPr>
          <w:rFonts w:hint="eastAsia" w:ascii="华文楷体" w:hAnsi="华文楷体" w:eastAsia="华文楷体" w:cs="华文楷体"/>
          <w:sz w:val="28"/>
          <w:szCs w:val="28"/>
        </w:rPr>
      </w:pPr>
      <w:r>
        <w:rPr>
          <w:rFonts w:hint="eastAsia" w:ascii="华文楷体" w:hAnsi="华文楷体" w:eastAsia="华文楷体" w:cs="华文楷体"/>
          <w:sz w:val="28"/>
          <w:szCs w:val="28"/>
        </w:rPr>
        <w:t>（</w:t>
      </w:r>
      <w:r>
        <w:rPr>
          <w:rFonts w:hint="eastAsia" w:ascii="华文楷体" w:hAnsi="华文楷体" w:eastAsia="华文楷体" w:cs="华文楷体"/>
          <w:sz w:val="28"/>
          <w:szCs w:val="28"/>
          <w:lang w:val="en-US" w:eastAsia="zh-CN"/>
        </w:rPr>
        <w:t>五</w:t>
      </w:r>
      <w:r>
        <w:rPr>
          <w:rFonts w:hint="eastAsia" w:ascii="华文楷体" w:hAnsi="华文楷体" w:eastAsia="华文楷体" w:cs="华文楷体"/>
          <w:sz w:val="28"/>
          <w:szCs w:val="28"/>
        </w:rPr>
        <w:t>）政策工具体系与“十五五”行动路径研究</w:t>
      </w:r>
    </w:p>
    <w:p w14:paraId="081E7FA2">
      <w:pPr>
        <w:pageBreakBefore w:val="0"/>
        <w:widowControl/>
        <w:kinsoku/>
        <w:wordWrap/>
        <w:overflowPunct/>
        <w:topLinePunct w:val="0"/>
        <w:autoSpaceDE/>
        <w:autoSpaceDN/>
        <w:bidi w:val="0"/>
        <w:adjustRightInd/>
        <w:snapToGrid/>
        <w:ind w:firstLine="560" w:firstLineChars="200"/>
        <w:textAlignment w:val="auto"/>
        <w:rPr>
          <w:rFonts w:hint="eastAsia" w:ascii="华文楷体" w:hAnsi="华文楷体" w:eastAsia="华文楷体" w:cs="华文楷体"/>
          <w:sz w:val="28"/>
          <w:szCs w:val="28"/>
        </w:rPr>
      </w:pPr>
      <w:r>
        <w:rPr>
          <w:rFonts w:hint="eastAsia" w:ascii="华文楷体" w:hAnsi="华文楷体" w:eastAsia="华文楷体" w:cs="华文楷体"/>
          <w:sz w:val="28"/>
          <w:szCs w:val="28"/>
        </w:rPr>
        <w:t>根据国家发改委“十五五”规划前期研究安排（2025 年发布）以及国务院办公厅 2024 年改革重点工作要求，支付体系改革与创新药可及性提升将纳入 2026—2030 年的国家战略行动路线。本研究提出一个多层次、跨部门的政策工具体系，涵盖制度规则、财政税收、技术数据、风险监管和公众保护五大领域，形成系统性改革框架。</w:t>
      </w:r>
    </w:p>
    <w:p w14:paraId="7F90B3D5">
      <w:pPr>
        <w:pageBreakBefore w:val="0"/>
        <w:widowControl/>
        <w:kinsoku/>
        <w:wordWrap/>
        <w:overflowPunct/>
        <w:topLinePunct w:val="0"/>
        <w:autoSpaceDE/>
        <w:autoSpaceDN/>
        <w:bidi w:val="0"/>
        <w:adjustRightInd/>
        <w:snapToGrid/>
        <w:ind w:firstLine="560" w:firstLineChars="200"/>
        <w:textAlignment w:val="auto"/>
        <w:rPr>
          <w:rFonts w:hint="eastAsia" w:ascii="华文楷体" w:hAnsi="华文楷体" w:eastAsia="华文楷体" w:cs="华文楷体"/>
          <w:sz w:val="28"/>
          <w:szCs w:val="28"/>
        </w:rPr>
      </w:pPr>
      <w:r>
        <w:rPr>
          <w:rFonts w:hint="eastAsia" w:ascii="华文楷体" w:hAnsi="华文楷体" w:eastAsia="华文楷体" w:cs="华文楷体"/>
          <w:sz w:val="28"/>
          <w:szCs w:val="28"/>
        </w:rPr>
        <w:t>在制度方面，应建立由</w:t>
      </w:r>
      <w:r>
        <w:rPr>
          <w:rFonts w:hint="eastAsia" w:ascii="华文楷体" w:hAnsi="华文楷体" w:eastAsia="华文楷体" w:cs="华文楷体"/>
          <w:sz w:val="28"/>
          <w:szCs w:val="28"/>
          <w:lang w:val="en-US" w:eastAsia="zh-CN"/>
        </w:rPr>
        <w:t>发改委牵头，</w:t>
      </w:r>
      <w:r>
        <w:rPr>
          <w:rFonts w:hint="eastAsia" w:ascii="华文楷体" w:hAnsi="华文楷体" w:eastAsia="华文楷体" w:cs="华文楷体"/>
          <w:sz w:val="28"/>
          <w:szCs w:val="28"/>
        </w:rPr>
        <w:t>国家医保局、银保监会、药监局、卫健委及财政部参与的跨部门协同机制，明确各部门职责分工与数据接口标准，推动形成统一的商保创新药目录与准入制度。在财政层面，应出台税收减免与财政补贴政策，支持保险公司和制药企业参与创新药真实世界数据平台建设与支付机制改革。根据财政部 2024 年《支持创新药产业高质量发展的若干措施》，可对参与支付体系改革与数据基础设施建设的企业给予研发费用加计扣除及专项补贴支持。</w:t>
      </w:r>
    </w:p>
    <w:p w14:paraId="14D6DB14">
      <w:pPr>
        <w:pageBreakBefore w:val="0"/>
        <w:widowControl/>
        <w:kinsoku/>
        <w:wordWrap/>
        <w:overflowPunct/>
        <w:topLinePunct w:val="0"/>
        <w:autoSpaceDE/>
        <w:autoSpaceDN/>
        <w:bidi w:val="0"/>
        <w:adjustRightInd/>
        <w:snapToGrid/>
        <w:ind w:firstLine="560" w:firstLineChars="200"/>
        <w:textAlignment w:val="auto"/>
        <w:rPr>
          <w:rFonts w:hint="eastAsia" w:ascii="华文楷体" w:hAnsi="华文楷体" w:eastAsia="华文楷体" w:cs="华文楷体"/>
          <w:sz w:val="28"/>
          <w:szCs w:val="28"/>
        </w:rPr>
      </w:pPr>
      <w:r>
        <w:rPr>
          <w:rFonts w:hint="eastAsia" w:ascii="华文楷体" w:hAnsi="华文楷体" w:eastAsia="华文楷体" w:cs="华文楷体"/>
          <w:sz w:val="28"/>
          <w:szCs w:val="28"/>
        </w:rPr>
        <w:t>在技术与数据层面，应加快建设全国统一的商保清分平台，实现医保、商保与医院之间的实时清算与数据回流，探索通过区块链与隐私计算技术确保数据安全与合规流转。国家医保局和银保监会在 2024 年已启动多层次保障信息平台互联互通计划，为创新药支付数据标准化提供了基础。风险监管方面，应建立基金支付风险预警系统与赔付审查机制，构建创新药风险分担基金，防范单药高额赔付带来的基金波动。</w:t>
      </w:r>
    </w:p>
    <w:p w14:paraId="33ABDE34">
      <w:pPr>
        <w:pageBreakBefore w:val="0"/>
        <w:widowControl/>
        <w:kinsoku/>
        <w:wordWrap/>
        <w:overflowPunct/>
        <w:topLinePunct w:val="0"/>
        <w:autoSpaceDE/>
        <w:autoSpaceDN/>
        <w:bidi w:val="0"/>
        <w:adjustRightInd/>
        <w:snapToGrid/>
        <w:ind w:firstLine="560" w:firstLineChars="200"/>
        <w:textAlignment w:val="auto"/>
        <w:rPr>
          <w:rFonts w:hint="eastAsia" w:ascii="华文楷体" w:hAnsi="华文楷体" w:eastAsia="华文楷体" w:cs="华文楷体"/>
          <w:sz w:val="28"/>
          <w:szCs w:val="28"/>
        </w:rPr>
      </w:pPr>
      <w:r>
        <w:rPr>
          <w:rFonts w:hint="eastAsia" w:ascii="华文楷体" w:hAnsi="华文楷体" w:eastAsia="华文楷体" w:cs="华文楷体"/>
          <w:sz w:val="28"/>
          <w:szCs w:val="28"/>
        </w:rPr>
        <w:t>“十五五”时期的行动路径可分为三个阶段：2025—2026 年为政策试点与制度奠基期，重点在若干省份开展商保创新药支付试点并完成数据平台一期建设；2027—2029 年为推广深化期，建立全国统一的清分标准与目录制度，实现医保与商保数据互通；2030 年后进入制度固化期，推动立法化与标准化建设，形成稳定高效的创新药支付体系。</w:t>
      </w:r>
    </w:p>
    <w:p w14:paraId="04DA1BEB">
      <w:pPr>
        <w:pageBreakBefore w:val="0"/>
        <w:widowControl/>
        <w:kinsoku/>
        <w:wordWrap/>
        <w:overflowPunct/>
        <w:topLinePunct w:val="0"/>
        <w:autoSpaceDE/>
        <w:autoSpaceDN/>
        <w:bidi w:val="0"/>
        <w:adjustRightInd/>
        <w:snapToGrid/>
        <w:ind w:firstLine="560" w:firstLineChars="200"/>
        <w:textAlignment w:val="auto"/>
        <w:rPr>
          <w:rFonts w:hint="eastAsia" w:ascii="华文楷体" w:hAnsi="华文楷体" w:eastAsia="华文楷体" w:cs="华文楷体"/>
          <w:sz w:val="28"/>
          <w:szCs w:val="28"/>
        </w:rPr>
      </w:pPr>
      <w:r>
        <w:rPr>
          <w:rFonts w:hint="eastAsia" w:ascii="华文楷体" w:hAnsi="华文楷体" w:eastAsia="华文楷体" w:cs="华文楷体"/>
          <w:sz w:val="28"/>
          <w:szCs w:val="28"/>
        </w:rPr>
        <w:t>通过制定明确的阶段目标、责任分工与评估机制，形成“研究成果上报—政策试点验证—评估反馈—制度固化”的闭环，将研究成果纳入“十五五”规划纲要与全国两会政策建议，推动创新药支付体系改革取得实质性进展。</w:t>
      </w:r>
    </w:p>
    <w:p w14:paraId="14CF7393">
      <w:pPr>
        <w:rPr>
          <w:rFonts w:hint="eastAsia" w:ascii="华文楷体" w:hAnsi="华文楷体" w:eastAsia="华文楷体" w:cs="华文楷体"/>
          <w:sz w:val="28"/>
          <w:szCs w:val="28"/>
        </w:rPr>
      </w:pPr>
      <w:r>
        <w:rPr>
          <w:rFonts w:hint="eastAsia" w:ascii="华文楷体" w:hAnsi="华文楷体" w:eastAsia="华文楷体" w:cs="华文楷体"/>
          <w:sz w:val="28"/>
          <w:szCs w:val="28"/>
        </w:rPr>
        <w:br w:type="page"/>
      </w:r>
    </w:p>
    <w:p w14:paraId="21B2C7CC">
      <w:pPr>
        <w:pStyle w:val="4"/>
        <w:pageBreakBefore w:val="0"/>
        <w:widowControl/>
        <w:kinsoku/>
        <w:wordWrap/>
        <w:overflowPunct/>
        <w:topLinePunct w:val="0"/>
        <w:autoSpaceDE/>
        <w:autoSpaceDN/>
        <w:bidi w:val="0"/>
        <w:adjustRightInd/>
        <w:snapToGrid/>
        <w:ind w:firstLine="561" w:firstLineChars="200"/>
        <w:textAlignment w:val="auto"/>
        <w:rPr>
          <w:rFonts w:hint="eastAsia" w:ascii="华文楷体" w:hAnsi="华文楷体" w:eastAsia="华文楷体" w:cs="华文楷体"/>
          <w:sz w:val="28"/>
          <w:szCs w:val="28"/>
        </w:rPr>
      </w:pPr>
      <w:r>
        <w:rPr>
          <w:rFonts w:hint="eastAsia" w:ascii="华文楷体" w:hAnsi="华文楷体" w:eastAsia="华文楷体" w:cs="华文楷体"/>
          <w:sz w:val="28"/>
          <w:szCs w:val="28"/>
        </w:rPr>
        <w:t>（附件）研究问题清单</w:t>
      </w:r>
    </w:p>
    <w:p w14:paraId="6D5DF25B">
      <w:pPr>
        <w:pageBreakBefore w:val="0"/>
        <w:widowControl/>
        <w:kinsoku/>
        <w:wordWrap/>
        <w:overflowPunct/>
        <w:topLinePunct w:val="0"/>
        <w:autoSpaceDE/>
        <w:autoSpaceDN/>
        <w:bidi w:val="0"/>
        <w:adjustRightInd/>
        <w:snapToGrid/>
        <w:ind w:firstLine="560" w:firstLineChars="200"/>
        <w:textAlignment w:val="auto"/>
        <w:rPr>
          <w:rFonts w:hint="eastAsia" w:ascii="华文楷体" w:hAnsi="华文楷体" w:eastAsia="华文楷体" w:cs="华文楷体"/>
          <w:sz w:val="28"/>
          <w:szCs w:val="28"/>
        </w:rPr>
      </w:pPr>
      <w:r>
        <w:rPr>
          <w:rFonts w:hint="eastAsia" w:ascii="华文楷体" w:hAnsi="华文楷体" w:eastAsia="华文楷体" w:cs="华文楷体"/>
          <w:sz w:val="28"/>
          <w:szCs w:val="28"/>
        </w:rPr>
        <w:t>一、流程类问题</w:t>
      </w:r>
    </w:p>
    <w:p w14:paraId="7F9613C3">
      <w:pPr>
        <w:pStyle w:val="148"/>
        <w:pageBreakBefore w:val="0"/>
        <w:widowControl/>
        <w:kinsoku/>
        <w:wordWrap/>
        <w:overflowPunct/>
        <w:topLinePunct w:val="0"/>
        <w:autoSpaceDE/>
        <w:autoSpaceDN/>
        <w:bidi w:val="0"/>
        <w:adjustRightInd/>
        <w:snapToGrid/>
        <w:ind w:firstLine="560" w:firstLineChars="200"/>
        <w:textAlignment w:val="auto"/>
        <w:rPr>
          <w:rFonts w:hint="eastAsia" w:ascii="华文楷体" w:hAnsi="华文楷体" w:eastAsia="华文楷体" w:cs="华文楷体"/>
          <w:sz w:val="28"/>
          <w:szCs w:val="28"/>
        </w:rPr>
      </w:pPr>
      <w:r>
        <w:rPr>
          <w:rFonts w:hint="eastAsia" w:ascii="华文楷体" w:hAnsi="华文楷体" w:eastAsia="华文楷体" w:cs="华文楷体"/>
          <w:sz w:val="28"/>
          <w:szCs w:val="28"/>
        </w:rPr>
        <w:t>1. 商保创新药目录的准入流程应如何与医保谈判衔接？</w:t>
      </w:r>
    </w:p>
    <w:p w14:paraId="249A4C62">
      <w:pPr>
        <w:pStyle w:val="148"/>
        <w:pageBreakBefore w:val="0"/>
        <w:widowControl/>
        <w:kinsoku/>
        <w:wordWrap/>
        <w:overflowPunct/>
        <w:topLinePunct w:val="0"/>
        <w:autoSpaceDE/>
        <w:autoSpaceDN/>
        <w:bidi w:val="0"/>
        <w:adjustRightInd/>
        <w:snapToGrid/>
        <w:ind w:firstLine="560" w:firstLineChars="200"/>
        <w:textAlignment w:val="auto"/>
        <w:rPr>
          <w:rFonts w:hint="eastAsia" w:ascii="华文楷体" w:hAnsi="华文楷体" w:eastAsia="华文楷体" w:cs="华文楷体"/>
          <w:sz w:val="28"/>
          <w:szCs w:val="28"/>
        </w:rPr>
      </w:pPr>
      <w:r>
        <w:rPr>
          <w:rFonts w:hint="eastAsia" w:ascii="华文楷体" w:hAnsi="华文楷体" w:eastAsia="华文楷体" w:cs="华文楷体"/>
          <w:sz w:val="28"/>
          <w:szCs w:val="28"/>
        </w:rPr>
        <w:t>2. 创新药进入商保目录后，其真实世界数据如何回流至医保数据库？</w:t>
      </w:r>
    </w:p>
    <w:p w14:paraId="49D37462">
      <w:pPr>
        <w:pStyle w:val="148"/>
        <w:pageBreakBefore w:val="0"/>
        <w:widowControl/>
        <w:kinsoku/>
        <w:wordWrap/>
        <w:overflowPunct/>
        <w:topLinePunct w:val="0"/>
        <w:autoSpaceDE/>
        <w:autoSpaceDN/>
        <w:bidi w:val="0"/>
        <w:adjustRightInd/>
        <w:snapToGrid/>
        <w:ind w:firstLine="560" w:firstLineChars="200"/>
        <w:textAlignment w:val="auto"/>
        <w:rPr>
          <w:rFonts w:hint="eastAsia" w:ascii="华文楷体" w:hAnsi="华文楷体" w:eastAsia="华文楷体" w:cs="华文楷体"/>
          <w:sz w:val="28"/>
          <w:szCs w:val="28"/>
        </w:rPr>
      </w:pPr>
      <w:r>
        <w:rPr>
          <w:rFonts w:hint="eastAsia" w:ascii="华文楷体" w:hAnsi="华文楷体" w:eastAsia="华文楷体" w:cs="华文楷体"/>
          <w:sz w:val="28"/>
          <w:szCs w:val="28"/>
        </w:rPr>
        <w:t>3. 商保支付体系与医院结算系统如何实现自动清分？</w:t>
      </w:r>
    </w:p>
    <w:p w14:paraId="49B86619">
      <w:pPr>
        <w:pStyle w:val="148"/>
        <w:pageBreakBefore w:val="0"/>
        <w:widowControl/>
        <w:kinsoku/>
        <w:wordWrap/>
        <w:overflowPunct/>
        <w:topLinePunct w:val="0"/>
        <w:autoSpaceDE/>
        <w:autoSpaceDN/>
        <w:bidi w:val="0"/>
        <w:adjustRightInd/>
        <w:snapToGrid/>
        <w:ind w:firstLine="560" w:firstLineChars="200"/>
        <w:textAlignment w:val="auto"/>
        <w:rPr>
          <w:rFonts w:hint="eastAsia" w:ascii="华文楷体" w:hAnsi="华文楷体" w:eastAsia="华文楷体" w:cs="华文楷体"/>
          <w:sz w:val="28"/>
          <w:szCs w:val="28"/>
        </w:rPr>
      </w:pPr>
      <w:r>
        <w:rPr>
          <w:rFonts w:hint="eastAsia" w:ascii="华文楷体" w:hAnsi="华文楷体" w:eastAsia="华文楷体" w:cs="华文楷体"/>
          <w:sz w:val="28"/>
          <w:szCs w:val="28"/>
        </w:rPr>
        <w:t>4. 商保参与医保谈判后的价格调整机制如何设定？</w:t>
      </w:r>
    </w:p>
    <w:p w14:paraId="6C37EC0E">
      <w:pPr>
        <w:pStyle w:val="148"/>
        <w:pageBreakBefore w:val="0"/>
        <w:widowControl/>
        <w:kinsoku/>
        <w:wordWrap/>
        <w:overflowPunct/>
        <w:topLinePunct w:val="0"/>
        <w:autoSpaceDE/>
        <w:autoSpaceDN/>
        <w:bidi w:val="0"/>
        <w:adjustRightInd/>
        <w:snapToGrid/>
        <w:ind w:firstLine="560" w:firstLineChars="200"/>
        <w:textAlignment w:val="auto"/>
        <w:rPr>
          <w:rFonts w:hint="eastAsia" w:ascii="华文楷体" w:hAnsi="华文楷体" w:eastAsia="华文楷体" w:cs="华文楷体"/>
          <w:sz w:val="28"/>
          <w:szCs w:val="28"/>
        </w:rPr>
      </w:pPr>
      <w:r>
        <w:rPr>
          <w:rFonts w:hint="eastAsia" w:ascii="华文楷体" w:hAnsi="华文楷体" w:eastAsia="华文楷体" w:cs="华文楷体"/>
          <w:sz w:val="28"/>
          <w:szCs w:val="28"/>
        </w:rPr>
        <w:t>5. 商保创新药目录动态调整的频率和标准应如何确定？</w:t>
      </w:r>
    </w:p>
    <w:p w14:paraId="52F13089">
      <w:pPr>
        <w:pStyle w:val="148"/>
        <w:pageBreakBefore w:val="0"/>
        <w:widowControl/>
        <w:kinsoku/>
        <w:wordWrap/>
        <w:overflowPunct/>
        <w:topLinePunct w:val="0"/>
        <w:autoSpaceDE/>
        <w:autoSpaceDN/>
        <w:bidi w:val="0"/>
        <w:adjustRightInd/>
        <w:snapToGrid/>
        <w:ind w:firstLine="560" w:firstLineChars="200"/>
        <w:textAlignment w:val="auto"/>
        <w:rPr>
          <w:rFonts w:hint="eastAsia" w:ascii="华文楷体" w:hAnsi="华文楷体" w:eastAsia="华文楷体" w:cs="华文楷体"/>
          <w:sz w:val="28"/>
          <w:szCs w:val="28"/>
        </w:rPr>
      </w:pPr>
      <w:r>
        <w:rPr>
          <w:rFonts w:hint="eastAsia" w:ascii="华文楷体" w:hAnsi="华文楷体" w:eastAsia="华文楷体" w:cs="华文楷体"/>
          <w:sz w:val="28"/>
          <w:szCs w:val="28"/>
        </w:rPr>
        <w:t>6. 商保在药品再定价周期内如何参与疗效验证？</w:t>
      </w:r>
    </w:p>
    <w:p w14:paraId="5DD72594">
      <w:pPr>
        <w:pStyle w:val="148"/>
        <w:pageBreakBefore w:val="0"/>
        <w:widowControl/>
        <w:kinsoku/>
        <w:wordWrap/>
        <w:overflowPunct/>
        <w:topLinePunct w:val="0"/>
        <w:autoSpaceDE/>
        <w:autoSpaceDN/>
        <w:bidi w:val="0"/>
        <w:adjustRightInd/>
        <w:snapToGrid/>
        <w:ind w:firstLine="560" w:firstLineChars="200"/>
        <w:textAlignment w:val="auto"/>
        <w:rPr>
          <w:rFonts w:hint="eastAsia" w:ascii="华文楷体" w:hAnsi="华文楷体" w:eastAsia="华文楷体" w:cs="华文楷体"/>
          <w:sz w:val="28"/>
          <w:szCs w:val="28"/>
        </w:rPr>
      </w:pPr>
      <w:r>
        <w:rPr>
          <w:rFonts w:hint="eastAsia" w:ascii="华文楷体" w:hAnsi="华文楷体" w:eastAsia="华文楷体" w:cs="华文楷体"/>
          <w:sz w:val="28"/>
          <w:szCs w:val="28"/>
        </w:rPr>
        <w:t>7. 医保、商保与药监之间的数据接口和权限划分应如何规范？</w:t>
      </w:r>
    </w:p>
    <w:p w14:paraId="33979721">
      <w:pPr>
        <w:pStyle w:val="148"/>
        <w:pageBreakBefore w:val="0"/>
        <w:widowControl/>
        <w:kinsoku/>
        <w:wordWrap/>
        <w:overflowPunct/>
        <w:topLinePunct w:val="0"/>
        <w:autoSpaceDE/>
        <w:autoSpaceDN/>
        <w:bidi w:val="0"/>
        <w:adjustRightInd/>
        <w:snapToGrid/>
        <w:ind w:firstLine="560" w:firstLineChars="200"/>
        <w:textAlignment w:val="auto"/>
        <w:rPr>
          <w:rFonts w:hint="eastAsia" w:ascii="华文楷体" w:hAnsi="华文楷体" w:eastAsia="华文楷体" w:cs="华文楷体"/>
          <w:sz w:val="28"/>
          <w:szCs w:val="28"/>
        </w:rPr>
      </w:pPr>
      <w:r>
        <w:rPr>
          <w:rFonts w:hint="eastAsia" w:ascii="华文楷体" w:hAnsi="华文楷体" w:eastAsia="华文楷体" w:cs="华文楷体"/>
          <w:sz w:val="28"/>
          <w:szCs w:val="28"/>
        </w:rPr>
        <w:t>8. 商保退出或药品不达疗效时的基金结算机制应如何设计？</w:t>
      </w:r>
    </w:p>
    <w:p w14:paraId="4C8DB8A0">
      <w:pPr>
        <w:pStyle w:val="148"/>
        <w:pageBreakBefore w:val="0"/>
        <w:widowControl/>
        <w:kinsoku/>
        <w:wordWrap/>
        <w:overflowPunct/>
        <w:topLinePunct w:val="0"/>
        <w:autoSpaceDE/>
        <w:autoSpaceDN/>
        <w:bidi w:val="0"/>
        <w:adjustRightInd/>
        <w:snapToGrid/>
        <w:ind w:firstLine="560" w:firstLineChars="200"/>
        <w:textAlignment w:val="auto"/>
        <w:rPr>
          <w:rFonts w:hint="eastAsia" w:ascii="华文楷体" w:hAnsi="华文楷体" w:eastAsia="华文楷体" w:cs="华文楷体"/>
          <w:sz w:val="28"/>
          <w:szCs w:val="28"/>
        </w:rPr>
      </w:pPr>
      <w:r>
        <w:rPr>
          <w:rFonts w:hint="eastAsia" w:ascii="华文楷体" w:hAnsi="华文楷体" w:eastAsia="华文楷体" w:cs="华文楷体"/>
          <w:sz w:val="28"/>
          <w:szCs w:val="28"/>
        </w:rPr>
        <w:t>9. 创新药商保准入的专家评审机制应如何形成？</w:t>
      </w:r>
    </w:p>
    <w:p w14:paraId="3BBCD7C8">
      <w:pPr>
        <w:pStyle w:val="148"/>
        <w:pageBreakBefore w:val="0"/>
        <w:widowControl/>
        <w:kinsoku/>
        <w:wordWrap/>
        <w:overflowPunct/>
        <w:topLinePunct w:val="0"/>
        <w:autoSpaceDE/>
        <w:autoSpaceDN/>
        <w:bidi w:val="0"/>
        <w:adjustRightInd/>
        <w:snapToGrid/>
        <w:ind w:firstLine="560" w:firstLineChars="200"/>
        <w:textAlignment w:val="auto"/>
        <w:rPr>
          <w:rFonts w:hint="eastAsia" w:ascii="华文楷体" w:hAnsi="华文楷体" w:eastAsia="华文楷体" w:cs="华文楷体"/>
          <w:sz w:val="28"/>
          <w:szCs w:val="28"/>
        </w:rPr>
      </w:pPr>
      <w:r>
        <w:rPr>
          <w:rFonts w:hint="eastAsia" w:ascii="华文楷体" w:hAnsi="华文楷体" w:eastAsia="华文楷体" w:cs="华文楷体"/>
          <w:sz w:val="28"/>
          <w:szCs w:val="28"/>
        </w:rPr>
        <w:t>10. 商保与医保之间如何建立统一的结算和信息反馈时限？</w:t>
      </w:r>
    </w:p>
    <w:p w14:paraId="2D660634">
      <w:pPr>
        <w:pageBreakBefore w:val="0"/>
        <w:widowControl/>
        <w:kinsoku/>
        <w:wordWrap/>
        <w:overflowPunct/>
        <w:topLinePunct w:val="0"/>
        <w:autoSpaceDE/>
        <w:autoSpaceDN/>
        <w:bidi w:val="0"/>
        <w:adjustRightInd/>
        <w:snapToGrid/>
        <w:ind w:firstLine="560" w:firstLineChars="200"/>
        <w:textAlignment w:val="auto"/>
        <w:rPr>
          <w:rFonts w:hint="eastAsia" w:ascii="华文楷体" w:hAnsi="华文楷体" w:eastAsia="华文楷体" w:cs="华文楷体"/>
          <w:sz w:val="28"/>
          <w:szCs w:val="28"/>
        </w:rPr>
      </w:pPr>
      <w:r>
        <w:rPr>
          <w:rFonts w:hint="eastAsia" w:ascii="华文楷体" w:hAnsi="华文楷体" w:eastAsia="华文楷体" w:cs="华文楷体"/>
          <w:sz w:val="28"/>
          <w:szCs w:val="28"/>
        </w:rPr>
        <w:br w:type="textWrapping"/>
      </w:r>
      <w:r>
        <w:rPr>
          <w:rFonts w:hint="eastAsia" w:ascii="华文楷体" w:hAnsi="华文楷体" w:eastAsia="华文楷体" w:cs="华文楷体"/>
          <w:sz w:val="28"/>
          <w:szCs w:val="28"/>
        </w:rPr>
        <w:t>二、要素类问题</w:t>
      </w:r>
    </w:p>
    <w:p w14:paraId="19EA526B">
      <w:pPr>
        <w:pStyle w:val="148"/>
        <w:pageBreakBefore w:val="0"/>
        <w:widowControl/>
        <w:kinsoku/>
        <w:wordWrap/>
        <w:overflowPunct/>
        <w:topLinePunct w:val="0"/>
        <w:autoSpaceDE/>
        <w:autoSpaceDN/>
        <w:bidi w:val="0"/>
        <w:adjustRightInd/>
        <w:snapToGrid/>
        <w:ind w:firstLine="560" w:firstLineChars="200"/>
        <w:textAlignment w:val="auto"/>
        <w:rPr>
          <w:rFonts w:hint="eastAsia" w:ascii="华文楷体" w:hAnsi="华文楷体" w:eastAsia="华文楷体" w:cs="华文楷体"/>
          <w:sz w:val="28"/>
          <w:szCs w:val="28"/>
        </w:rPr>
      </w:pPr>
      <w:r>
        <w:rPr>
          <w:rFonts w:hint="eastAsia" w:ascii="华文楷体" w:hAnsi="华文楷体" w:eastAsia="华文楷体" w:cs="华文楷体"/>
          <w:sz w:val="28"/>
          <w:szCs w:val="28"/>
        </w:rPr>
        <w:t>1. 风险分担基金的出资比例和管理架构应如何确定？</w:t>
      </w:r>
    </w:p>
    <w:p w14:paraId="740DA728">
      <w:pPr>
        <w:pStyle w:val="148"/>
        <w:pageBreakBefore w:val="0"/>
        <w:widowControl/>
        <w:kinsoku/>
        <w:wordWrap/>
        <w:overflowPunct/>
        <w:topLinePunct w:val="0"/>
        <w:autoSpaceDE/>
        <w:autoSpaceDN/>
        <w:bidi w:val="0"/>
        <w:adjustRightInd/>
        <w:snapToGrid/>
        <w:ind w:firstLine="560" w:firstLineChars="200"/>
        <w:textAlignment w:val="auto"/>
        <w:rPr>
          <w:rFonts w:hint="eastAsia" w:ascii="华文楷体" w:hAnsi="华文楷体" w:eastAsia="华文楷体" w:cs="华文楷体"/>
          <w:sz w:val="28"/>
          <w:szCs w:val="28"/>
        </w:rPr>
      </w:pPr>
      <w:r>
        <w:rPr>
          <w:rFonts w:hint="eastAsia" w:ascii="华文楷体" w:hAnsi="华文楷体" w:eastAsia="华文楷体" w:cs="华文楷体"/>
          <w:sz w:val="28"/>
          <w:szCs w:val="28"/>
        </w:rPr>
        <w:t>2. 医院端在创新药使用中的激励机制如何重构？</w:t>
      </w:r>
    </w:p>
    <w:p w14:paraId="7A0655D5">
      <w:pPr>
        <w:pStyle w:val="148"/>
        <w:pageBreakBefore w:val="0"/>
        <w:widowControl/>
        <w:kinsoku/>
        <w:wordWrap/>
        <w:overflowPunct/>
        <w:topLinePunct w:val="0"/>
        <w:autoSpaceDE/>
        <w:autoSpaceDN/>
        <w:bidi w:val="0"/>
        <w:adjustRightInd/>
        <w:snapToGrid/>
        <w:ind w:firstLine="560" w:firstLineChars="200"/>
        <w:textAlignment w:val="auto"/>
        <w:rPr>
          <w:rFonts w:hint="eastAsia" w:ascii="华文楷体" w:hAnsi="华文楷体" w:eastAsia="华文楷体" w:cs="华文楷体"/>
          <w:sz w:val="28"/>
          <w:szCs w:val="28"/>
        </w:rPr>
      </w:pPr>
      <w:r>
        <w:rPr>
          <w:rFonts w:hint="eastAsia" w:ascii="华文楷体" w:hAnsi="华文楷体" w:eastAsia="华文楷体" w:cs="华文楷体"/>
          <w:sz w:val="28"/>
          <w:szCs w:val="28"/>
        </w:rPr>
        <w:t>3. 商保产品设计应如何匹配不同创新药特征（罕见病、肿瘤药等）？</w:t>
      </w:r>
    </w:p>
    <w:p w14:paraId="071537B5">
      <w:pPr>
        <w:pStyle w:val="148"/>
        <w:pageBreakBefore w:val="0"/>
        <w:widowControl/>
        <w:kinsoku/>
        <w:wordWrap/>
        <w:overflowPunct/>
        <w:topLinePunct w:val="0"/>
        <w:autoSpaceDE/>
        <w:autoSpaceDN/>
        <w:bidi w:val="0"/>
        <w:adjustRightInd/>
        <w:snapToGrid/>
        <w:ind w:firstLine="560" w:firstLineChars="200"/>
        <w:textAlignment w:val="auto"/>
        <w:rPr>
          <w:rFonts w:hint="eastAsia" w:ascii="华文楷体" w:hAnsi="华文楷体" w:eastAsia="华文楷体" w:cs="华文楷体"/>
          <w:sz w:val="28"/>
          <w:szCs w:val="28"/>
        </w:rPr>
      </w:pPr>
      <w:r>
        <w:rPr>
          <w:rFonts w:hint="eastAsia" w:ascii="华文楷体" w:hAnsi="华文楷体" w:eastAsia="华文楷体" w:cs="华文楷体"/>
          <w:sz w:val="28"/>
          <w:szCs w:val="28"/>
        </w:rPr>
        <w:t>4. 再保险机制如何在创新药赔付中发挥风险缓释作用？</w:t>
      </w:r>
    </w:p>
    <w:p w14:paraId="5539E508">
      <w:pPr>
        <w:pStyle w:val="148"/>
        <w:pageBreakBefore w:val="0"/>
        <w:widowControl/>
        <w:kinsoku/>
        <w:wordWrap/>
        <w:overflowPunct/>
        <w:topLinePunct w:val="0"/>
        <w:autoSpaceDE/>
        <w:autoSpaceDN/>
        <w:bidi w:val="0"/>
        <w:adjustRightInd/>
        <w:snapToGrid/>
        <w:ind w:firstLine="560" w:firstLineChars="200"/>
        <w:textAlignment w:val="auto"/>
        <w:rPr>
          <w:rFonts w:hint="eastAsia" w:ascii="华文楷体" w:hAnsi="华文楷体" w:eastAsia="华文楷体" w:cs="华文楷体"/>
          <w:sz w:val="28"/>
          <w:szCs w:val="28"/>
        </w:rPr>
      </w:pPr>
      <w:r>
        <w:rPr>
          <w:rFonts w:hint="eastAsia" w:ascii="华文楷体" w:hAnsi="华文楷体" w:eastAsia="华文楷体" w:cs="华文楷体"/>
          <w:sz w:val="28"/>
          <w:szCs w:val="28"/>
        </w:rPr>
        <w:t>5. 数据安全与隐私保护如何在多部门共享中得到保障？</w:t>
      </w:r>
    </w:p>
    <w:p w14:paraId="5B21582F">
      <w:pPr>
        <w:pStyle w:val="148"/>
        <w:pageBreakBefore w:val="0"/>
        <w:widowControl/>
        <w:kinsoku/>
        <w:wordWrap/>
        <w:overflowPunct/>
        <w:topLinePunct w:val="0"/>
        <w:autoSpaceDE/>
        <w:autoSpaceDN/>
        <w:bidi w:val="0"/>
        <w:adjustRightInd/>
        <w:snapToGrid/>
        <w:ind w:firstLine="560" w:firstLineChars="200"/>
        <w:textAlignment w:val="auto"/>
        <w:rPr>
          <w:rFonts w:hint="eastAsia" w:ascii="华文楷体" w:hAnsi="华文楷体" w:eastAsia="华文楷体" w:cs="华文楷体"/>
          <w:sz w:val="28"/>
          <w:szCs w:val="28"/>
        </w:rPr>
      </w:pPr>
      <w:r>
        <w:rPr>
          <w:rFonts w:hint="eastAsia" w:ascii="华文楷体" w:hAnsi="华文楷体" w:eastAsia="华文楷体" w:cs="华文楷体"/>
          <w:sz w:val="28"/>
          <w:szCs w:val="28"/>
        </w:rPr>
        <w:t>6. 医疗机构在RWE采集中的数据质量标准应如何统一？</w:t>
      </w:r>
    </w:p>
    <w:p w14:paraId="288CC40D">
      <w:pPr>
        <w:pStyle w:val="148"/>
        <w:pageBreakBefore w:val="0"/>
        <w:widowControl/>
        <w:kinsoku/>
        <w:wordWrap/>
        <w:overflowPunct/>
        <w:topLinePunct w:val="0"/>
        <w:autoSpaceDE/>
        <w:autoSpaceDN/>
        <w:bidi w:val="0"/>
        <w:adjustRightInd/>
        <w:snapToGrid/>
        <w:ind w:firstLine="560" w:firstLineChars="200"/>
        <w:textAlignment w:val="auto"/>
        <w:rPr>
          <w:rFonts w:hint="eastAsia" w:ascii="华文楷体" w:hAnsi="华文楷体" w:eastAsia="华文楷体" w:cs="华文楷体"/>
          <w:sz w:val="28"/>
          <w:szCs w:val="28"/>
        </w:rPr>
      </w:pPr>
      <w:r>
        <w:rPr>
          <w:rFonts w:hint="eastAsia" w:ascii="华文楷体" w:hAnsi="华文楷体" w:eastAsia="华文楷体" w:cs="华文楷体"/>
          <w:sz w:val="28"/>
          <w:szCs w:val="28"/>
        </w:rPr>
        <w:t>7. 药品临床价值评估与支付价格之间的转换系数如何建立？</w:t>
      </w:r>
    </w:p>
    <w:p w14:paraId="6698A50D">
      <w:pPr>
        <w:pStyle w:val="148"/>
        <w:pageBreakBefore w:val="0"/>
        <w:widowControl/>
        <w:kinsoku/>
        <w:wordWrap/>
        <w:overflowPunct/>
        <w:topLinePunct w:val="0"/>
        <w:autoSpaceDE/>
        <w:autoSpaceDN/>
        <w:bidi w:val="0"/>
        <w:adjustRightInd/>
        <w:snapToGrid/>
        <w:ind w:firstLine="560" w:firstLineChars="200"/>
        <w:textAlignment w:val="auto"/>
        <w:rPr>
          <w:rFonts w:hint="eastAsia" w:ascii="华文楷体" w:hAnsi="华文楷体" w:eastAsia="华文楷体" w:cs="华文楷体"/>
          <w:sz w:val="28"/>
          <w:szCs w:val="28"/>
        </w:rPr>
      </w:pPr>
      <w:r>
        <w:rPr>
          <w:rFonts w:hint="eastAsia" w:ascii="华文楷体" w:hAnsi="华文楷体" w:eastAsia="华文楷体" w:cs="华文楷体"/>
          <w:sz w:val="28"/>
          <w:szCs w:val="28"/>
        </w:rPr>
        <w:t>8. 商保企业的资本约束与监管考核应如何调整？</w:t>
      </w:r>
    </w:p>
    <w:p w14:paraId="2A1A1CDD">
      <w:pPr>
        <w:pStyle w:val="148"/>
        <w:pageBreakBefore w:val="0"/>
        <w:widowControl/>
        <w:kinsoku/>
        <w:wordWrap/>
        <w:overflowPunct/>
        <w:topLinePunct w:val="0"/>
        <w:autoSpaceDE/>
        <w:autoSpaceDN/>
        <w:bidi w:val="0"/>
        <w:adjustRightInd/>
        <w:snapToGrid/>
        <w:ind w:firstLine="560" w:firstLineChars="200"/>
        <w:textAlignment w:val="auto"/>
        <w:rPr>
          <w:rFonts w:hint="eastAsia" w:ascii="华文楷体" w:hAnsi="华文楷体" w:eastAsia="华文楷体" w:cs="华文楷体"/>
          <w:sz w:val="28"/>
          <w:szCs w:val="28"/>
        </w:rPr>
      </w:pPr>
      <w:r>
        <w:rPr>
          <w:rFonts w:hint="eastAsia" w:ascii="华文楷体" w:hAnsi="华文楷体" w:eastAsia="华文楷体" w:cs="华文楷体"/>
          <w:sz w:val="28"/>
          <w:szCs w:val="28"/>
        </w:rPr>
        <w:t>9. 消费者保护与信息披露机制如何完善？</w:t>
      </w:r>
    </w:p>
    <w:p w14:paraId="7BE47CED">
      <w:pPr>
        <w:pStyle w:val="148"/>
        <w:pageBreakBefore w:val="0"/>
        <w:widowControl/>
        <w:kinsoku/>
        <w:wordWrap/>
        <w:overflowPunct/>
        <w:topLinePunct w:val="0"/>
        <w:autoSpaceDE/>
        <w:autoSpaceDN/>
        <w:bidi w:val="0"/>
        <w:adjustRightInd/>
        <w:snapToGrid/>
        <w:ind w:firstLine="560" w:firstLineChars="200"/>
        <w:textAlignment w:val="auto"/>
        <w:rPr>
          <w:rFonts w:hint="eastAsia" w:ascii="华文楷体" w:hAnsi="华文楷体" w:eastAsia="华文楷体" w:cs="华文楷体"/>
          <w:sz w:val="28"/>
          <w:szCs w:val="28"/>
        </w:rPr>
      </w:pPr>
      <w:r>
        <w:rPr>
          <w:rFonts w:hint="eastAsia" w:ascii="华文楷体" w:hAnsi="华文楷体" w:eastAsia="华文楷体" w:cs="华文楷体"/>
          <w:sz w:val="28"/>
          <w:szCs w:val="28"/>
        </w:rPr>
        <w:t>10. 商保创新药产品的定价上限与利润空间如何设定？</w:t>
      </w:r>
    </w:p>
    <w:p w14:paraId="5B21FCD9">
      <w:pPr>
        <w:pageBreakBefore w:val="0"/>
        <w:widowControl/>
        <w:kinsoku/>
        <w:wordWrap/>
        <w:overflowPunct/>
        <w:topLinePunct w:val="0"/>
        <w:autoSpaceDE/>
        <w:autoSpaceDN/>
        <w:bidi w:val="0"/>
        <w:adjustRightInd/>
        <w:snapToGrid/>
        <w:ind w:firstLine="560" w:firstLineChars="200"/>
        <w:textAlignment w:val="auto"/>
        <w:rPr>
          <w:rFonts w:hint="eastAsia" w:ascii="华文楷体" w:hAnsi="华文楷体" w:eastAsia="华文楷体" w:cs="华文楷体"/>
          <w:sz w:val="28"/>
          <w:szCs w:val="28"/>
        </w:rPr>
      </w:pPr>
      <w:r>
        <w:rPr>
          <w:rFonts w:hint="eastAsia" w:ascii="华文楷体" w:hAnsi="华文楷体" w:eastAsia="华文楷体" w:cs="华文楷体"/>
          <w:sz w:val="28"/>
          <w:szCs w:val="28"/>
        </w:rPr>
        <w:br w:type="textWrapping"/>
      </w:r>
      <w:r>
        <w:rPr>
          <w:rFonts w:hint="eastAsia" w:ascii="华文楷体" w:hAnsi="华文楷体" w:eastAsia="华文楷体" w:cs="华文楷体"/>
          <w:sz w:val="28"/>
          <w:szCs w:val="28"/>
        </w:rPr>
        <w:t>三、主题类问题</w:t>
      </w:r>
    </w:p>
    <w:p w14:paraId="0F449878">
      <w:pPr>
        <w:pStyle w:val="148"/>
        <w:pageBreakBefore w:val="0"/>
        <w:widowControl/>
        <w:kinsoku/>
        <w:wordWrap/>
        <w:overflowPunct/>
        <w:topLinePunct w:val="0"/>
        <w:autoSpaceDE/>
        <w:autoSpaceDN/>
        <w:bidi w:val="0"/>
        <w:adjustRightInd/>
        <w:snapToGrid/>
        <w:ind w:firstLine="560" w:firstLineChars="200"/>
        <w:textAlignment w:val="auto"/>
        <w:rPr>
          <w:rFonts w:hint="eastAsia" w:ascii="华文楷体" w:hAnsi="华文楷体" w:eastAsia="华文楷体" w:cs="华文楷体"/>
          <w:sz w:val="28"/>
          <w:szCs w:val="28"/>
        </w:rPr>
      </w:pPr>
      <w:r>
        <w:rPr>
          <w:rFonts w:hint="eastAsia" w:ascii="华文楷体" w:hAnsi="华文楷体" w:eastAsia="华文楷体" w:cs="华文楷体"/>
          <w:sz w:val="28"/>
          <w:szCs w:val="28"/>
        </w:rPr>
        <w:t>1. 国际疗效支付机制在我国落地的可行性与路径设计如何？</w:t>
      </w:r>
    </w:p>
    <w:p w14:paraId="4FAB405A">
      <w:pPr>
        <w:pStyle w:val="148"/>
        <w:pageBreakBefore w:val="0"/>
        <w:widowControl/>
        <w:kinsoku/>
        <w:wordWrap/>
        <w:overflowPunct/>
        <w:topLinePunct w:val="0"/>
        <w:autoSpaceDE/>
        <w:autoSpaceDN/>
        <w:bidi w:val="0"/>
        <w:adjustRightInd/>
        <w:snapToGrid/>
        <w:ind w:firstLine="560" w:firstLineChars="200"/>
        <w:textAlignment w:val="auto"/>
        <w:rPr>
          <w:rFonts w:hint="eastAsia" w:ascii="华文楷体" w:hAnsi="华文楷体" w:eastAsia="华文楷体" w:cs="华文楷体"/>
          <w:sz w:val="28"/>
          <w:szCs w:val="28"/>
        </w:rPr>
      </w:pPr>
      <w:r>
        <w:rPr>
          <w:rFonts w:hint="eastAsia" w:ascii="华文楷体" w:hAnsi="华文楷体" w:eastAsia="华文楷体" w:cs="华文楷体"/>
          <w:sz w:val="28"/>
          <w:szCs w:val="28"/>
        </w:rPr>
        <w:t>2. 商保创新药支付机制对医保基金可持续性的边际影响如何量化？</w:t>
      </w:r>
    </w:p>
    <w:p w14:paraId="305B4A0C">
      <w:pPr>
        <w:pStyle w:val="148"/>
        <w:pageBreakBefore w:val="0"/>
        <w:widowControl/>
        <w:kinsoku/>
        <w:wordWrap/>
        <w:overflowPunct/>
        <w:topLinePunct w:val="0"/>
        <w:autoSpaceDE/>
        <w:autoSpaceDN/>
        <w:bidi w:val="0"/>
        <w:adjustRightInd/>
        <w:snapToGrid/>
        <w:ind w:firstLine="560" w:firstLineChars="200"/>
        <w:textAlignment w:val="auto"/>
        <w:rPr>
          <w:rFonts w:hint="eastAsia" w:ascii="华文楷体" w:hAnsi="华文楷体" w:eastAsia="华文楷体" w:cs="华文楷体"/>
          <w:sz w:val="28"/>
          <w:szCs w:val="28"/>
        </w:rPr>
      </w:pPr>
      <w:r>
        <w:rPr>
          <w:rFonts w:hint="eastAsia" w:ascii="华文楷体" w:hAnsi="华文楷体" w:eastAsia="华文楷体" w:cs="华文楷体"/>
          <w:sz w:val="28"/>
          <w:szCs w:val="28"/>
        </w:rPr>
        <w:t>3. 不同地区经济水平对商保机制推广的影响因素有哪些？</w:t>
      </w:r>
    </w:p>
    <w:p w14:paraId="5C4875FD">
      <w:pPr>
        <w:pStyle w:val="148"/>
        <w:pageBreakBefore w:val="0"/>
        <w:widowControl/>
        <w:kinsoku/>
        <w:wordWrap/>
        <w:overflowPunct/>
        <w:topLinePunct w:val="0"/>
        <w:autoSpaceDE/>
        <w:autoSpaceDN/>
        <w:bidi w:val="0"/>
        <w:adjustRightInd/>
        <w:snapToGrid/>
        <w:ind w:firstLine="560" w:firstLineChars="200"/>
        <w:textAlignment w:val="auto"/>
        <w:rPr>
          <w:rFonts w:hint="eastAsia" w:ascii="华文楷体" w:hAnsi="华文楷体" w:eastAsia="华文楷体" w:cs="华文楷体"/>
          <w:sz w:val="28"/>
          <w:szCs w:val="28"/>
        </w:rPr>
      </w:pPr>
      <w:r>
        <w:rPr>
          <w:rFonts w:hint="eastAsia" w:ascii="华文楷体" w:hAnsi="华文楷体" w:eastAsia="华文楷体" w:cs="华文楷体"/>
          <w:sz w:val="28"/>
          <w:szCs w:val="28"/>
        </w:rPr>
        <w:t>4. 创新药支付体系改革对医药产业创新激励的反馈机制如何形成？</w:t>
      </w:r>
    </w:p>
    <w:p w14:paraId="1ECAF9A1">
      <w:pPr>
        <w:pStyle w:val="148"/>
        <w:pageBreakBefore w:val="0"/>
        <w:widowControl/>
        <w:kinsoku/>
        <w:wordWrap/>
        <w:overflowPunct/>
        <w:topLinePunct w:val="0"/>
        <w:autoSpaceDE/>
        <w:autoSpaceDN/>
        <w:bidi w:val="0"/>
        <w:adjustRightInd/>
        <w:snapToGrid/>
        <w:ind w:firstLine="560" w:firstLineChars="200"/>
        <w:textAlignment w:val="auto"/>
        <w:rPr>
          <w:rFonts w:hint="eastAsia" w:ascii="华文楷体" w:hAnsi="华文楷体" w:eastAsia="华文楷体" w:cs="华文楷体"/>
          <w:sz w:val="28"/>
          <w:szCs w:val="28"/>
        </w:rPr>
      </w:pPr>
      <w:r>
        <w:rPr>
          <w:rFonts w:hint="eastAsia" w:ascii="华文楷体" w:hAnsi="华文楷体" w:eastAsia="华文楷体" w:cs="华文楷体"/>
          <w:sz w:val="28"/>
          <w:szCs w:val="28"/>
        </w:rPr>
        <w:t>5. 如何建立创新药支付改革的绩效评估体系？</w:t>
      </w:r>
    </w:p>
    <w:p w14:paraId="241A38A6">
      <w:pPr>
        <w:pStyle w:val="148"/>
        <w:pageBreakBefore w:val="0"/>
        <w:widowControl/>
        <w:kinsoku/>
        <w:wordWrap/>
        <w:overflowPunct/>
        <w:topLinePunct w:val="0"/>
        <w:autoSpaceDE/>
        <w:autoSpaceDN/>
        <w:bidi w:val="0"/>
        <w:adjustRightInd/>
        <w:snapToGrid/>
        <w:ind w:firstLine="560" w:firstLineChars="200"/>
        <w:textAlignment w:val="auto"/>
        <w:rPr>
          <w:rFonts w:hint="eastAsia" w:ascii="华文楷体" w:hAnsi="华文楷体" w:eastAsia="华文楷体" w:cs="华文楷体"/>
          <w:sz w:val="28"/>
          <w:szCs w:val="28"/>
        </w:rPr>
      </w:pPr>
      <w:r>
        <w:rPr>
          <w:rFonts w:hint="eastAsia" w:ascii="华文楷体" w:hAnsi="华文楷体" w:eastAsia="华文楷体" w:cs="华文楷体"/>
          <w:sz w:val="28"/>
          <w:szCs w:val="28"/>
        </w:rPr>
        <w:t>6. 商保创新药目录试点的退出与扩展条件应如何界定？</w:t>
      </w:r>
    </w:p>
    <w:p w14:paraId="7A40B626">
      <w:pPr>
        <w:pStyle w:val="148"/>
        <w:pageBreakBefore w:val="0"/>
        <w:widowControl/>
        <w:kinsoku/>
        <w:wordWrap/>
        <w:overflowPunct/>
        <w:topLinePunct w:val="0"/>
        <w:autoSpaceDE/>
        <w:autoSpaceDN/>
        <w:bidi w:val="0"/>
        <w:adjustRightInd/>
        <w:snapToGrid/>
        <w:ind w:firstLine="560" w:firstLineChars="200"/>
        <w:textAlignment w:val="auto"/>
        <w:rPr>
          <w:rFonts w:hint="eastAsia" w:ascii="华文楷体" w:hAnsi="华文楷体" w:eastAsia="华文楷体" w:cs="华文楷体"/>
          <w:sz w:val="28"/>
          <w:szCs w:val="28"/>
        </w:rPr>
      </w:pPr>
      <w:r>
        <w:rPr>
          <w:rFonts w:hint="eastAsia" w:ascii="华文楷体" w:hAnsi="华文楷体" w:eastAsia="华文楷体" w:cs="华文楷体"/>
          <w:sz w:val="28"/>
          <w:szCs w:val="28"/>
        </w:rPr>
        <w:t>7. “先商保—后医保”模式下的制度衔接风险有哪些？</w:t>
      </w:r>
    </w:p>
    <w:p w14:paraId="18C91F0E">
      <w:pPr>
        <w:pStyle w:val="148"/>
        <w:pageBreakBefore w:val="0"/>
        <w:widowControl/>
        <w:kinsoku/>
        <w:wordWrap/>
        <w:overflowPunct/>
        <w:topLinePunct w:val="0"/>
        <w:autoSpaceDE/>
        <w:autoSpaceDN/>
        <w:bidi w:val="0"/>
        <w:adjustRightInd/>
        <w:snapToGrid/>
        <w:ind w:firstLine="560" w:firstLineChars="200"/>
        <w:textAlignment w:val="auto"/>
        <w:rPr>
          <w:rFonts w:hint="eastAsia" w:ascii="华文楷体" w:hAnsi="华文楷体" w:eastAsia="华文楷体" w:cs="华文楷体"/>
          <w:sz w:val="28"/>
          <w:szCs w:val="28"/>
        </w:rPr>
      </w:pPr>
      <w:r>
        <w:rPr>
          <w:rFonts w:hint="eastAsia" w:ascii="华文楷体" w:hAnsi="华文楷体" w:eastAsia="华文楷体" w:cs="华文楷体"/>
          <w:sz w:val="28"/>
          <w:szCs w:val="28"/>
        </w:rPr>
        <w:t>8. 如何实现监管部门之间的信息共享与分级审批？</w:t>
      </w:r>
    </w:p>
    <w:p w14:paraId="78FD5346">
      <w:pPr>
        <w:pStyle w:val="148"/>
        <w:pageBreakBefore w:val="0"/>
        <w:widowControl/>
        <w:kinsoku/>
        <w:wordWrap/>
        <w:overflowPunct/>
        <w:topLinePunct w:val="0"/>
        <w:autoSpaceDE/>
        <w:autoSpaceDN/>
        <w:bidi w:val="0"/>
        <w:adjustRightInd/>
        <w:snapToGrid/>
        <w:ind w:firstLine="560" w:firstLineChars="200"/>
        <w:textAlignment w:val="auto"/>
        <w:rPr>
          <w:rFonts w:hint="eastAsia" w:ascii="华文楷体" w:hAnsi="华文楷体" w:eastAsia="华文楷体" w:cs="华文楷体"/>
          <w:sz w:val="28"/>
          <w:szCs w:val="28"/>
        </w:rPr>
      </w:pPr>
      <w:r>
        <w:rPr>
          <w:rFonts w:hint="eastAsia" w:ascii="华文楷体" w:hAnsi="华文楷体" w:eastAsia="华文楷体" w:cs="华文楷体"/>
          <w:sz w:val="28"/>
          <w:szCs w:val="28"/>
        </w:rPr>
        <w:t>9. 医保谈判政策与商保目录的价格协同机制如何优化？</w:t>
      </w:r>
    </w:p>
    <w:p w14:paraId="2EEA4E70">
      <w:pPr>
        <w:pStyle w:val="148"/>
        <w:pageBreakBefore w:val="0"/>
        <w:widowControl/>
        <w:kinsoku/>
        <w:wordWrap/>
        <w:overflowPunct/>
        <w:topLinePunct w:val="0"/>
        <w:autoSpaceDE/>
        <w:autoSpaceDN/>
        <w:bidi w:val="0"/>
        <w:adjustRightInd/>
        <w:snapToGrid/>
        <w:ind w:firstLine="560" w:firstLineChars="200"/>
        <w:textAlignment w:val="auto"/>
        <w:rPr>
          <w:rFonts w:hint="eastAsia" w:ascii="华文楷体" w:hAnsi="华文楷体" w:eastAsia="华文楷体" w:cs="华文楷体"/>
          <w:sz w:val="28"/>
          <w:szCs w:val="28"/>
        </w:rPr>
      </w:pPr>
      <w:r>
        <w:rPr>
          <w:rFonts w:hint="eastAsia" w:ascii="华文楷体" w:hAnsi="华文楷体" w:eastAsia="华文楷体" w:cs="华文楷体"/>
          <w:sz w:val="28"/>
          <w:szCs w:val="28"/>
        </w:rPr>
        <w:t>10. 在“十五五”期间，商保创新药制度如何纳入国家医改总体框架？</w:t>
      </w:r>
    </w:p>
    <w:sectPr>
      <w:pgSz w:w="12240" w:h="15840"/>
      <w:pgMar w:top="1440" w:right="1800" w:bottom="1440" w:left="1800" w:header="720" w:footer="720"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伊 朱" w:date="2025-11-13T09:23:00Z" w:initials="伊朱">
    <w:p w14:paraId="3E1A5C89">
      <w:pPr>
        <w:pStyle w:val="17"/>
      </w:pPr>
      <w:r>
        <w:rPr>
          <w:rFonts w:ascii="Segoe UI" w:hAnsi="Segoe UI" w:cs="Segoe UI"/>
          <w:shd w:val="clear" w:color="auto" w:fill="FFFFFF"/>
        </w:rPr>
        <w:t>在创新药商保目录谈判中，由商业保险公司与药企直接协商药品结算价，</w:t>
      </w:r>
      <w:r>
        <w:rPr>
          <w:rStyle w:val="135"/>
          <w:rFonts w:ascii="Segoe UI" w:hAnsi="Segoe UI" w:cs="Segoe UI"/>
          <w:shd w:val="clear" w:color="auto" w:fill="FFFFFF"/>
        </w:rPr>
        <w:t>不对外披露实际交易价格</w:t>
      </w:r>
      <w:r>
        <w:rPr>
          <w:rFonts w:ascii="Segoe UI" w:hAnsi="Segoe UI" w:cs="Segoe UI"/>
          <w:shd w:val="clear" w:color="auto" w:fill="FFFFFF"/>
        </w:rPr>
        <w:t>，仅公布名义标价或豁免披露义务，以实现“市场标价≠商保支付价”的双轨定价机制。</w:t>
      </w:r>
    </w:p>
  </w:comment>
  <w:comment w:id="1" w:author="伊 朱" w:date="2025-11-11T14:53:00Z" w:initials="伊朱">
    <w:p w14:paraId="625BC403">
      <w:pPr>
        <w:pStyle w:val="17"/>
      </w:pPr>
      <w:r>
        <w:rPr>
          <w:rFonts w:ascii="Segoe UI" w:hAnsi="Segoe UI" w:cs="Segoe UI"/>
          <w:shd w:val="clear" w:color="auto" w:fill="FFFFFF"/>
        </w:rPr>
        <w:t>《新药定价与支付方案设计与特征》</w:t>
      </w:r>
    </w:p>
  </w:comment>
  <w:comment w:id="2" w:author="伊 朱" w:date="2025-11-11T15:13:00Z" w:initials="伊朱">
    <w:p w14:paraId="4D4E270A">
      <w:pPr>
        <w:pStyle w:val="17"/>
      </w:pPr>
      <w:r>
        <w:rPr>
          <w:rFonts w:ascii="Segoe UI" w:hAnsi="Segoe UI" w:cs="Segoe UI"/>
          <w:shd w:val="clear" w:color="auto" w:fill="FFFFFF"/>
        </w:rPr>
        <w:t>《健康技术评估中创新定义与估值方法综述》</w:t>
      </w:r>
    </w:p>
  </w:comment>
  <w:comment w:id="3" w:author="伊 朱" w:date="2025-11-11T16:02:00Z" w:initials="伊朱">
    <w:p w14:paraId="7AEA3C66">
      <w:pPr>
        <w:pStyle w:val="17"/>
      </w:pPr>
      <w:r>
        <w:rPr>
          <w:rFonts w:ascii="Segoe UI" w:hAnsi="Segoe UI" w:cs="Segoe UI"/>
          <w:shd w:val="clear" w:color="auto" w:fill="FFFFFF"/>
        </w:rPr>
        <w:t>《全球南方制药创新崛起》</w:t>
      </w:r>
    </w:p>
  </w:comment>
  <w:comment w:id="4" w:author="伊 朱" w:date="2025-11-11T14:38:00Z" w:initials="伊朱">
    <w:p w14:paraId="59E8D81D">
      <w:pPr>
        <w:pStyle w:val="17"/>
      </w:pPr>
      <w:r>
        <w:rPr>
          <w:rFonts w:ascii="Segoe UI" w:hAnsi="Segoe UI" w:cs="Segoe UI"/>
          <w:shd w:val="clear" w:color="auto" w:fill="FFFFFF"/>
        </w:rPr>
        <w:t>《创新药物替代支付模型》</w:t>
      </w:r>
    </w:p>
  </w:comment>
  <w:comment w:id="5" w:author="伊 朱" w:date="2025-11-05T10:04:00Z" w:initials="伊朱">
    <w:p w14:paraId="308351CB">
      <w:pPr>
        <w:pStyle w:val="17"/>
        <w:rPr>
          <w:rFonts w:ascii="Segoe UI" w:hAnsi="Segoe UI" w:cs="Segoe UI"/>
          <w:b/>
          <w:bCs/>
          <w:shd w:val="clear" w:color="auto" w:fill="FFFFFF"/>
        </w:rPr>
      </w:pPr>
      <w:r>
        <w:rPr>
          <w:rFonts w:ascii="Segoe UI" w:hAnsi="Segoe UI" w:cs="Segoe UI"/>
          <w:b/>
          <w:bCs/>
          <w:shd w:val="clear" w:color="auto" w:fill="FFFFFF"/>
        </w:rPr>
        <w:t>《直面高成本与临床不确定性：基因疗法创新支付模式》</w:t>
      </w:r>
    </w:p>
    <w:p w14:paraId="38E5AC71">
      <w:pPr>
        <w:pStyle w:val="17"/>
      </w:pPr>
      <w:r>
        <w:rPr>
          <w:rStyle w:val="135"/>
          <w:rFonts w:ascii="Segoe UI" w:hAnsi="Segoe UI" w:cs="Segoe UI"/>
          <w:shd w:val="clear" w:color="auto" w:fill="FFFFFF"/>
        </w:rPr>
        <w:t>观点</w:t>
      </w:r>
      <w:r>
        <w:rPr>
          <w:rFonts w:ascii="Segoe UI" w:hAnsi="Segoe UI" w:cs="Segoe UI"/>
          <w:shd w:val="clear" w:color="auto" w:fill="FFFFFF"/>
        </w:rPr>
        <w:t>：基因疗法一次性定价过高，传统“量价挂钩”失灵，需转向“疗效对赌+分期+再保险”组合工具。</w:t>
      </w:r>
      <w:r>
        <w:rPr>
          <w:rFonts w:ascii="Segoe UI" w:hAnsi="Segoe UI" w:cs="Segoe UI"/>
        </w:rPr>
        <w:br w:type="textWrapping"/>
      </w:r>
      <w:r>
        <w:rPr>
          <w:rStyle w:val="135"/>
          <w:rFonts w:ascii="Segoe UI" w:hAnsi="Segoe UI" w:cs="Segoe UI"/>
          <w:shd w:val="clear" w:color="auto" w:fill="FFFFFF"/>
        </w:rPr>
        <w:t>结果</w:t>
      </w:r>
      <w:r>
        <w:rPr>
          <w:rFonts w:ascii="Segoe UI" w:hAnsi="Segoe UI" w:cs="Segoe UI"/>
          <w:shd w:val="clear" w:color="auto" w:fill="FFFFFF"/>
        </w:rPr>
        <w:t>：作者对美国12种已上市基因药对比测算，疗效对赌可使预算冲击下降18-32%，再保险分层可将险企赔付波动压缩40%。</w:t>
      </w:r>
      <w:r>
        <w:rPr>
          <w:rFonts w:ascii="Segoe UI" w:hAnsi="Segoe UI" w:cs="Segoe UI"/>
        </w:rPr>
        <w:br w:type="textWrapping"/>
      </w:r>
      <w:r>
        <w:rPr>
          <w:rStyle w:val="135"/>
          <w:rFonts w:ascii="Segoe UI" w:hAnsi="Segoe UI" w:cs="Segoe UI"/>
          <w:shd w:val="clear" w:color="auto" w:fill="FFFFFF"/>
        </w:rPr>
        <w:t>结论</w:t>
      </w:r>
      <w:r>
        <w:rPr>
          <w:rFonts w:ascii="Segoe UI" w:hAnsi="Segoe UI" w:cs="Segoe UI"/>
          <w:shd w:val="clear" w:color="auto" w:fill="FFFFFF"/>
        </w:rPr>
        <w:t>：建议联邦层面设立“基因疗法再保险池”，并允许商保与药企保密协商疗效触发条款，形成可持续第二支付支柱。</w:t>
      </w:r>
    </w:p>
  </w:comment>
  <w:comment w:id="6" w:author="伊 朱" w:date="2025-11-12T11:40:00Z" w:initials="伊朱">
    <w:p w14:paraId="1FAB649A">
      <w:pPr>
        <w:pStyle w:val="17"/>
      </w:pPr>
      <w:r>
        <w:annotationRef/>
      </w:r>
    </w:p>
  </w:comment>
  <w:comment w:id="7" w:author="伊 朱" w:date="2025-11-12T11:38:00Z" w:initials="伊朱">
    <w:p w14:paraId="2FC98205">
      <w:pPr>
        <w:pStyle w:val="17"/>
      </w:pPr>
      <w:r>
        <w:rPr>
          <w:rFonts w:hint="eastAsia"/>
        </w:rPr>
        <w:t>可量化</w:t>
      </w:r>
    </w:p>
  </w:comment>
  <w:comment w:id="8" w:author="WPS_1633742157" w:date="2025-11-13T10:32:56Z" w:initials="">
    <w:p w14:paraId="0D190750">
      <w:pPr>
        <w:pStyle w:val="17"/>
        <w:rPr>
          <w:rFonts w:hint="default" w:eastAsia="宋体"/>
          <w:lang w:val="en-US" w:eastAsia="zh-CN"/>
        </w:rPr>
      </w:pPr>
      <w:r>
        <w:rPr>
          <w:rFonts w:hint="eastAsia" w:eastAsia="宋体"/>
          <w:lang w:val="en-US" w:eastAsia="zh-CN"/>
        </w:rPr>
        <w:t>香港 美国</w:t>
      </w:r>
    </w:p>
  </w:comment>
  <w:comment w:id="9" w:author="WPS_1633742157" w:date="2025-11-13T10:10:14Z" w:initials="">
    <w:p w14:paraId="6B014092">
      <w:pPr>
        <w:pStyle w:val="17"/>
        <w:rPr>
          <w:rFonts w:hint="default" w:eastAsia="宋体"/>
          <w:lang w:val="en-US" w:eastAsia="zh-CN"/>
        </w:rPr>
      </w:pPr>
      <w:r>
        <w:rPr>
          <w:rFonts w:hint="eastAsia" w:eastAsia="宋体"/>
          <w:lang w:val="en-US" w:eastAsia="zh-CN"/>
        </w:rPr>
        <w:t>确定是对所有药还是创新药</w:t>
      </w:r>
    </w:p>
  </w:comment>
  <w:comment w:id="10" w:author="WPS_1633742157" w:date="2025-11-13T10:37:07Z" w:initials="">
    <w:p w14:paraId="0AD1E25D">
      <w:pPr>
        <w:pStyle w:val="17"/>
        <w:rPr>
          <w:rFonts w:hint="eastAsia" w:eastAsia="宋体"/>
          <w:lang w:val="en-US" w:eastAsia="zh-CN"/>
        </w:rPr>
      </w:pPr>
      <w:r>
        <w:annotationRef/>
      </w:r>
    </w:p>
  </w:comment>
  <w:comment w:id="11" w:author="WPS_1633742157" w:date="2025-11-13T10:22:48Z" w:initials="">
    <w:p w14:paraId="0660E7F1">
      <w:pPr>
        <w:pStyle w:val="17"/>
        <w:rPr>
          <w:rFonts w:hint="default" w:eastAsia="宋体"/>
          <w:lang w:val="en-US" w:eastAsia="zh-CN"/>
        </w:rPr>
      </w:pPr>
      <w:r>
        <w:rPr>
          <w:rFonts w:hint="eastAsia" w:eastAsia="宋体"/>
          <w:lang w:val="en-US" w:eastAsia="zh-CN"/>
        </w:rPr>
        <w:t>分析过程可以写到方法论，趋势影响因素分析法</w:t>
      </w:r>
    </w:p>
  </w:comment>
  <w:comment w:id="12" w:author="WPS_1633742157" w:date="2025-11-13T10:37:13Z" w:initials="">
    <w:p w14:paraId="62BE36E7">
      <w:pPr>
        <w:pStyle w:val="17"/>
        <w:rPr>
          <w:rFonts w:hint="default" w:eastAsia="宋体"/>
          <w:lang w:val="en-US" w:eastAsia="zh-CN"/>
        </w:rPr>
      </w:pPr>
      <w:r>
        <w:rPr>
          <w:rFonts w:hint="eastAsia" w:eastAsia="宋体"/>
          <w:lang w:val="en-US" w:eastAsia="zh-CN"/>
        </w:rPr>
        <w:t>加入大的情景构建，长期愿景，参考健康中国要求，把上面分析的指标提炼出来，三种情景对比来满足这个要求</w:t>
      </w:r>
    </w:p>
  </w:comment>
  <w:comment w:id="13" w:author="WPS_1633742157" w:date="2025-11-13T10:16:34Z" w:initials="">
    <w:p w14:paraId="14F16DD6">
      <w:pPr>
        <w:pStyle w:val="17"/>
        <w:rPr>
          <w:rFonts w:hint="default" w:eastAsia="宋体"/>
          <w:lang w:val="en-US" w:eastAsia="zh-CN"/>
        </w:rPr>
      </w:pPr>
      <w:r>
        <w:rPr>
          <w:rFonts w:hint="eastAsia" w:eastAsia="宋体"/>
          <w:lang w:val="en-US" w:eastAsia="zh-CN"/>
        </w:rPr>
        <w:t>人的满意度、钱、医疗机构利益影响、药企的利益、政府的利益</w:t>
      </w:r>
    </w:p>
  </w:comment>
  <w:comment w:id="14" w:author="WPS_1633742157" w:date="2025-11-13T10:25:41Z" w:initials="">
    <w:p w14:paraId="11B6C047">
      <w:pPr>
        <w:pStyle w:val="17"/>
        <w:rPr>
          <w:rFonts w:hint="default" w:eastAsia="宋体"/>
          <w:lang w:val="en-US" w:eastAsia="zh-CN"/>
        </w:rPr>
      </w:pPr>
      <w:r>
        <w:rPr>
          <w:rFonts w:hint="eastAsia" w:eastAsia="宋体"/>
          <w:lang w:val="en-US" w:eastAsia="zh-CN"/>
        </w:rPr>
        <w:t>商保为主医保为辅</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E1A5C89" w15:done="0"/>
  <w15:commentEx w15:paraId="625BC403" w15:done="0"/>
  <w15:commentEx w15:paraId="4D4E270A" w15:done="0"/>
  <w15:commentEx w15:paraId="7AEA3C66" w15:done="0"/>
  <w15:commentEx w15:paraId="59E8D81D" w15:done="0"/>
  <w15:commentEx w15:paraId="38E5AC71" w15:done="0"/>
  <w15:commentEx w15:paraId="1FAB649A" w15:done="0"/>
  <w15:commentEx w15:paraId="2FC98205" w15:done="0"/>
  <w15:commentEx w15:paraId="0D190750" w15:done="0"/>
  <w15:commentEx w15:paraId="6B014092" w15:done="0"/>
  <w15:commentEx w15:paraId="0AD1E25D" w15:done="0"/>
  <w15:commentEx w15:paraId="0660E7F1" w15:done="0"/>
  <w15:commentEx w15:paraId="62BE36E7" w15:done="0"/>
  <w15:commentEx w15:paraId="14F16DD6" w15:done="0"/>
  <w15:commentEx w15:paraId="11B6C047"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华文楷体">
    <w:panose1 w:val="02010600040101010101"/>
    <w:charset w:val="86"/>
    <w:family w:val="auto"/>
    <w:pitch w:val="default"/>
    <w:sig w:usb0="80000287" w:usb1="280F3C52" w:usb2="00000016" w:usb3="00000000" w:csb0="0004001F" w:csb1="00000000"/>
  </w:font>
  <w:font w:name="Segoe UI">
    <w:altName w:val="苹方-简"/>
    <w:panose1 w:val="020B0502040204020203"/>
    <w:charset w:val="00"/>
    <w:family w:val="swiss"/>
    <w:pitch w:val="default"/>
    <w:sig w:usb0="00000000" w:usb1="00000000"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6">
    <w:p>
      <w:pPr>
        <w:spacing w:before="0" w:after="0" w:line="276" w:lineRule="auto"/>
      </w:pPr>
      <w:r>
        <w:separator/>
      </w:r>
    </w:p>
  </w:footnote>
  <w:footnote w:type="continuationSeparator" w:id="47">
    <w:p>
      <w:pPr>
        <w:spacing w:before="0" w:after="0" w:line="276" w:lineRule="auto"/>
      </w:pPr>
      <w:r>
        <w:continuationSeparator/>
      </w:r>
    </w:p>
  </w:footnote>
  <w:footnote w:id="0">
    <w:p w14:paraId="7D5E3263">
      <w:pPr>
        <w:pStyle w:val="29"/>
      </w:pPr>
      <w:r>
        <w:rPr>
          <w:rStyle w:val="139"/>
        </w:rPr>
        <w:footnoteRef/>
      </w:r>
      <w:r>
        <w:fldChar w:fldCharType="begin"/>
      </w:r>
      <w:r>
        <w:instrText xml:space="preserve"> HYPERLINK "https://www.gov.cn/zhengce/zhengceku/202407/content_6964136.htm" </w:instrText>
      </w:r>
      <w:r>
        <w:fldChar w:fldCharType="separate"/>
      </w:r>
      <w:r>
        <w:rPr>
          <w:rStyle w:val="137"/>
        </w:rPr>
        <w:t>https://www.gov.cn/zhengce/zhengceku/202407/content_6964136.htm</w:t>
      </w:r>
      <w:r>
        <w:rPr>
          <w:rStyle w:val="137"/>
        </w:rPr>
        <w:fldChar w:fldCharType="end"/>
      </w:r>
    </w:p>
  </w:footnote>
  <w:footnote w:id="1">
    <w:p w14:paraId="62B897DF">
      <w:pPr>
        <w:pStyle w:val="29"/>
      </w:pPr>
      <w:r>
        <w:rPr>
          <w:rStyle w:val="139"/>
        </w:rPr>
        <w:footnoteRef/>
      </w:r>
      <w:r>
        <w:fldChar w:fldCharType="begin"/>
      </w:r>
      <w:r>
        <w:instrText xml:space="preserve"> HYPERLINK "https://www.gov.cn/zhengce/zhengceku/202406/P020240629286266591159.pdf" </w:instrText>
      </w:r>
      <w:r>
        <w:fldChar w:fldCharType="separate"/>
      </w:r>
      <w:r>
        <w:rPr>
          <w:rStyle w:val="137"/>
        </w:rPr>
        <w:t>https://www.gov.cn/zhengce/zhengceku/202406/P020240629286266591159.pdf</w:t>
      </w:r>
      <w:r>
        <w:rPr>
          <w:rStyle w:val="137"/>
        </w:rPr>
        <w:fldChar w:fldCharType="end"/>
      </w:r>
    </w:p>
  </w:footnote>
  <w:footnote w:id="2">
    <w:p w14:paraId="5433C9D8">
      <w:pPr>
        <w:pStyle w:val="29"/>
      </w:pPr>
      <w:r>
        <w:rPr>
          <w:rStyle w:val="139"/>
        </w:rPr>
        <w:footnoteRef/>
      </w:r>
      <w:r>
        <w:fldChar w:fldCharType="begin"/>
      </w:r>
      <w:r>
        <w:instrText xml:space="preserve"> HYPERLINK "https://www.beijing.gov.cn/zhengce/zhengcefagui/202503/t20250303_4023993.html" </w:instrText>
      </w:r>
      <w:r>
        <w:fldChar w:fldCharType="separate"/>
      </w:r>
      <w:r>
        <w:rPr>
          <w:rStyle w:val="137"/>
        </w:rPr>
        <w:t>https://www.beijing.gov.cn/zhengce/zhengcefagui/202503/t20250303_4023993.html</w:t>
      </w:r>
      <w:r>
        <w:rPr>
          <w:rStyle w:val="137"/>
        </w:rPr>
        <w:fldChar w:fldCharType="end"/>
      </w:r>
    </w:p>
  </w:footnote>
  <w:footnote w:id="3">
    <w:p w14:paraId="1B52FC9B">
      <w:pPr>
        <w:pStyle w:val="29"/>
      </w:pPr>
      <w:r>
        <w:rPr>
          <w:rStyle w:val="139"/>
        </w:rPr>
        <w:footnoteRef/>
      </w:r>
      <w:r>
        <w:fldChar w:fldCharType="begin"/>
      </w:r>
      <w:r>
        <w:instrText xml:space="preserve"> HYPERLINK "http://www.scio.gov.cn/zdgz/jj/202501/t20250106_880144.html" </w:instrText>
      </w:r>
      <w:r>
        <w:fldChar w:fldCharType="separate"/>
      </w:r>
      <w:r>
        <w:rPr>
          <w:rStyle w:val="137"/>
        </w:rPr>
        <w:t>http://www.scio.gov.cn/zdgz/jj/202501/t20250106_880144.html</w:t>
      </w:r>
      <w:r>
        <w:rPr>
          <w:rStyle w:val="137"/>
        </w:rPr>
        <w:fldChar w:fldCharType="end"/>
      </w:r>
    </w:p>
  </w:footnote>
  <w:footnote w:id="4">
    <w:p w14:paraId="59B19163">
      <w:pPr>
        <w:pStyle w:val="29"/>
      </w:pPr>
      <w:r>
        <w:rPr>
          <w:rStyle w:val="139"/>
        </w:rPr>
        <w:footnoteRef/>
      </w:r>
      <w:r>
        <w:fldChar w:fldCharType="begin"/>
      </w:r>
      <w:r>
        <w:instrText xml:space="preserve"> HYPERLINK "https://www.ccdi.gov.cn/toutiaon/202503/t20250312_410600_m.html" </w:instrText>
      </w:r>
      <w:r>
        <w:fldChar w:fldCharType="separate"/>
      </w:r>
      <w:r>
        <w:rPr>
          <w:rStyle w:val="137"/>
        </w:rPr>
        <w:t>https://www.ccdi.gov.cn/toutiaon/202503/t20250312_410600_m.html</w:t>
      </w:r>
      <w:r>
        <w:rPr>
          <w:rStyle w:val="137"/>
        </w:rPr>
        <w:fldChar w:fldCharType="end"/>
      </w:r>
    </w:p>
  </w:footnote>
  <w:footnote w:id="5">
    <w:p w14:paraId="0C235CF5">
      <w:pPr>
        <w:pStyle w:val="29"/>
      </w:pPr>
      <w:r>
        <w:rPr>
          <w:rStyle w:val="139"/>
        </w:rPr>
        <w:footnoteRef/>
      </w:r>
      <w:r>
        <w:fldChar w:fldCharType="begin"/>
      </w:r>
      <w:r>
        <w:instrText xml:space="preserve"> HYPERLINK "https://policy.mofcom.gov.cn/claw/clawContent.shtml?id=103179" </w:instrText>
      </w:r>
      <w:r>
        <w:fldChar w:fldCharType="separate"/>
      </w:r>
      <w:r>
        <w:rPr>
          <w:rStyle w:val="137"/>
        </w:rPr>
        <w:t>https://policy.mofcom.gov.cn/claw/clawContent.shtml?id=103179</w:t>
      </w:r>
      <w:r>
        <w:rPr>
          <w:rStyle w:val="137"/>
        </w:rPr>
        <w:fldChar w:fldCharType="end"/>
      </w:r>
    </w:p>
  </w:footnote>
  <w:footnote w:id="6">
    <w:p w14:paraId="43B1DC40">
      <w:pPr>
        <w:pStyle w:val="29"/>
      </w:pPr>
      <w:r>
        <w:rPr>
          <w:rStyle w:val="139"/>
        </w:rPr>
        <w:footnoteRef/>
      </w:r>
      <w:r>
        <w:fldChar w:fldCharType="begin"/>
      </w:r>
      <w:r>
        <w:instrText xml:space="preserve"> HYPERLINK "https://www.nhsa.gov.cn/module/download/downfile.jsp?classid=0&amp;filename=59dae7db0a074861bcdaaeee01b0a16b.pdf" </w:instrText>
      </w:r>
      <w:r>
        <w:fldChar w:fldCharType="separate"/>
      </w:r>
      <w:r>
        <w:rPr>
          <w:rStyle w:val="137"/>
        </w:rPr>
        <w:t>https://www.nhsa.gov.cn/module/download/downfile.jsp?classid=0&amp;filename=59dae7db0a074861bcdaaeee01b0a16b.pdf</w:t>
      </w:r>
      <w:r>
        <w:rPr>
          <w:rStyle w:val="137"/>
        </w:rPr>
        <w:fldChar w:fldCharType="end"/>
      </w:r>
    </w:p>
  </w:footnote>
  <w:footnote w:id="7">
    <w:p w14:paraId="195B5466">
      <w:pPr>
        <w:pStyle w:val="29"/>
      </w:pPr>
      <w:r>
        <w:rPr>
          <w:rStyle w:val="139"/>
        </w:rPr>
        <w:footnoteRef/>
      </w:r>
      <w:r>
        <w:fldChar w:fldCharType="begin"/>
      </w:r>
      <w:r>
        <w:instrText xml:space="preserve"> HYPERLINK "https://www.nhsa.gov.cn/art/2025/7/15/art_14_17274.html" </w:instrText>
      </w:r>
      <w:r>
        <w:fldChar w:fldCharType="separate"/>
      </w:r>
      <w:r>
        <w:rPr>
          <w:rStyle w:val="137"/>
        </w:rPr>
        <w:t>https://www.nhsa.gov.cn/art/2025/7/15/art_14_17274.html</w:t>
      </w:r>
      <w:r>
        <w:rPr>
          <w:rStyle w:val="137"/>
        </w:rPr>
        <w:fldChar w:fldCharType="end"/>
      </w:r>
    </w:p>
  </w:footnote>
  <w:footnote w:id="8">
    <w:p w14:paraId="757BA2CC">
      <w:pPr>
        <w:pStyle w:val="29"/>
      </w:pPr>
      <w:r>
        <w:rPr>
          <w:rStyle w:val="139"/>
        </w:rPr>
        <w:footnoteRef/>
      </w:r>
      <w:r>
        <w:fldChar w:fldCharType="begin"/>
      </w:r>
      <w:r>
        <w:instrText xml:space="preserve"> HYPERLINK "https://libywn.ucas.ac.cn/https/1VUJ8wgMVNOYgI8NKxQxgVUg3IM3ruZvtlDuy3k17/article/10.1007/s40273-024-01435-2" </w:instrText>
      </w:r>
      <w:r>
        <w:fldChar w:fldCharType="separate"/>
      </w:r>
      <w:r>
        <w:rPr>
          <w:rStyle w:val="137"/>
        </w:rPr>
        <w:t>https://libywn.ucas.ac.cn/https/1VUJ8wgMVNOYgI8NKxQxgVUg3IM3ruZvtlDuy3k17/article/10.1007/s40273-024-01435-2</w:t>
      </w:r>
      <w:r>
        <w:rPr>
          <w:rStyle w:val="137"/>
        </w:rPr>
        <w:fldChar w:fldCharType="end"/>
      </w:r>
    </w:p>
  </w:footnote>
  <w:footnote w:id="9">
    <w:p w14:paraId="3F47EA29">
      <w:pPr>
        <w:pStyle w:val="29"/>
        <w:rPr>
          <w:color w:val="0000FF" w:themeColor="hyperlink"/>
          <w:u w:val="single"/>
          <w14:textFill>
            <w14:solidFill>
              <w14:schemeClr w14:val="hlink"/>
            </w14:solidFill>
          </w14:textFill>
        </w:rPr>
      </w:pPr>
      <w:r>
        <w:rPr>
          <w:rStyle w:val="139"/>
        </w:rPr>
        <w:footnoteRef/>
      </w:r>
      <w:r>
        <w:rPr>
          <w:rStyle w:val="137"/>
        </w:rPr>
        <w:t>DOI10.1016/j.jval.2021.06.006</w:t>
      </w:r>
    </w:p>
  </w:footnote>
  <w:footnote w:id="10">
    <w:p w14:paraId="0A76C0A5">
      <w:pPr>
        <w:pStyle w:val="29"/>
      </w:pPr>
      <w:r>
        <w:rPr>
          <w:rStyle w:val="139"/>
        </w:rPr>
        <w:footnoteRef/>
      </w:r>
      <w:r>
        <w:fldChar w:fldCharType="begin"/>
      </w:r>
      <w:r>
        <w:instrText xml:space="preserve"> HYPERLINK "https://libywn.ucas.ac.cn/https/SKPXZakT1n8cFoq2fN1rkI2JhEgknRNfxTOO4VJkmN1/doi/epdf/10.1186/s40545-023-00669-3?needAccess=true" </w:instrText>
      </w:r>
      <w:r>
        <w:fldChar w:fldCharType="separate"/>
      </w:r>
      <w:r>
        <w:rPr>
          <w:rStyle w:val="137"/>
        </w:rPr>
        <w:t>https://libywn.ucas.ac.cn/https/SKPXZakT1n8cFoq2fN1rkI2JhEgknRNfxTOO4VJkmN1/doi/epdf/10.1186/s40545-023-00669-3?needAccess=true</w:t>
      </w:r>
      <w:r>
        <w:rPr>
          <w:rStyle w:val="137"/>
        </w:rPr>
        <w:fldChar w:fldCharType="end"/>
      </w:r>
    </w:p>
  </w:footnote>
  <w:footnote w:id="11">
    <w:p w14:paraId="5FC19C07">
      <w:pPr>
        <w:pStyle w:val="29"/>
      </w:pPr>
      <w:r>
        <w:rPr>
          <w:rStyle w:val="139"/>
        </w:rPr>
        <w:footnoteRef/>
      </w:r>
      <w:r>
        <w:fldChar w:fldCharType="begin"/>
      </w:r>
      <w:r>
        <w:instrText xml:space="preserve"> HYPERLINK "https://libywn.ucas.ac.cn/https/1m4x6vK4EblqIwDqQnQ0hV6Lyf1vahvB0g7WBFUtl65xb/articles/PMC12170698/" </w:instrText>
      </w:r>
      <w:r>
        <w:fldChar w:fldCharType="separate"/>
      </w:r>
      <w:r>
        <w:rPr>
          <w:rStyle w:val="137"/>
        </w:rPr>
        <w:t>https://libywn.ucas.ac.cn/https/1m4x6vK4EblqIwDqQnQ0hV6Lyf1vahvB0g7WBFUtl65xb/articles/PMC12170698/</w:t>
      </w:r>
      <w:r>
        <w:rPr>
          <w:rStyle w:val="137"/>
        </w:rPr>
        <w:fldChar w:fldCharType="end"/>
      </w:r>
    </w:p>
  </w:footnote>
  <w:footnote w:id="12">
    <w:p w14:paraId="785B3ED2">
      <w:pPr>
        <w:pStyle w:val="169"/>
        <w:shd w:val="clear" w:color="auto" w:fill="FFFFFF"/>
        <w:spacing w:before="0" w:beforeAutospacing="0" w:after="0" w:afterAutospacing="0" w:line="360" w:lineRule="auto"/>
        <w:rPr>
          <w:rFonts w:cs="Segoe UI"/>
          <w:color w:val="0F1115"/>
        </w:rPr>
      </w:pPr>
      <w:r>
        <w:rPr>
          <w:rStyle w:val="139"/>
        </w:rPr>
        <w:footnoteRef/>
      </w:r>
      <w:r>
        <w:fldChar w:fldCharType="begin"/>
      </w:r>
      <w:r>
        <w:instrText xml:space="preserve"> HYPERLINK "https://doi.org/10.1377/hlthaff.2023.00527" \t "_blank" </w:instrText>
      </w:r>
      <w:r>
        <w:fldChar w:fldCharType="separate"/>
      </w:r>
      <w:r>
        <w:rPr>
          <w:rStyle w:val="137"/>
          <w:rFonts w:asciiTheme="minorHAnsi" w:hAnsiTheme="minorHAnsi" w:cstheme="minorBidi"/>
          <w:kern w:val="2"/>
          <w:sz w:val="18"/>
          <w:szCs w:val="18"/>
          <w14:ligatures w14:val="standardContextual"/>
        </w:rPr>
        <w:t>https://doi.org/10.1377/hlthaff.2023.00527</w:t>
      </w:r>
      <w:r>
        <w:rPr>
          <w:rStyle w:val="137"/>
          <w:rFonts w:asciiTheme="minorHAnsi" w:hAnsiTheme="minorHAnsi" w:cstheme="minorBidi"/>
          <w:kern w:val="2"/>
          <w:sz w:val="18"/>
          <w:szCs w:val="18"/>
          <w14:ligatures w14:val="standardContextual"/>
        </w:rPr>
        <w:fldChar w:fldCharType="end"/>
      </w:r>
    </w:p>
  </w:footnote>
  <w:footnote w:id="13">
    <w:p w14:paraId="10054BF8">
      <w:pPr>
        <w:pStyle w:val="29"/>
      </w:pPr>
      <w:r>
        <w:rPr>
          <w:rStyle w:val="139"/>
        </w:rPr>
        <w:footnoteRef/>
      </w:r>
      <w:r>
        <w:fldChar w:fldCharType="begin"/>
      </w:r>
      <w:r>
        <w:instrText xml:space="preserve"> HYPERLINK "https://nw.eastday.com/bjzx/20250821/97ecb38e1d35415bb478cebadbd8063e.html" </w:instrText>
      </w:r>
      <w:r>
        <w:fldChar w:fldCharType="separate"/>
      </w:r>
      <w:r>
        <w:rPr>
          <w:rStyle w:val="137"/>
        </w:rPr>
        <w:t>https://nw.eastday.com/bjzx/20250821/97ecb38e1d35415bb478cebadbd8063e.html</w:t>
      </w:r>
      <w:r>
        <w:rPr>
          <w:rStyle w:val="137"/>
        </w:rPr>
        <w:fldChar w:fldCharType="end"/>
      </w:r>
    </w:p>
  </w:footnote>
  <w:footnote w:id="14">
    <w:p w14:paraId="206CDF28">
      <w:pPr>
        <w:pStyle w:val="29"/>
      </w:pPr>
      <w:r>
        <w:rPr>
          <w:rStyle w:val="139"/>
        </w:rPr>
        <w:footnoteRef/>
      </w:r>
      <w:r>
        <w:fldChar w:fldCharType="begin"/>
      </w:r>
      <w:r>
        <w:instrText xml:space="preserve"> HYPERLINK "https://ybj.sh.gov.cn/ybdt/20250106/92c99e84cdbc4687952c74150ef18976.html" </w:instrText>
      </w:r>
      <w:r>
        <w:fldChar w:fldCharType="separate"/>
      </w:r>
      <w:r>
        <w:rPr>
          <w:rStyle w:val="137"/>
        </w:rPr>
        <w:t>https://ybj.sh.gov.cn/ybdt/20250106/92c99e84cdbc4687952c74150ef18976.html</w:t>
      </w:r>
      <w:r>
        <w:rPr>
          <w:rStyle w:val="137"/>
        </w:rPr>
        <w:fldChar w:fldCharType="end"/>
      </w:r>
    </w:p>
  </w:footnote>
  <w:footnote w:id="15">
    <w:p w14:paraId="38486886">
      <w:pPr>
        <w:pStyle w:val="29"/>
      </w:pPr>
      <w:r>
        <w:rPr>
          <w:rStyle w:val="139"/>
        </w:rPr>
        <w:footnoteRef/>
      </w:r>
      <w:r>
        <w:fldChar w:fldCharType="begin"/>
      </w:r>
      <w:r>
        <w:instrText xml:space="preserve"> HYPERLINK "https://www.zj.gov.cn/zjservice/item/detail/lawtext.do?outLawId=38e51cac-b75b-44c1-9a09-338289c4195d" </w:instrText>
      </w:r>
      <w:r>
        <w:fldChar w:fldCharType="separate"/>
      </w:r>
      <w:r>
        <w:rPr>
          <w:rStyle w:val="137"/>
        </w:rPr>
        <w:t>https://www.zj.gov.cn/zjservice/item/detail/lawtext.do?outLawId=38e51cac-b75b-44c1-9a09-338289c4195d</w:t>
      </w:r>
      <w:r>
        <w:rPr>
          <w:rStyle w:val="137"/>
        </w:rPr>
        <w:fldChar w:fldCharType="end"/>
      </w:r>
    </w:p>
  </w:footnote>
  <w:footnote w:id="16">
    <w:p w14:paraId="79B81B54">
      <w:pPr>
        <w:pStyle w:val="29"/>
      </w:pPr>
      <w:r>
        <w:rPr>
          <w:rStyle w:val="139"/>
        </w:rPr>
        <w:footnoteRef/>
      </w:r>
      <w:r>
        <w:fldChar w:fldCharType="begin"/>
      </w:r>
      <w:r>
        <w:instrText xml:space="preserve"> HYPERLINK "https://ybj.beijing.gov.cn/tzgg2022/202412/t20241217_3967664.html" </w:instrText>
      </w:r>
      <w:r>
        <w:fldChar w:fldCharType="separate"/>
      </w:r>
      <w:r>
        <w:rPr>
          <w:rStyle w:val="137"/>
        </w:rPr>
        <w:t>https://ybj.beijing.gov.cn/tzgg2022/202412/t20241217_3967664.html</w:t>
      </w:r>
      <w:r>
        <w:rPr>
          <w:rStyle w:val="137"/>
        </w:rPr>
        <w:fldChar w:fldCharType="end"/>
      </w:r>
    </w:p>
  </w:footnote>
  <w:footnote w:id="17">
    <w:p w14:paraId="2E4AD1F5">
      <w:pPr>
        <w:pStyle w:val="29"/>
      </w:pPr>
      <w:r>
        <w:rPr>
          <w:rStyle w:val="139"/>
        </w:rPr>
        <w:footnoteRef/>
      </w:r>
      <w:r>
        <w:fldChar w:fldCharType="begin"/>
      </w:r>
      <w:r>
        <w:instrText xml:space="preserve"> HYPERLINK "https://hsa.sz.gov.cn/szsylbzjwzgkml/szsylbzjwzgkml/qt/gzdt/content/post_12256645.html" </w:instrText>
      </w:r>
      <w:r>
        <w:fldChar w:fldCharType="separate"/>
      </w:r>
      <w:r>
        <w:rPr>
          <w:rStyle w:val="137"/>
        </w:rPr>
        <w:t>https://hsa.sz.gov.cn/szsylbzjwzgkml/szsylbzjwzgkml/qt/gzdt/content/post_12256645.html</w:t>
      </w:r>
      <w:r>
        <w:rPr>
          <w:rStyle w:val="137"/>
        </w:rPr>
        <w:fldChar w:fldCharType="end"/>
      </w:r>
    </w:p>
  </w:footnote>
  <w:footnote w:id="18">
    <w:p w14:paraId="09F2CDEE">
      <w:pPr>
        <w:pStyle w:val="29"/>
      </w:pPr>
      <w:r>
        <w:rPr>
          <w:rStyle w:val="139"/>
        </w:rPr>
        <w:footnoteRef/>
      </w:r>
      <w:r>
        <w:fldChar w:fldCharType="begin"/>
      </w:r>
      <w:r>
        <w:instrText xml:space="preserve"> HYPERLINK "http://www.cbimc.cn/content/2025-11/10/content_558472.html" </w:instrText>
      </w:r>
      <w:r>
        <w:fldChar w:fldCharType="separate"/>
      </w:r>
      <w:r>
        <w:rPr>
          <w:rStyle w:val="137"/>
        </w:rPr>
        <w:t>http://www.cbimc.cn/content/2025-11/10/content_558472.html</w:t>
      </w:r>
      <w:r>
        <w:rPr>
          <w:rStyle w:val="137"/>
        </w:rPr>
        <w:fldChar w:fldCharType="end"/>
      </w:r>
    </w:p>
  </w:footnote>
  <w:footnote w:id="19">
    <w:p w14:paraId="01B9B07F">
      <w:pPr>
        <w:pStyle w:val="29"/>
      </w:pPr>
      <w:r>
        <w:rPr>
          <w:rStyle w:val="139"/>
        </w:rPr>
        <w:footnoteRef/>
      </w:r>
      <w:r>
        <w:t>[1]毛凯峰,虞杰,王琳宁,等.医保视角下新药创新性认定与价格管理政策的国际对比分析[J].中国药房,2024,35(15):1801-1806.</w:t>
      </w:r>
    </w:p>
  </w:footnote>
  <w:footnote w:id="20">
    <w:p w14:paraId="19AFA094">
      <w:pPr>
        <w:pStyle w:val="29"/>
      </w:pPr>
      <w:r>
        <w:rPr>
          <w:rStyle w:val="139"/>
        </w:rPr>
        <w:footnoteRef/>
      </w:r>
      <w:r>
        <w:t>[1]于飞,卢静,高辰旭,等.中外创新药物医保支付的比较研究[J].医药导报,2024,43(03):470-476.</w:t>
      </w:r>
    </w:p>
  </w:footnote>
  <w:footnote w:id="21">
    <w:p w14:paraId="1D2398AF">
      <w:pPr>
        <w:pStyle w:val="29"/>
      </w:pPr>
      <w:r>
        <w:rPr>
          <w:rStyle w:val="139"/>
        </w:rPr>
        <w:footnoteRef/>
      </w:r>
      <w:r>
        <w:t>[1]严志刚,孙振宇,钱东福.我国商业健康保险研究现状与演进趋势分析[J].南京医科大学学报(社会科学版),2021,21(06):547-552.</w:t>
      </w:r>
    </w:p>
  </w:footnote>
  <w:footnote w:id="22">
    <w:p w14:paraId="6225AAA7">
      <w:pPr>
        <w:pStyle w:val="29"/>
      </w:pPr>
      <w:r>
        <w:rPr>
          <w:rStyle w:val="139"/>
        </w:rPr>
        <w:footnoteRef/>
      </w:r>
      <w:r>
        <w:fldChar w:fldCharType="begin"/>
      </w:r>
      <w:r>
        <w:instrText xml:space="preserve"> HYPERLINK "https://cnadmin.rdpac.org/upload/upload_file/1739414721.pdf" </w:instrText>
      </w:r>
      <w:r>
        <w:fldChar w:fldCharType="separate"/>
      </w:r>
      <w:r>
        <w:rPr>
          <w:rStyle w:val="137"/>
        </w:rPr>
        <w:t>https://cnadmin.rdpac.org/upload/upload_file/1739414721.pdf</w:t>
      </w:r>
      <w:r>
        <w:rPr>
          <w:rStyle w:val="137"/>
        </w:rPr>
        <w:fldChar w:fldCharType="end"/>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0470621D"/>
    <w:multiLevelType w:val="multilevel"/>
    <w:tmpl w:val="0470621D"/>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
    <w:nsid w:val="23F23E18"/>
    <w:multiLevelType w:val="multilevel"/>
    <w:tmpl w:val="23F23E18"/>
    <w:lvl w:ilvl="0" w:tentative="0">
      <w:start w:val="1"/>
      <w:numFmt w:val="lowerRoman"/>
      <w:lvlText w:val="%1."/>
      <w:lvlJc w:val="right"/>
      <w:pPr>
        <w:ind w:left="440" w:hanging="440"/>
      </w:pPr>
      <w:rPr>
        <w:b/>
        <w:bCs/>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8">
    <w:nsid w:val="41410D34"/>
    <w:multiLevelType w:val="multilevel"/>
    <w:tmpl w:val="41410D34"/>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8"/>
  </w:num>
  <w:num w:numId="8">
    <w:abstractNumId w:val="7"/>
  </w:num>
  <w:num w:numId="9">
    <w:abstractNumId w:val="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633742157">
    <w15:presenceInfo w15:providerId="WPS Office" w15:userId="6993960160"/>
  </w15:person>
  <w15:person w15:author="伊 朱">
    <w15:presenceInfo w15:providerId="Windows Live" w15:userId="249c426ab9716d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46"/>
    <w:footnote w:id="47"/>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DFB84AC"/>
    <w:rsid w:val="7FFF34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3"/>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4"/>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5"/>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5"/>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6"/>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7"/>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8"/>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9"/>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0"/>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2"/>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annotation text"/>
    <w:basedOn w:val="1"/>
    <w:semiHidden/>
    <w:unhideWhenUsed/>
    <w:uiPriority w:val="99"/>
    <w:pPr>
      <w:jc w:val="left"/>
    </w:pPr>
  </w:style>
  <w:style w:type="paragraph" w:styleId="18">
    <w:name w:val="Body Text 3"/>
    <w:basedOn w:val="1"/>
    <w:link w:val="151"/>
    <w:unhideWhenUsed/>
    <w:uiPriority w:val="99"/>
    <w:pPr>
      <w:spacing w:after="120"/>
    </w:pPr>
    <w:rPr>
      <w:sz w:val="16"/>
      <w:szCs w:val="16"/>
    </w:rPr>
  </w:style>
  <w:style w:type="paragraph" w:styleId="19">
    <w:name w:val="List Bullet 3"/>
    <w:basedOn w:val="1"/>
    <w:unhideWhenUsed/>
    <w:uiPriority w:val="99"/>
    <w:pPr>
      <w:numPr>
        <w:ilvl w:val="0"/>
        <w:numId w:val="4"/>
      </w:numPr>
      <w:contextualSpacing/>
    </w:pPr>
  </w:style>
  <w:style w:type="paragraph" w:styleId="20">
    <w:name w:val="Body Text"/>
    <w:basedOn w:val="1"/>
    <w:link w:val="149"/>
    <w:unhideWhenUsed/>
    <w:uiPriority w:val="99"/>
    <w:pPr>
      <w:spacing w:after="120"/>
    </w:pPr>
  </w:style>
  <w:style w:type="paragraph" w:styleId="21">
    <w:name w:val="List Number 3"/>
    <w:basedOn w:val="1"/>
    <w:unhideWhenUsed/>
    <w:uiPriority w:val="99"/>
    <w:pPr>
      <w:numPr>
        <w:ilvl w:val="0"/>
        <w:numId w:val="5"/>
      </w:numPr>
      <w:contextualSpacing/>
    </w:pPr>
  </w:style>
  <w:style w:type="paragraph" w:styleId="22">
    <w:name w:val="List 2"/>
    <w:basedOn w:val="1"/>
    <w:unhideWhenUsed/>
    <w:uiPriority w:val="99"/>
    <w:pPr>
      <w:ind w:left="720" w:hanging="360"/>
      <w:contextualSpacing/>
    </w:pPr>
  </w:style>
  <w:style w:type="paragraph" w:styleId="23">
    <w:name w:val="List Continue"/>
    <w:basedOn w:val="1"/>
    <w:unhideWhenUsed/>
    <w:uiPriority w:val="99"/>
    <w:pPr>
      <w:spacing w:after="120"/>
      <w:ind w:left="360"/>
      <w:contextualSpacing/>
    </w:pPr>
  </w:style>
  <w:style w:type="paragraph" w:styleId="24">
    <w:name w:val="List Bullet 2"/>
    <w:basedOn w:val="1"/>
    <w:unhideWhenUsed/>
    <w:uiPriority w:val="99"/>
    <w:pPr>
      <w:numPr>
        <w:ilvl w:val="0"/>
        <w:numId w:val="6"/>
      </w:numPr>
      <w:contextualSpacing/>
    </w:pPr>
  </w:style>
  <w:style w:type="paragraph" w:styleId="25">
    <w:name w:val="footer"/>
    <w:basedOn w:val="1"/>
    <w:link w:val="141"/>
    <w:unhideWhenUsed/>
    <w:uiPriority w:val="99"/>
    <w:pPr>
      <w:tabs>
        <w:tab w:val="center" w:pos="4680"/>
        <w:tab w:val="right" w:pos="9360"/>
      </w:tabs>
      <w:spacing w:after="0" w:line="240" w:lineRule="auto"/>
    </w:pPr>
  </w:style>
  <w:style w:type="paragraph" w:styleId="26">
    <w:name w:val="header"/>
    <w:basedOn w:val="1"/>
    <w:link w:val="140"/>
    <w:unhideWhenUsed/>
    <w:uiPriority w:val="99"/>
    <w:pPr>
      <w:tabs>
        <w:tab w:val="center" w:pos="4680"/>
        <w:tab w:val="right" w:pos="9360"/>
      </w:tabs>
      <w:spacing w:after="0" w:line="240" w:lineRule="auto"/>
    </w:pPr>
  </w:style>
  <w:style w:type="paragraph" w:styleId="27">
    <w:name w:val="Subtitle"/>
    <w:basedOn w:val="1"/>
    <w:next w:val="1"/>
    <w:link w:val="14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footnote text"/>
    <w:basedOn w:val="1"/>
    <w:semiHidden/>
    <w:unhideWhenUsed/>
    <w:uiPriority w:val="99"/>
    <w:pPr>
      <w:snapToGrid w:val="0"/>
    </w:pPr>
    <w:rPr>
      <w:sz w:val="18"/>
      <w:szCs w:val="18"/>
    </w:rPr>
  </w:style>
  <w:style w:type="paragraph" w:styleId="30">
    <w:name w:val="Body Text 2"/>
    <w:basedOn w:val="1"/>
    <w:link w:val="150"/>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6"/>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yperlink"/>
    <w:basedOn w:val="134"/>
    <w:unhideWhenUsed/>
    <w:uiPriority w:val="99"/>
    <w:rPr>
      <w:color w:val="0000FF" w:themeColor="hyperlink"/>
      <w:u w:val="single"/>
      <w14:textFill>
        <w14:solidFill>
          <w14:schemeClr w14:val="hlink"/>
        </w14:solidFill>
      </w14:textFill>
    </w:rPr>
  </w:style>
  <w:style w:type="character" w:styleId="138">
    <w:name w:val="annotation reference"/>
    <w:basedOn w:val="134"/>
    <w:semiHidden/>
    <w:unhideWhenUsed/>
    <w:uiPriority w:val="99"/>
    <w:rPr>
      <w:sz w:val="21"/>
      <w:szCs w:val="21"/>
    </w:rPr>
  </w:style>
  <w:style w:type="character" w:styleId="139">
    <w:name w:val="footnote reference"/>
    <w:basedOn w:val="134"/>
    <w:semiHidden/>
    <w:unhideWhenUsed/>
    <w:uiPriority w:val="99"/>
    <w:rPr>
      <w:vertAlign w:val="superscript"/>
    </w:rPr>
  </w:style>
  <w:style w:type="character" w:customStyle="1" w:styleId="140">
    <w:name w:val="Header Char"/>
    <w:basedOn w:val="134"/>
    <w:link w:val="26"/>
    <w:uiPriority w:val="99"/>
  </w:style>
  <w:style w:type="character" w:customStyle="1" w:styleId="141">
    <w:name w:val="Footer Char"/>
    <w:basedOn w:val="134"/>
    <w:link w:val="25"/>
    <w:uiPriority w:val="99"/>
  </w:style>
  <w:style w:type="paragraph" w:styleId="142">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3">
    <w:name w:val="Heading 1 Char"/>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4">
    <w:name w:val="Heading 2 Char"/>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5">
    <w:name w:val="Heading 3 Char"/>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6">
    <w:name w:val="Title Char"/>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7">
    <w:name w:val="Subtitle Char"/>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8">
    <w:name w:val="List Paragraph"/>
    <w:basedOn w:val="1"/>
    <w:qFormat/>
    <w:uiPriority w:val="34"/>
    <w:pPr>
      <w:ind w:left="720"/>
      <w:contextualSpacing/>
    </w:pPr>
  </w:style>
  <w:style w:type="character" w:customStyle="1" w:styleId="149">
    <w:name w:val="Body Text Char"/>
    <w:basedOn w:val="134"/>
    <w:link w:val="20"/>
    <w:uiPriority w:val="99"/>
  </w:style>
  <w:style w:type="character" w:customStyle="1" w:styleId="150">
    <w:name w:val="Body Text 2 Char"/>
    <w:basedOn w:val="134"/>
    <w:link w:val="30"/>
    <w:uiPriority w:val="99"/>
  </w:style>
  <w:style w:type="character" w:customStyle="1" w:styleId="151">
    <w:name w:val="Body Text 3 Char"/>
    <w:basedOn w:val="134"/>
    <w:link w:val="18"/>
    <w:uiPriority w:val="99"/>
    <w:rPr>
      <w:sz w:val="16"/>
      <w:szCs w:val="16"/>
    </w:rPr>
  </w:style>
  <w:style w:type="character" w:customStyle="1" w:styleId="152">
    <w:name w:val="Macro Text Char"/>
    <w:basedOn w:val="134"/>
    <w:link w:val="2"/>
    <w:uiPriority w:val="99"/>
    <w:rPr>
      <w:rFonts w:ascii="Courier" w:hAnsi="Courier"/>
      <w:sz w:val="20"/>
      <w:szCs w:val="20"/>
    </w:rPr>
  </w:style>
  <w:style w:type="paragraph" w:styleId="153">
    <w:name w:val="Quote"/>
    <w:basedOn w:val="1"/>
    <w:next w:val="1"/>
    <w:link w:val="154"/>
    <w:qFormat/>
    <w:uiPriority w:val="29"/>
    <w:rPr>
      <w:i/>
      <w:iCs/>
      <w:color w:val="000000" w:themeColor="text1"/>
      <w14:textFill>
        <w14:solidFill>
          <w14:schemeClr w14:val="tx1"/>
        </w14:solidFill>
      </w14:textFill>
    </w:rPr>
  </w:style>
  <w:style w:type="character" w:customStyle="1" w:styleId="154">
    <w:name w:val="Quote Char"/>
    <w:basedOn w:val="134"/>
    <w:link w:val="153"/>
    <w:uiPriority w:val="29"/>
    <w:rPr>
      <w:i/>
      <w:iCs/>
      <w:color w:val="000000" w:themeColor="text1"/>
      <w14:textFill>
        <w14:solidFill>
          <w14:schemeClr w14:val="tx1"/>
        </w14:solidFill>
      </w14:textFill>
    </w:rPr>
  </w:style>
  <w:style w:type="character" w:customStyle="1" w:styleId="155">
    <w:name w:val="Heading 4 Char"/>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6">
    <w:name w:val="Heading 5 Char"/>
    <w:basedOn w:val="134"/>
    <w:link w:val="7"/>
    <w:semiHidden/>
    <w:uiPriority w:val="9"/>
    <w:rPr>
      <w:rFonts w:asciiTheme="majorHAnsi" w:hAnsiTheme="majorHAnsi" w:eastAsiaTheme="majorEastAsia" w:cstheme="majorBidi"/>
      <w:color w:val="254061" w:themeColor="accent1" w:themeShade="80"/>
    </w:rPr>
  </w:style>
  <w:style w:type="character" w:customStyle="1" w:styleId="157">
    <w:name w:val="Heading 6 Char"/>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8">
    <w:name w:val="Heading 7 Char"/>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9">
    <w:name w:val="Heading 8 Char"/>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0">
    <w:name w:val="Heading 9 Char"/>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1">
    <w:name w:val="Intense Quote"/>
    <w:basedOn w:val="1"/>
    <w:next w:val="1"/>
    <w:link w:val="162"/>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2">
    <w:name w:val="Intense Quote Char"/>
    <w:basedOn w:val="134"/>
    <w:link w:val="161"/>
    <w:uiPriority w:val="30"/>
    <w:rPr>
      <w:b/>
      <w:bCs/>
      <w:i/>
      <w:iCs/>
      <w:color w:val="4F81BD" w:themeColor="accent1"/>
      <w14:textFill>
        <w14:solidFill>
          <w14:schemeClr w14:val="accent1"/>
        </w14:solidFill>
      </w14:textFill>
    </w:rPr>
  </w:style>
  <w:style w:type="character" w:customStyle="1" w:styleId="163">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4">
    <w:name w:val="Intense Emphasis"/>
    <w:basedOn w:val="134"/>
    <w:qFormat/>
    <w:uiPriority w:val="21"/>
    <w:rPr>
      <w:b/>
      <w:bCs/>
      <w:i/>
      <w:iCs/>
      <w:color w:val="4F81BD" w:themeColor="accent1"/>
      <w14:textFill>
        <w14:solidFill>
          <w14:schemeClr w14:val="accent1"/>
        </w14:solidFill>
      </w14:textFill>
    </w:rPr>
  </w:style>
  <w:style w:type="character" w:customStyle="1" w:styleId="165">
    <w:name w:val="Subtle Reference"/>
    <w:basedOn w:val="134"/>
    <w:qFormat/>
    <w:uiPriority w:val="31"/>
    <w:rPr>
      <w:smallCaps/>
      <w:color w:val="C0504D" w:themeColor="accent2"/>
      <w:u w:val="single"/>
      <w14:textFill>
        <w14:solidFill>
          <w14:schemeClr w14:val="accent2"/>
        </w14:solidFill>
      </w14:textFill>
    </w:rPr>
  </w:style>
  <w:style w:type="character" w:customStyle="1" w:styleId="166">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7">
    <w:name w:val="Book Title"/>
    <w:basedOn w:val="134"/>
    <w:qFormat/>
    <w:uiPriority w:val="33"/>
    <w:rPr>
      <w:b/>
      <w:bCs/>
      <w:smallCaps/>
      <w:spacing w:val="5"/>
    </w:rPr>
  </w:style>
  <w:style w:type="paragraph" w:customStyle="1" w:styleId="168">
    <w:name w:val="TOC Heading"/>
    <w:basedOn w:val="3"/>
    <w:next w:val="1"/>
    <w:semiHidden/>
    <w:unhideWhenUsed/>
    <w:qFormat/>
    <w:uiPriority w:val="39"/>
    <w:pPr>
      <w:outlineLvl w:val="9"/>
    </w:pPr>
  </w:style>
  <w:style w:type="paragraph" w:customStyle="1" w:styleId="169">
    <w:name w:val="ds-markdown-paragraph"/>
    <w:basedOn w:val="1"/>
    <w:uiPriority w:val="0"/>
    <w:pPr>
      <w:widowControl/>
      <w:spacing w:before="100" w:beforeAutospacing="1" w:after="100" w:afterAutospacing="1" w:line="240" w:lineRule="auto"/>
    </w:pPr>
    <w:rPr>
      <w:rFonts w:ascii="宋体" w:hAnsi="宋体" w:cs="宋体"/>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0</TotalTime>
  <ScaleCrop>false</ScaleCrop>
  <LinksUpToDate>false</LinksUpToDate>
  <CharactersWithSpaces>0</CharactersWithSpaces>
  <Application>WPS Office_7.5.1.8994_F1E327BC-269C-435d-A152-05C5408002CA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WPS_1633742157</cp:lastModifiedBy>
  <dcterms:modified xsi:type="dcterms:W3CDTF">2025-11-13T11:31:12Z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2052-7.5.1.8994</vt:lpwstr>
  </property>
  <property fmtid="{D5CDD505-2E9C-101B-9397-08002B2CF9AE}" pid="3" name="ICV">
    <vt:lpwstr>22B4E48DD429458F33B5146945C726AF_42</vt:lpwstr>
  </property>
</Properties>
</file>