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研究内容</w:t>
      </w:r>
    </w:p>
    <w:p>
      <w:pPr>
        <w:pStyle w:val="Heading2"/>
      </w:pPr>
      <w:r>
        <w:t>（一）国际经验对标与中国特色商保创新药制度设计研究</w:t>
      </w:r>
    </w:p>
    <w:p>
      <w:r>
        <w:t>本部分通过系统梳理国际主要国家和地区的创新药支付体系，研究商业保险与医保在药品支付中的分工模式及其演化趋势，分析其在风险共担、价格形成、疗效验证和监管协作方面的制度安排，并探讨这些经验对我国构建多层次医疗保障体系的启示。随着全球创新药研发投入的显著增长，各国普遍面临医保基金支出压力上升与患者用药可及性之间的结构性矛盾，商业保险在医药支付体系中承担了越来越重要的角色。</w:t>
      </w:r>
    </w:p>
    <w:p>
      <w:r>
        <w:t>以英国、德国、日本、加拿大及中国台湾地区为代表的国家和地区，均已形成较为成熟的“公共医保为主、商业保险补充”的支付格局。英国国家医疗服务体系（NHS）以税收资金为基础保障，但其国家健康与临床优化研究所（NICE）通过“药物性价比评估机制”决定药品的准入与报销标准。对于部分高值创新药，NICE 与制药企业及商业保险机构签订疗效支付协议（Outcome-based Agreements），以真实世界疗效数据（RWE）为依据调整支付比例，实现药品价格与临床价值挂钩。德国通过《药品市场再组织法案（AMNOG）》建立了创新药上市后附加价值评估体系，由IQWiG和G-BA共同开展评估，医保谈判以附加价值结果为基础，商业保险在早期阶段提供补充支付以保障患者可及性。</w:t>
      </w:r>
    </w:p>
    <w:p>
      <w:r>
        <w:t>日本的全民医保体系以标准化价格机制为核心，但针对罕见病和肿瘤创新药，厚生劳动省允许商业保险以专项健康险形式提供覆盖，并通过药品价格再评估制度对疗效不达标产品进行降价处理。加拿大实行联邦-省双层医保体系，省级公共药品计划主要覆盖基础药物，商业保险承担创新药支付职能；加拿大健康信息署（CADTH）建立了真实世界绩效数据平台，用于再评估药品价格。中国台湾地区自2023年起启动“药品真实世界绩效验证计划”，通过数据共享实现商保与健保协同管理，形成了“先商保—后健保”的过渡机制。</w:t>
      </w:r>
    </w:p>
    <w:p>
      <w:r>
        <w:t>国际经验显示，商业保险在创新药支付体系中发挥了三项关键功能：一是承担医保未覆盖药物的补充支付责任，通过分担高值支出缓解基金压力；二是作为风险再分配机制，通过共担基金与再保险体系平滑赔付波动；三是利用真实世界数据形成支付决策闭环，为药价谈判和再定价提供量化依据。这种“共付—共担—共评”模式，使得创新药的支付更具灵活性和可持续性。</w:t>
      </w:r>
    </w:p>
    <w:p>
      <w:r>
        <w:t>结合我国现实背景，国家医保局在国务院办公厅发布的《深化医药卫生体制改革2024年重点工作任务》中首次明确提出“完善多层次医疗保障体系，发挥商业保险补充作用，探索创新药支付机制改革”，为商保创新药制度建设奠定了政策基础。我国医保体系已实现广覆盖和精细化管理，但创新药价格高、准入周期长、谈判压力大、数据回流不足的问题依然存在。未来应在现有医保谈判和目录准入机制外，建立以商业保险为前置支付工具的创新药分层支付体系，形成“先商保验证、后医保准入”的梯度模式。一方面，商保在药品上市初期承担先行支付和风险分担职能，为创新药提供早期可及通道；另一方面，医保可根据商保阶段积累的真实世界数据，科学评估药品疗效与成本效果，为医保谈判与再定价提供依据。</w:t>
      </w:r>
    </w:p>
    <w:p>
      <w:r>
        <w:t>为此，应当形成以“制度协同、数据联通、风险共担、激励兼容”为特征的中国特色商保创新药机制。具体包括：建立国家层面的商保创新药目录制度，明确准入标准和数据共享规范；建设医保、商保与医疗机构互通的真实世界数据平台；完善基于疗效的价格调整与再谈判机制；构建财政与商保共同出资的风险分担基金，为创新药支付提供保障。这一体系将实现“制度有边界、数据有流通、价格有依据、风险有缓冲”的多层次支付格局，为我国创新药支付体系改革提供可持续的政策路径。</w:t>
      </w:r>
    </w:p>
    <w:p>
      <w:pPr>
        <w:pStyle w:val="Heading2"/>
      </w:pPr>
      <w:r>
        <w:t>（二）政策情景构建与比较分析</w:t>
      </w:r>
    </w:p>
    <w:p>
      <w:r>
        <w:t>为科学评估商保创新药制度在我国医疗体系中的功能定位和政策成效，本研究基于国际实践与我国制度特征，构建了“补充型—并行型—混合型”三种政策情景，分析不同情景在支付效率、风险控制、可及性与创新激励方面的运行逻辑和可行路径。</w:t>
      </w:r>
    </w:p>
    <w:p>
      <w:r>
        <w:t>补充型情景以医保为主导，商保为辅助。在该模式下，商业保险主要承担医保目录外药物和高值创新药的先行报销责任，为医保谈判留出时间窗口。其制度逻辑是以最小改革成本实现快速落地，行政协调难度低、风险可控。支付环节中，商保与医保在信息端对接，通过医保电子凭证或院内系统实现自动识别与结算。此类模式适合医保基金压力较大但信息系统成熟的地区试点。评估指标可包括患者自付比例下降幅度、药品上市至首次支付间隔时间、以及医保目录外药物使用渗透率。其不足在于数据未能形成共享闭环，商保的风险管理与疗效验证职能发挥有限，创新药价格形成机制仍依赖医保谈判。</w:t>
      </w:r>
    </w:p>
    <w:p>
      <w:r>
        <w:t>并行型情景则强调医保与商保的制度分工与市场化竞争。医保延续临床价值导向的谈判机制，商保建立独立的药品评估与定价体系，适用于经济水平较高、创新药产业集聚的地区。制度上应明确“评估—支付—监测”全流程的法律与监管边界，建立药品风险共担协议与疗效支付模型。例如，参照英国NICE的管理准入机制与德国AMNOG的上市后附加价值评估，商保可根据人群适配性与真实世界疗效数据动态调整保费。财政层面，建议设立行业再保险机制分摊尾部风险，数据层面通过可信执行环境实现医院与保险间的最小化数据共享。该模式的评估指标包括商保独立准入药品数量、风险共担合同履约率、赔付波动率以及RWE数据回流周期。其优势在于促进市场竞争与价格发现，劣势在于监管复杂与区域差异扩大。</w:t>
      </w:r>
    </w:p>
    <w:p>
      <w:r>
        <w:t>混合型情景是我国长期制度目标。其核心在于通过国家层面的政策设计，实现医保与商保的动态协同与数据共享。医保提供基础保障与政策锚定，商保承担前置验证与风险共担，形成“医保主锚—商保前置—数据共建—价格联动”的机制。支付环节中，国家医保局应建立统一的清分平台，实现身份识别、费用分账、自动结算和实时数据回流。数据环节以真实世界证据为核心，设定疗效触发阈值，例如疗效达标率或不良事件发生率达到标准即触发再谈判。财政层面，建立创新药风险分担基金，由财政、医保与商保共同出资，形成“共同池”式的风险管理。监管层面，通过医保局、银保监会、药监局和卫健委建立联动机制，确保制度边界清晰、数据安全合规。混合型情景的评估指标可包括医保目录外患者可及性提升幅度、医保与商保支付占比变化、基金运行波动率、创新药准入周期缩短幅度等。此模式兼具制度稳定性与创新激励，可在“十五五”期间形成全国推广条件。</w:t>
      </w:r>
    </w:p>
    <w:p>
      <w:r>
        <w:t>总体而言，补充型情景适合短期试点，并行型情景可在产业基础较好的区域推广，而混合型情景应作为“十五五”时期的总体目标。政策推进路径应遵循“先补充—再并行—终混合”的阶段性逻辑，实现制度演进与市场成熟的同步。</w:t>
      </w:r>
    </w:p>
    <w:p>
      <w:pPr>
        <w:pStyle w:val="Heading2"/>
      </w:pPr>
      <w:r>
        <w:t>（三）政策工具体系与“十五五”行动路径研究</w:t>
      </w:r>
    </w:p>
    <w:p>
      <w:r>
        <w:t>根据国家发改委“十五五”规划前期研究安排（2025 年发布）以及国务院办公厅 2024 年改革重点工作要求，支付体系改革与创新药可及性提升将纳入 2026—2030 年的国家战略行动路线。本研究提出一个多层次、跨部门的政策工具体系，涵盖制度规则、财政税收、技术数据、风险监管和公众保护五大领域，形成系统性改革框架。</w:t>
      </w:r>
    </w:p>
    <w:p>
      <w:r>
        <w:t>在制度方面，应建立由国家医保局牵头、银保监会、药监局、卫健委及财政部参与的跨部门协同机制，明确各部门职责分工与数据接口标准，推动形成统一的商保创新药目录与准入制度。在财政层面，应出台税收减免与财政补贴政策，支持保险公司和制药企业参与创新药真实世界数据平台建设与支付机制改革。根据财政部 2024 年《支持创新药产业高质量发展的若干措施》，可对参与支付体系改革与数据基础设施建设的企业给予研发费用加计扣除及专项补贴支持。</w:t>
      </w:r>
    </w:p>
    <w:p>
      <w:r>
        <w:t>在技术与数据层面，应加快建设全国统一的商保清分平台，实现医保、商保与医院之间的实时清算与数据回流，探索通过区块链与隐私计算技术确保数据安全与合规流转。国家医保局和银保监会在 2024 年已启动多层次保障信息平台互联互通计划，为创新药支付数据标准化提供了基础。风险监管方面，应建立基金支付风险预警系统与赔付审查机制，构建创新药风险分担基金，防范单药高额赔付带来的基金波动。</w:t>
      </w:r>
    </w:p>
    <w:p>
      <w:r>
        <w:t>“十五五”时期的行动路径可分为三个阶段：2025—2026 年为政策试点与制度奠基期，重点在若干省份开展商保创新药支付试点并完成数据平台一期建设；2027—2029 年为推广深化期，建立全国统一的清分标准与目录制度，实现医保与商保数据互通；2030 年后进入制度固化期，推动立法化与标准化建设，形成稳定高效的创新药支付体系。</w:t>
      </w:r>
    </w:p>
    <w:p>
      <w:r>
        <w:t>通过制定明确的阶段目标、责任分工与评估机制，形成“研究成果上报—政策试点验证—评估反馈—制度固化”的闭环，将研究成果纳入“十五五”规划纲要与全国两会政策建议，推动创新药支付体系改革取得实质性进展。</w:t>
      </w:r>
    </w:p>
    <w:p>
      <w:pPr>
        <w:pStyle w:val="Heading2"/>
      </w:pPr>
      <w:r>
        <w:t>（附件）研究问题清单</w:t>
      </w:r>
    </w:p>
    <w:p>
      <w:r>
        <w:t>（此处省略内容，完整版本将包含详细问题分类与参考文献）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