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239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643" w:firstLineChars="200"/>
        <w:jc w:val="left"/>
        <w:textAlignment w:val="auto"/>
        <w:rPr>
          <w:rFonts w:hint="eastAsia" w:ascii="仿宋_GB2312" w:hAnsi="仿宋_GB2312" w:eastAsia="仿宋_GB2312" w:cs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0E0E0E"/>
          <w:kern w:val="0"/>
          <w:sz w:val="32"/>
          <w:szCs w:val="32"/>
          <w:lang w:val="en-US" w:eastAsia="zh-CN" w:bidi="ar"/>
        </w:rPr>
        <w:t>（二）</w:t>
      </w:r>
      <w:bookmarkStart w:id="0" w:name="_GoBack"/>
      <w:r>
        <w:rPr>
          <w:rFonts w:hint="eastAsia" w:ascii="仿宋_GB2312" w:hAnsi="仿宋_GB2312" w:eastAsia="仿宋_GB2312" w:cs="仿宋_GB2312"/>
          <w:b/>
          <w:bCs/>
          <w:color w:val="0E0E0E"/>
          <w:kern w:val="0"/>
          <w:sz w:val="32"/>
          <w:szCs w:val="32"/>
          <w:lang w:val="en-US" w:eastAsia="zh-CN" w:bidi="ar"/>
        </w:rPr>
        <w:t>当前创新药评价存在问题及原因研究</w:t>
      </w:r>
      <w:bookmarkEnd w:id="0"/>
    </w:p>
    <w:p w14:paraId="4228ECD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一、我国创新药医保管理政策概述</w:t>
      </w:r>
    </w:p>
    <w:p w14:paraId="64C8543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</w:t>
      </w:r>
      <w:r>
        <w:rPr>
          <w:rStyle w:val="7"/>
          <w:rFonts w:hint="eastAsia" w:ascii="仿宋_GB2312" w:hAnsi="仿宋_GB2312" w:eastAsia="仿宋_GB2312" w:cs="仿宋_GB2312"/>
          <w:sz w:val="32"/>
          <w:szCs w:val="32"/>
        </w:rPr>
        <w:t xml:space="preserve"> </w:t>
      </w:r>
      <w:r>
        <w:rPr>
          <w:rStyle w:val="11"/>
          <w:rFonts w:hint="eastAsia" w:ascii="仿宋_GB2312" w:hAnsi="仿宋_GB2312" w:eastAsia="仿宋_GB2312" w:cs="仿宋_GB2312"/>
          <w:b/>
          <w:bCs/>
          <w:sz w:val="32"/>
          <w:szCs w:val="32"/>
        </w:rPr>
        <w:t>政策梳理</w:t>
      </w:r>
      <w:r>
        <w:rPr>
          <w:rStyle w:val="11"/>
          <w:rFonts w:hint="eastAsia" w:ascii="仿宋_GB2312" w:hAnsi="仿宋_GB2312" w:eastAsia="仿宋_GB2312" w:cs="仿宋_GB2312"/>
          <w:sz w:val="32"/>
          <w:szCs w:val="32"/>
        </w:rPr>
        <w:t>：</w:t>
      </w:r>
    </w:p>
    <w:p w14:paraId="2F601AC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详细梳理我国目前创新药医保管理的主要政策框架，包括医保准入政策、医保支付标准、医保谈判机制等。</w:t>
      </w:r>
    </w:p>
    <w:p w14:paraId="38A5F4E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重点分析国家医保局在创新药管理中的角色和职能，如何在药品准入、定价、支付等环节发挥作用。</w:t>
      </w:r>
    </w:p>
    <w:p w14:paraId="35DC047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sz w:val="32"/>
          <w:szCs w:val="32"/>
        </w:rPr>
        <w:t>2.</w:t>
      </w:r>
      <w:r>
        <w:rPr>
          <w:rStyle w:val="7"/>
          <w:rFonts w:hint="eastAsia"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创新药准入机制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 w14:paraId="2D97190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研究创新药在进入医保系统时的评价标准、准入流程及其所面临的政策障碍。</w:t>
      </w:r>
    </w:p>
    <w:p w14:paraId="0B0A59C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分析目前医保准入政策对创新药企的影响，尤其是创新药企业如何应对医保准入时的价格管控及谈判压力。</w:t>
      </w:r>
    </w:p>
    <w:p w14:paraId="067939B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二、创新药医保管理全流程研究</w:t>
      </w:r>
    </w:p>
    <w:p w14:paraId="3C2BFB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sz w:val="32"/>
          <w:szCs w:val="32"/>
        </w:rPr>
        <w:t>1.</w:t>
      </w:r>
      <w:r>
        <w:rPr>
          <w:rStyle w:val="7"/>
          <w:rFonts w:hint="eastAsia"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从研发到市场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 w14:paraId="3FD2B24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梳理创新药从研发阶段到市场推广的全流程，包括药品注册、医保谈判、市场定价、支付和后续调价等关键环节。</w:t>
      </w:r>
    </w:p>
    <w:p w14:paraId="2633D67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分析药监部门、医保部门、医院、药企和流通企业等利益相关者在各自职能领域的责任与权利，以及他们在创新药医保管理中的角色和互动。</w:t>
      </w:r>
    </w:p>
    <w:p w14:paraId="1A7BB1D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sz w:val="32"/>
          <w:szCs w:val="32"/>
        </w:rPr>
        <w:t>2.</w:t>
      </w:r>
      <w:r>
        <w:rPr>
          <w:rStyle w:val="7"/>
          <w:rFonts w:hint="eastAsia"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各利益相关者的态度与问题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 w14:paraId="4D025E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选择典型的创新药生产企业、流通企业、医院、药监部门和医保部门，开展深入调研，了解各方在创新药管理过程中面临的挑战和矛盾。</w:t>
      </w:r>
    </w:p>
    <w:p w14:paraId="69A494A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探讨各利益相关者对创新药评价、定价和医保准入的态度及其影响，分析政策执行中的利益冲突和政策盲点。</w:t>
      </w:r>
    </w:p>
    <w:p w14:paraId="55F75E1E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三、创新药评价过程中存在的问题及原因分析</w:t>
      </w:r>
    </w:p>
    <w:p w14:paraId="551CA0E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sz w:val="32"/>
          <w:szCs w:val="32"/>
        </w:rPr>
        <w:t>1.</w:t>
      </w:r>
      <w:r>
        <w:rPr>
          <w:rStyle w:val="7"/>
          <w:rFonts w:hint="eastAsia"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评价指标与方法的不足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 w14:paraId="67E39B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调研现行的创新药评价标准和方法，评估现有的评价框架是否全面、科学，以及是否能够适应不同类型创新药的特点。</w:t>
      </w:r>
    </w:p>
    <w:p w14:paraId="0F4332D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分析创新药评价过程中存在的偏差或漏洞，探讨目前的评价体系在面临新的治疗模式和药品创新时的局限性。</w:t>
      </w:r>
    </w:p>
    <w:p w14:paraId="22A231D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sz w:val="32"/>
          <w:szCs w:val="32"/>
        </w:rPr>
        <w:t>2.</w:t>
      </w:r>
      <w:r>
        <w:rPr>
          <w:rStyle w:val="7"/>
          <w:rFonts w:hint="eastAsia"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医保谈判和定价的问题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 w14:paraId="1B3C588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研究医保谈判过程中存在的问题，包括价格压缩过度、谈判过程中的不透明性、药品进入医保的时机选择等。</w:t>
      </w:r>
    </w:p>
    <w:p w14:paraId="072197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分析医保支付标准对创新药市场定价的影响，探讨创新药在刚上市时面临的定价困境及后续调价难题。</w:t>
      </w:r>
    </w:p>
    <w:p w14:paraId="7903C9F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sz w:val="32"/>
          <w:szCs w:val="32"/>
        </w:rPr>
        <w:t>3.</w:t>
      </w:r>
      <w:r>
        <w:rPr>
          <w:rStyle w:val="7"/>
          <w:rFonts w:hint="eastAsia"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协议到期后的续约问题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 w14:paraId="438079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调查并总结创新药协议到期后续约时存在的主要问题，尤其是在医保覆盖、药品价格和市场份额等方面的挑战。</w:t>
      </w:r>
    </w:p>
    <w:p w14:paraId="787B672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评估现有的续约机制是否能够平衡药企与医保部门之间的利益，并确保创新药在医保体系内的持续竞争力。</w:t>
      </w:r>
    </w:p>
    <w:p w14:paraId="34D15C50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四、问题原因分析</w:t>
      </w:r>
    </w:p>
    <w:p w14:paraId="507A1D0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sz w:val="32"/>
          <w:szCs w:val="32"/>
        </w:rPr>
        <w:t>1.</w:t>
      </w:r>
      <w:r>
        <w:rPr>
          <w:rStyle w:val="7"/>
          <w:rFonts w:hint="eastAsia"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政策执行的难点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 w14:paraId="7C149C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分析政策执行中的实际困难，探讨当前政策框架如何影响创新药的准入和市场表现，特别是医保部门在执行过程中可能遇到的局限。</w:t>
      </w:r>
    </w:p>
    <w:p w14:paraId="1CE1A1D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调查政策出台后在不同地区和不同层级的执行效果，评估政策的不一致性和实施难度。</w:t>
      </w:r>
    </w:p>
    <w:p w14:paraId="1A1F34F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sz w:val="32"/>
          <w:szCs w:val="32"/>
        </w:rPr>
        <w:t>2.</w:t>
      </w:r>
      <w:r>
        <w:rPr>
          <w:rStyle w:val="7"/>
          <w:rFonts w:hint="eastAsia"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市场与行业的结构性问题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</w:p>
    <w:p w14:paraId="07F41D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分析中国药品市场和医保体系的结构性问题，探讨现有市场机制对创新药定价和准入的制约，特别是在集采政策、医保支付机制等方面的挑战。</w:t>
      </w:r>
    </w:p>
    <w:p w14:paraId="647ACE2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研究中国创新药领域的竞争格局，分析国内外药企在中国市场的差异，以及这些差异对创新药评价的影响。</w:t>
      </w:r>
    </w:p>
    <w:p w14:paraId="5E6665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left="0" w:firstLine="440" w:firstLineChars="200"/>
        <w:textAlignment w:val="auto"/>
        <w:rPr>
          <w:rFonts w:hint="eastAsia" w:ascii="仿宋_GB2312" w:hAnsi="仿宋_GB2312" w:eastAsia="仿宋_GB2312" w:cs="仿宋_GB2312"/>
          <w:sz w:val="22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sf ns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FD3DB1"/>
    <w:rsid w:val="79FD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4"/>
    <w:basedOn w:val="1"/>
    <w:uiPriority w:val="0"/>
    <w:pPr>
      <w:spacing w:before="240" w:beforeAutospacing="0" w:after="0" w:afterAutospacing="0"/>
      <w:ind w:left="420" w:right="0" w:hanging="420"/>
      <w:jc w:val="left"/>
    </w:pPr>
    <w:rPr>
      <w:rFonts w:ascii=".sf ns" w:hAnsi=".sf ns" w:eastAsia=".sf ns" w:cs=".sf ns"/>
      <w:color w:val="0E0E0E"/>
      <w:kern w:val="0"/>
      <w:sz w:val="28"/>
      <w:szCs w:val="28"/>
      <w:lang w:val="en-US" w:eastAsia="zh-CN" w:bidi="ar"/>
    </w:rPr>
  </w:style>
  <w:style w:type="character" w:customStyle="1" w:styleId="6">
    <w:name w:val="s2"/>
    <w:basedOn w:val="4"/>
    <w:uiPriority w:val="0"/>
    <w:rPr>
      <w:rFonts w:ascii="Times New Roman" w:hAnsi="Times New Roman" w:cs="Times New Roman"/>
      <w:sz w:val="28"/>
      <w:szCs w:val="28"/>
    </w:rPr>
  </w:style>
  <w:style w:type="character" w:customStyle="1" w:styleId="7">
    <w:name w:val="apple-tab-span"/>
    <w:basedOn w:val="4"/>
    <w:uiPriority w:val="0"/>
  </w:style>
  <w:style w:type="paragraph" w:customStyle="1" w:styleId="8">
    <w:name w:val="p3"/>
    <w:basedOn w:val="1"/>
    <w:uiPriority w:val="0"/>
    <w:pPr>
      <w:spacing w:before="240" w:beforeAutospacing="0" w:after="0" w:afterAutospacing="0"/>
      <w:ind w:left="660" w:right="0" w:hanging="660"/>
      <w:jc w:val="left"/>
    </w:pPr>
    <w:rPr>
      <w:rFonts w:hint="default" w:ascii=".sf ns" w:hAnsi=".sf ns" w:eastAsia=".sf ns" w:cs=".sf ns"/>
      <w:color w:val="0E0E0E"/>
      <w:kern w:val="0"/>
      <w:sz w:val="28"/>
      <w:szCs w:val="28"/>
      <w:lang w:val="en-US" w:eastAsia="zh-CN" w:bidi="ar"/>
    </w:rPr>
  </w:style>
  <w:style w:type="paragraph" w:customStyle="1" w:styleId="9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.sf ns" w:hAnsi=".sf ns" w:eastAsia=".sf ns" w:cs=".sf ns"/>
      <w:color w:val="0E0E0E"/>
      <w:kern w:val="0"/>
      <w:sz w:val="28"/>
      <w:szCs w:val="28"/>
      <w:lang w:val="en-US" w:eastAsia="zh-CN" w:bidi="ar"/>
    </w:rPr>
  </w:style>
  <w:style w:type="paragraph" w:customStyle="1" w:styleId="10">
    <w:name w:val="p5"/>
    <w:basedOn w:val="1"/>
    <w:uiPriority w:val="0"/>
    <w:pPr>
      <w:spacing w:before="240" w:beforeAutospacing="0" w:after="0" w:afterAutospacing="0"/>
      <w:ind w:left="660" w:right="0" w:hanging="660"/>
      <w:jc w:val="left"/>
    </w:pPr>
    <w:rPr>
      <w:rFonts w:hint="default" w:ascii=".sf ns" w:hAnsi=".sf ns" w:eastAsia=".sf ns" w:cs=".sf ns"/>
      <w:color w:val="0E0E0E"/>
      <w:kern w:val="0"/>
      <w:sz w:val="28"/>
      <w:szCs w:val="28"/>
      <w:lang w:val="en-US" w:eastAsia="zh-CN" w:bidi="ar"/>
    </w:rPr>
  </w:style>
  <w:style w:type="character" w:customStyle="1" w:styleId="11">
    <w:name w:val="s1"/>
    <w:basedOn w:val="4"/>
    <w:uiPriority w:val="0"/>
    <w:rPr>
      <w:rFonts w:hint="default" w:ascii=".sf ns" w:hAnsi=".sf ns" w:eastAsia=".sf ns" w:cs=".sf ns"/>
      <w:sz w:val="28"/>
      <w:szCs w:val="28"/>
    </w:rPr>
  </w:style>
  <w:style w:type="paragraph" w:customStyle="1" w:styleId="12">
    <w:name w:val="p2"/>
    <w:basedOn w:val="1"/>
    <w:uiPriority w:val="0"/>
    <w:pPr>
      <w:spacing w:before="240" w:beforeAutospacing="0" w:after="0" w:afterAutospacing="0"/>
      <w:ind w:left="420" w:right="0" w:hanging="420"/>
      <w:jc w:val="left"/>
    </w:pPr>
    <w:rPr>
      <w:rFonts w:hint="default" w:ascii="Times New Roman" w:hAnsi="Times New Roman" w:cs="Times New Roman"/>
      <w:color w:val="0E0E0E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2025-02-18T16:54:00Z</dcterms:created>
  <dc:creator>W</dc:creator>
  <cp:lastModifiedBy>W</cp:lastModifiedBy>
  <dcterms:modified xsi:type="dcterms:W3CDTF">2025-02-18T16:56:54Z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A7A93AEBBAD13C72CB4AB467B30A8B61_41</vt:lpwstr>
  </property>
</Properties>
</file>