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D87D5">
      <w:pPr>
        <w:widowControl w:val="0"/>
        <w:spacing w:line="580" w:lineRule="exact"/>
        <w:ind w:firstLine="600" w:firstLineChars="200"/>
        <w:rPr>
          <w:rFonts w:ascii="仿宋_GB2312" w:eastAsia="仿宋_GB2312"/>
          <w:sz w:val="30"/>
          <w:szCs w:val="30"/>
        </w:rPr>
      </w:pPr>
      <w:r>
        <w:rPr>
          <w:rFonts w:hint="eastAsia" w:ascii="仿宋_GB2312" w:eastAsia="仿宋_GB2312"/>
          <w:sz w:val="30"/>
          <w:szCs w:val="30"/>
        </w:rPr>
        <w:t>重点任务包括以下五方面：</w:t>
      </w:r>
    </w:p>
    <w:p w14:paraId="3A40C474">
      <w:pPr>
        <w:widowControl w:val="0"/>
        <w:spacing w:line="580" w:lineRule="exact"/>
        <w:ind w:firstLine="600" w:firstLineChars="200"/>
        <w:rPr>
          <w:rFonts w:ascii="仿宋_GB2312" w:eastAsia="仿宋_GB2312"/>
          <w:sz w:val="30"/>
          <w:szCs w:val="30"/>
        </w:rPr>
      </w:pPr>
      <w:r>
        <w:rPr>
          <w:rFonts w:hint="eastAsia" w:ascii="仿宋_GB2312" w:eastAsia="仿宋_GB2312"/>
          <w:sz w:val="30"/>
          <w:szCs w:val="30"/>
        </w:rPr>
        <w:t>（一）以临床价值为导向的创新药评价理论研究</w:t>
      </w:r>
    </w:p>
    <w:p w14:paraId="61BD7A51">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rPr>
        <w:t>首先，从公共产品理论、劳动价值论等出发，从</w:t>
      </w:r>
      <w:bookmarkStart w:id="0" w:name="OLE_LINK2"/>
      <w:r>
        <w:rPr>
          <w:rFonts w:hint="eastAsia" w:ascii="仿宋_GB2312" w:eastAsia="仿宋_GB2312"/>
          <w:sz w:val="30"/>
          <w:szCs w:val="30"/>
        </w:rPr>
        <w:t>临床</w:t>
      </w:r>
      <w:bookmarkEnd w:id="0"/>
      <w:r>
        <w:rPr>
          <w:rFonts w:hint="eastAsia" w:ascii="仿宋_GB2312" w:eastAsia="仿宋_GB2312"/>
          <w:sz w:val="30"/>
          <w:szCs w:val="30"/>
        </w:rPr>
        <w:t>价值、经济价值、社会价值等方面探究药品价值、创新药价值的构成。其次，对药品、药品价格、药品定价机制、药品集中带量采购等核心概念进行界定，总结</w:t>
      </w:r>
      <w:bookmarkStart w:id="1" w:name="OLE_LINK1"/>
      <w:r>
        <w:rPr>
          <w:rFonts w:hint="eastAsia" w:ascii="仿宋_GB2312" w:eastAsia="仿宋_GB2312"/>
          <w:sz w:val="30"/>
          <w:szCs w:val="30"/>
        </w:rPr>
        <w:t>医保制度内药品的公共属性</w:t>
      </w:r>
      <w:bookmarkEnd w:id="1"/>
      <w:r>
        <w:rPr>
          <w:rFonts w:hint="eastAsia" w:ascii="仿宋_GB2312" w:eastAsia="仿宋_GB2312"/>
          <w:sz w:val="30"/>
          <w:szCs w:val="30"/>
        </w:rPr>
        <w:t>。梳理从创新药研发到创新药定价的全过程，归纳生产企业、流通企业、药监部门、医保部门、医院、患者等各利益相关者及其责权利所在。从医保制度内药品的公共属性出发，统筹医保部门的定位和激励企业创新的需要，研究提出医保创新药评价框架，包括评价目的、评价维度、评价原则等。</w:t>
      </w:r>
    </w:p>
    <w:p w14:paraId="52766E47">
      <w:pPr>
        <w:widowControl w:val="0"/>
        <w:spacing w:line="580" w:lineRule="exact"/>
        <w:ind w:firstLine="600" w:firstLineChars="200"/>
        <w:rPr>
          <w:rFonts w:hint="eastAsia" w:ascii="仿宋_GB2312" w:eastAsia="仿宋_GB2312"/>
          <w:sz w:val="30"/>
          <w:szCs w:val="30"/>
          <w:lang w:eastAsia="zh-CN"/>
        </w:rPr>
      </w:pPr>
      <w:r>
        <w:rPr>
          <w:rFonts w:hint="eastAsia" w:ascii="仿宋_GB2312" w:eastAsia="仿宋_GB2312"/>
          <w:sz w:val="30"/>
          <w:szCs w:val="30"/>
          <w:lang w:eastAsia="zh-CN"/>
        </w:rPr>
        <w:t>基于《深化医药卫生体制改革2024年重点工作任务》，进一步研究如何将创新药的临床价值评价与医保支付改革相结合。特别是探索DRG/DIP支付机制对创新药临床价值的影响，提出以临床价值为导向的评价体系，确保创新药在医保中的合理覆盖和优先支付。同时关注政策中对罕见病和临床急需药物的评价倾斜，制定更符合实际需求的临床价值评估标准。</w:t>
      </w:r>
    </w:p>
    <w:p w14:paraId="3D0A7002">
      <w:pPr>
        <w:widowControl w:val="0"/>
        <w:spacing w:line="580" w:lineRule="exact"/>
        <w:ind w:firstLine="600" w:firstLineChars="200"/>
        <w:rPr>
          <w:rFonts w:ascii="仿宋_GB2312" w:eastAsia="仿宋_GB2312"/>
          <w:sz w:val="30"/>
          <w:szCs w:val="30"/>
        </w:rPr>
      </w:pPr>
      <w:r>
        <w:rPr>
          <w:rFonts w:hint="eastAsia" w:ascii="仿宋_GB2312" w:eastAsia="仿宋_GB2312"/>
          <w:sz w:val="30"/>
          <w:szCs w:val="30"/>
        </w:rPr>
        <w:t>（二）当前创新药评价存在问题及原因研究</w:t>
      </w:r>
    </w:p>
    <w:p w14:paraId="5477DCDC">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rPr>
        <w:t>梳理我国创新药医保管理的主要政策，总结当前创新药准入、创新药评价、协议到期后续约的现状。围绕创新药医保管理的全流程，选择典型生产企业、流通企业、医院、药监部门、医保部门开展调研，深入了解创新药医保管理过程中利益相关者的态度及责权利，从创新药评价、谈判、定价、调价等方面梳理创新药医保管理存在的主要问题及原因，重点调研创新药评价存在的问题并分析原因。</w:t>
      </w:r>
    </w:p>
    <w:p w14:paraId="6325EDA4">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rPr>
        <w:t>梳理创新药上市过程中出现的审批延迟、准入标准不明确等问题，结合最新政策中提及的审评审批制度改革，研究这些问题的根本原因和优化路径。重点关注在医保准入和定价谈判中存在的制度性障碍，分析如何通过政策创新解决创新药的评价标准不统一、支付方式单一等问题。</w:t>
      </w:r>
    </w:p>
    <w:p w14:paraId="1560BF7D">
      <w:pPr>
        <w:widowControl w:val="0"/>
        <w:spacing w:line="580" w:lineRule="exact"/>
        <w:ind w:firstLine="600" w:firstLineChars="200"/>
        <w:rPr>
          <w:rFonts w:ascii="仿宋_GB2312" w:eastAsia="仿宋_GB2312"/>
          <w:sz w:val="30"/>
          <w:szCs w:val="30"/>
        </w:rPr>
      </w:pPr>
      <w:r>
        <w:rPr>
          <w:rFonts w:hint="eastAsia" w:ascii="仿宋_GB2312" w:eastAsia="仿宋_GB2312"/>
          <w:sz w:val="30"/>
          <w:szCs w:val="30"/>
        </w:rPr>
        <w:t>（三）创新药评价的国际经验研究</w:t>
      </w:r>
    </w:p>
    <w:p w14:paraId="3B9ED08A">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rPr>
        <w:t>基于我国创新药医保管理现状，对英国、德国、法国、瑞典、加拿大、日本、中国台湾等国际典型国家或地区创新药医保管理政策开展梳理，梳理管理主体、管理流程，总结管理模式的优缺点，重点梳理创新药的评价制度以及方法。围绕我国创新药医保管理，特别是创新药评价存在的问题，从评价主体、评价指标、评价内容、评价分级、差异化定价举措等方面，提炼国际经验对我国的启示。</w:t>
      </w:r>
    </w:p>
    <w:p w14:paraId="4F04F850">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rPr>
        <w:t>结合创新药上市情况，参考国际上成熟的加快审评机制和医保准入流程，以支持我国在政策领域逐步引入优先审评和附条件批准等加速通道，提升高临床价值创新药的审批效率。借鉴国际上对创新药的差异化定价策略，研究在DRG/DIP支付模式下优化我国创新药医保支付的方式，确保支付模式既能推动创新药发展，又能合理控制医保费用。</w:t>
      </w:r>
    </w:p>
    <w:p w14:paraId="56B30577">
      <w:pPr>
        <w:widowControl w:val="0"/>
        <w:spacing w:line="580" w:lineRule="exact"/>
        <w:ind w:firstLine="600" w:firstLineChars="200"/>
        <w:rPr>
          <w:rFonts w:ascii="仿宋_GB2312" w:eastAsia="仿宋_GB2312"/>
          <w:sz w:val="30"/>
          <w:szCs w:val="30"/>
        </w:rPr>
      </w:pPr>
      <w:r>
        <w:rPr>
          <w:rFonts w:ascii="仿宋_GB2312" w:eastAsia="仿宋_GB2312"/>
          <w:sz w:val="30"/>
          <w:szCs w:val="30"/>
        </w:rPr>
        <w:t>（四）</w:t>
      </w:r>
      <w:r>
        <w:rPr>
          <w:rFonts w:hint="eastAsia" w:ascii="仿宋_GB2312" w:eastAsia="仿宋_GB2312"/>
          <w:sz w:val="30"/>
          <w:szCs w:val="30"/>
        </w:rPr>
        <w:t>中国特色的创新药评价管理研究</w:t>
      </w:r>
    </w:p>
    <w:p w14:paraId="2CE57D13">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rPr>
        <w:t>从中国创新药医保改革方向出发，围绕当前医保体系中创新药评价存在的问题，结合国际经验，对医保创新药评价框架进行细化，遵循创新药的临床价值、经济价值和社会价值，研究提出我国医保创新药的评价指标体系、评价方法、评价程序，研究提出创新药的认定标准与分级方法。</w:t>
      </w:r>
    </w:p>
    <w:p w14:paraId="33E24F49">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rPr>
        <w:t>在中国特色评价体系中，加入政策支持的全链条管理思路，从临床试验、审批、准入到支付，构建一套涵盖创新药生命周期的管理体系。依据最新政策文件，</w:t>
      </w:r>
      <w:commentRangeStart w:id="0"/>
      <w:r>
        <w:rPr>
          <w:rFonts w:hint="eastAsia" w:ascii="仿宋_GB2312" w:eastAsia="仿宋_GB2312"/>
          <w:sz w:val="30"/>
          <w:szCs w:val="30"/>
        </w:rPr>
        <w:t>重点研究政策支持在创新药上市初期的支付机制、</w:t>
      </w:r>
      <w:commentRangeEnd w:id="0"/>
      <w:r>
        <w:commentReference w:id="0"/>
      </w:r>
      <w:r>
        <w:rPr>
          <w:rFonts w:hint="eastAsia" w:ascii="仿宋_GB2312" w:eastAsia="仿宋_GB2312"/>
          <w:sz w:val="30"/>
          <w:szCs w:val="30"/>
        </w:rPr>
        <w:t>价格调整及市场推广模式，以确保高价值创新药的可持续性。同时，提出在医保支付改革中，对创新药实施动态评估机制，使其评价管理更加灵活、科学。</w:t>
      </w:r>
    </w:p>
    <w:p w14:paraId="7AFC0961">
      <w:pPr>
        <w:widowControl w:val="0"/>
        <w:spacing w:line="580" w:lineRule="exact"/>
        <w:ind w:firstLine="600" w:firstLineChars="200"/>
        <w:rPr>
          <w:rFonts w:ascii="仿宋_GB2312" w:eastAsia="仿宋_GB2312"/>
          <w:sz w:val="30"/>
          <w:szCs w:val="30"/>
        </w:rPr>
      </w:pPr>
      <w:r>
        <w:rPr>
          <w:rFonts w:ascii="仿宋_GB2312" w:eastAsia="仿宋_GB2312"/>
          <w:sz w:val="30"/>
          <w:szCs w:val="30"/>
        </w:rPr>
        <w:t>（</w:t>
      </w:r>
      <w:r>
        <w:rPr>
          <w:rFonts w:hint="eastAsia" w:ascii="仿宋_GB2312" w:eastAsia="仿宋_GB2312"/>
          <w:sz w:val="30"/>
          <w:szCs w:val="30"/>
        </w:rPr>
        <w:t>五</w:t>
      </w:r>
      <w:r>
        <w:rPr>
          <w:rFonts w:ascii="仿宋_GB2312" w:eastAsia="仿宋_GB2312"/>
          <w:sz w:val="30"/>
          <w:szCs w:val="30"/>
        </w:rPr>
        <w:t>）</w:t>
      </w:r>
      <w:r>
        <w:rPr>
          <w:rFonts w:hint="eastAsia" w:ascii="仿宋_GB2312" w:eastAsia="仿宋_GB2312"/>
          <w:sz w:val="30"/>
          <w:szCs w:val="30"/>
        </w:rPr>
        <w:t>优化完善我国医保</w:t>
      </w:r>
      <w:bookmarkStart w:id="2" w:name="OLE_LINK3"/>
      <w:r>
        <w:rPr>
          <w:rFonts w:hint="eastAsia" w:ascii="仿宋_GB2312" w:eastAsia="仿宋_GB2312"/>
          <w:sz w:val="30"/>
          <w:szCs w:val="30"/>
        </w:rPr>
        <w:t>创新药评价与价格管理</w:t>
      </w:r>
      <w:bookmarkEnd w:id="2"/>
      <w:r>
        <w:rPr>
          <w:rFonts w:hint="eastAsia" w:ascii="仿宋_GB2312" w:eastAsia="仿宋_GB2312"/>
          <w:sz w:val="30"/>
          <w:szCs w:val="30"/>
        </w:rPr>
        <w:t>的政策建议研究</w:t>
      </w:r>
    </w:p>
    <w:p w14:paraId="3200D962">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rPr>
        <w:t>针对我国创新药医保管理存在的问题及原因，结合国际成功经验，从管理全链条的角度研究提出优化医保创新药管理的政策建议。重点从创新药评价与价格管理两方面，对不同等级的创新药，从评估体系、定价方式、风险分担、价格调整机制提出分类政策建议。</w:t>
      </w:r>
    </w:p>
    <w:p w14:paraId="39191945">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rPr>
        <w:t>例如，进一步细化创新药在DRG/DIP体系中的支付标准，确保不同等级创新药的定价方式和支付比例更加符合实际临床效果和患者需求。同时，建议建立一套创新药的动态价格调整机制，使医保支付能够及时反映药物的实际临床效果和市场反馈。</w:t>
      </w:r>
    </w:p>
    <w:p w14:paraId="000499A8"/>
    <w:p w14:paraId="4E859270">
      <w:pPr>
        <w:rPr>
          <w:rFonts w:hint="default"/>
          <w:lang w:val="en-US" w:eastAsia="zh-CN"/>
        </w:rPr>
      </w:pPr>
    </w:p>
    <w:p w14:paraId="7B390270">
      <w:r>
        <w:br w:type="page"/>
      </w:r>
    </w:p>
    <w:p w14:paraId="627BC841">
      <w:pPr>
        <w:widowControl w:val="0"/>
        <w:spacing w:line="580" w:lineRule="exact"/>
        <w:ind w:firstLine="602" w:firstLineChars="200"/>
        <w:jc w:val="center"/>
        <w:rPr>
          <w:rFonts w:hint="eastAsia" w:ascii="仿宋_GB2312" w:eastAsia="仿宋_GB2312"/>
          <w:b/>
          <w:bCs/>
          <w:sz w:val="30"/>
          <w:szCs w:val="30"/>
          <w:lang w:eastAsia="zh-CN"/>
        </w:rPr>
      </w:pPr>
      <w:r>
        <w:rPr>
          <w:rFonts w:hint="eastAsia" w:ascii="仿宋_GB2312" w:eastAsia="仿宋_GB2312"/>
          <w:b/>
          <w:bCs/>
          <w:sz w:val="30"/>
          <w:szCs w:val="30"/>
        </w:rPr>
        <w:t>创新药从研发到上市的政策问题清单</w:t>
      </w:r>
    </w:p>
    <w:p w14:paraId="234BBB54">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eastAsia="zh-CN"/>
        </w:rPr>
        <w:t>（</w:t>
      </w:r>
      <w:r>
        <w:rPr>
          <w:rFonts w:hint="eastAsia" w:ascii="仿宋_GB2312" w:eastAsia="仿宋_GB2312"/>
          <w:sz w:val="30"/>
          <w:szCs w:val="30"/>
          <w:lang w:val="en-US" w:eastAsia="zh-CN"/>
        </w:rPr>
        <w:t>1</w:t>
      </w:r>
      <w:r>
        <w:rPr>
          <w:rFonts w:hint="eastAsia" w:ascii="仿宋_GB2312" w:eastAsia="仿宋_GB2312"/>
          <w:sz w:val="30"/>
          <w:szCs w:val="30"/>
          <w:lang w:eastAsia="zh-CN"/>
        </w:rPr>
        <w:t>）</w:t>
      </w:r>
      <w:r>
        <w:rPr>
          <w:rFonts w:hint="eastAsia" w:ascii="仿宋_GB2312" w:eastAsia="仿宋_GB2312"/>
          <w:sz w:val="30"/>
          <w:szCs w:val="30"/>
        </w:rPr>
        <w:t>研发阶段</w:t>
      </w:r>
    </w:p>
    <w:p w14:paraId="1160219A">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1、</w:t>
      </w:r>
      <w:r>
        <w:rPr>
          <w:rFonts w:hint="eastAsia" w:ascii="仿宋_GB2312" w:eastAsia="仿宋_GB2312"/>
          <w:sz w:val="30"/>
          <w:szCs w:val="30"/>
        </w:rPr>
        <w:t>专项资金和税收优惠缺乏：目前创新药在早期研发阶段的资金需求巨大，但缺乏专项财政支持和税收优惠，尤其是中小型企业面临较高的研发成本压力。建议政策提供更多资金支持和税收减免，与全链条支持创新药发展的政策目标一致。</w:t>
      </w:r>
    </w:p>
    <w:p w14:paraId="47BF1B99">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2、</w:t>
      </w:r>
      <w:r>
        <w:rPr>
          <w:rFonts w:hint="eastAsia" w:ascii="仿宋_GB2312" w:eastAsia="仿宋_GB2312"/>
          <w:sz w:val="30"/>
          <w:szCs w:val="30"/>
        </w:rPr>
        <w:t>产学研一体化支持不足：创新药的早期研发需要科研机构、企业和医疗机构的协同合作，但现有政策缺乏统一的产学研协作机制，建议设立以创新药为中心的研发协作平台，推动资源共享，符合全链条支持体系的政策方向。</w:t>
      </w:r>
    </w:p>
    <w:p w14:paraId="33B9F707">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eastAsia="zh-CN"/>
        </w:rPr>
        <w:t>（</w:t>
      </w:r>
      <w:r>
        <w:rPr>
          <w:rFonts w:hint="eastAsia" w:ascii="仿宋_GB2312" w:eastAsia="仿宋_GB2312"/>
          <w:sz w:val="30"/>
          <w:szCs w:val="30"/>
          <w:lang w:val="en-US" w:eastAsia="zh-CN"/>
        </w:rPr>
        <w:t>2</w:t>
      </w:r>
      <w:r>
        <w:rPr>
          <w:rFonts w:hint="eastAsia" w:ascii="仿宋_GB2312" w:eastAsia="仿宋_GB2312"/>
          <w:sz w:val="30"/>
          <w:szCs w:val="30"/>
          <w:lang w:eastAsia="zh-CN"/>
        </w:rPr>
        <w:t>）</w:t>
      </w:r>
      <w:r>
        <w:rPr>
          <w:rFonts w:hint="eastAsia" w:ascii="仿宋_GB2312" w:eastAsia="仿宋_GB2312"/>
          <w:sz w:val="30"/>
          <w:szCs w:val="30"/>
        </w:rPr>
        <w:t>临床试验阶段</w:t>
      </w:r>
    </w:p>
    <w:p w14:paraId="1F25E589">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1、</w:t>
      </w:r>
      <w:r>
        <w:rPr>
          <w:rFonts w:hint="eastAsia" w:ascii="仿宋_GB2312" w:eastAsia="仿宋_GB2312"/>
          <w:sz w:val="30"/>
          <w:szCs w:val="30"/>
        </w:rPr>
        <w:t>临床试验审批周期长，资源不足：尽管备案制已改善流程，但临床试验审批的实际周期仍较长，试验机构资源不足且分布不均。建议进一步简化审批流程，引导更多医疗机构参与创新药临床试验，落实加快审批通道的政策。</w:t>
      </w:r>
    </w:p>
    <w:p w14:paraId="58B8F879">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2、</w:t>
      </w:r>
      <w:r>
        <w:rPr>
          <w:rFonts w:hint="eastAsia" w:ascii="仿宋_GB2312" w:eastAsia="仿宋_GB2312"/>
          <w:sz w:val="30"/>
          <w:szCs w:val="30"/>
        </w:rPr>
        <w:t>境外临床试验数据难以充分利用：虽有接纳境外临床数据的指导原则，但实际操作中仍需补充验证试验，增加了企业的成本。政策应简化境外数据采纳程序，使全球创新药更快进入国内市场，提升企业的市场竞争力。</w:t>
      </w:r>
    </w:p>
    <w:p w14:paraId="5005754B">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eastAsia="zh-CN"/>
        </w:rPr>
        <w:t>（</w:t>
      </w:r>
      <w:r>
        <w:rPr>
          <w:rFonts w:hint="eastAsia" w:ascii="仿宋_GB2312" w:eastAsia="仿宋_GB2312"/>
          <w:sz w:val="30"/>
          <w:szCs w:val="30"/>
          <w:lang w:val="en-US" w:eastAsia="zh-CN"/>
        </w:rPr>
        <w:t>3</w:t>
      </w:r>
      <w:r>
        <w:rPr>
          <w:rFonts w:hint="eastAsia" w:ascii="仿宋_GB2312" w:eastAsia="仿宋_GB2312"/>
          <w:sz w:val="30"/>
          <w:szCs w:val="30"/>
          <w:lang w:eastAsia="zh-CN"/>
        </w:rPr>
        <w:t>）</w:t>
      </w:r>
      <w:r>
        <w:rPr>
          <w:rFonts w:hint="eastAsia" w:ascii="仿宋_GB2312" w:eastAsia="仿宋_GB2312"/>
          <w:sz w:val="30"/>
          <w:szCs w:val="30"/>
        </w:rPr>
        <w:t>审批和上市阶段</w:t>
      </w:r>
    </w:p>
    <w:p w14:paraId="44BCEFEA">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1、</w:t>
      </w:r>
      <w:r>
        <w:rPr>
          <w:rFonts w:hint="eastAsia" w:ascii="仿宋_GB2312" w:eastAsia="仿宋_GB2312"/>
          <w:sz w:val="30"/>
          <w:szCs w:val="30"/>
        </w:rPr>
        <w:t>优先审批机制覆盖范围有限：当前的优先审批机制主要适用于部分重大疾病药物，导致许多高价值创新药无法享受快速审批的待遇。政策文件明确要求加快创新药及罕见病药品审批，建议扩大优先审批的适用范围。</w:t>
      </w:r>
    </w:p>
    <w:p w14:paraId="22A598E6">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2、</w:t>
      </w:r>
      <w:r>
        <w:rPr>
          <w:rFonts w:hint="eastAsia" w:ascii="仿宋_GB2312" w:eastAsia="仿宋_GB2312"/>
          <w:sz w:val="30"/>
          <w:szCs w:val="30"/>
        </w:rPr>
        <w:t>审批周期缺乏量化标准：审批过程中缺乏统一的时间标准，导致企业难以预计上市时间。政策应设立审批周期的量化目标，提高审批的透明度和可预见性，增强企业的研发信心。</w:t>
      </w:r>
    </w:p>
    <w:p w14:paraId="5FE2E993">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eastAsia="zh-CN"/>
        </w:rPr>
        <w:t>（</w:t>
      </w:r>
      <w:r>
        <w:rPr>
          <w:rFonts w:hint="eastAsia" w:ascii="仿宋_GB2312" w:eastAsia="仿宋_GB2312"/>
          <w:sz w:val="30"/>
          <w:szCs w:val="30"/>
          <w:lang w:val="en-US" w:eastAsia="zh-CN"/>
        </w:rPr>
        <w:t>3</w:t>
      </w:r>
      <w:r>
        <w:rPr>
          <w:rFonts w:hint="eastAsia" w:ascii="仿宋_GB2312" w:eastAsia="仿宋_GB2312"/>
          <w:sz w:val="30"/>
          <w:szCs w:val="30"/>
          <w:lang w:eastAsia="zh-CN"/>
        </w:rPr>
        <w:t>）</w:t>
      </w:r>
      <w:r>
        <w:rPr>
          <w:rFonts w:hint="eastAsia" w:ascii="仿宋_GB2312" w:eastAsia="仿宋_GB2312"/>
          <w:sz w:val="30"/>
          <w:szCs w:val="30"/>
        </w:rPr>
        <w:t>市场准入阶段</w:t>
      </w:r>
    </w:p>
    <w:p w14:paraId="70EFB2CA">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1、</w:t>
      </w:r>
      <w:r>
        <w:rPr>
          <w:rFonts w:hint="eastAsia" w:ascii="仿宋_GB2312" w:eastAsia="仿宋_GB2312"/>
          <w:sz w:val="30"/>
          <w:szCs w:val="30"/>
        </w:rPr>
        <w:t>医保价格谈判空间有限：医保局对创新药的价格压缩力度较大，特别是高成本药物难以获得合理的定价空间，影响企业盈利。2024年政策提到DRG/DIP支付除外机制，建议为高价值创新药设立独立的价格谈判机制，确保支付比例和药物临床价值相匹配。</w:t>
      </w:r>
    </w:p>
    <w:p w14:paraId="03F967AF">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2、</w:t>
      </w:r>
      <w:r>
        <w:rPr>
          <w:rFonts w:hint="eastAsia" w:ascii="仿宋_GB2312" w:eastAsia="仿宋_GB2312"/>
          <w:sz w:val="30"/>
          <w:szCs w:val="30"/>
        </w:rPr>
        <w:t>DRG/DIP支付模式不适用于高价值药物：创新药通常价格高、使用频率低，现有DRG/DIP支付模式难以适配。应在医保支付系统中为创新药设立除外支付支持机制，确保其在市场中的可及性，符合最新政策的支付倾斜。</w:t>
      </w:r>
    </w:p>
    <w:p w14:paraId="6674E2A1">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eastAsia="zh-CN"/>
        </w:rPr>
        <w:t>（</w:t>
      </w:r>
      <w:r>
        <w:rPr>
          <w:rFonts w:hint="eastAsia" w:ascii="仿宋_GB2312" w:eastAsia="仿宋_GB2312"/>
          <w:sz w:val="30"/>
          <w:szCs w:val="30"/>
          <w:lang w:val="en-US" w:eastAsia="zh-CN"/>
        </w:rPr>
        <w:t>4</w:t>
      </w:r>
      <w:r>
        <w:rPr>
          <w:rFonts w:hint="eastAsia" w:ascii="仿宋_GB2312" w:eastAsia="仿宋_GB2312"/>
          <w:sz w:val="30"/>
          <w:szCs w:val="30"/>
          <w:lang w:eastAsia="zh-CN"/>
        </w:rPr>
        <w:t>）</w:t>
      </w:r>
      <w:r>
        <w:rPr>
          <w:rFonts w:hint="eastAsia" w:ascii="仿宋_GB2312" w:eastAsia="仿宋_GB2312"/>
          <w:sz w:val="30"/>
          <w:szCs w:val="30"/>
        </w:rPr>
        <w:t>医保覆盖和支付阶段</w:t>
      </w:r>
    </w:p>
    <w:p w14:paraId="1F71A820">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1、</w:t>
      </w:r>
      <w:r>
        <w:rPr>
          <w:rFonts w:hint="eastAsia" w:ascii="仿宋_GB2312" w:eastAsia="仿宋_GB2312"/>
          <w:sz w:val="30"/>
          <w:szCs w:val="30"/>
        </w:rPr>
        <w:t>医保准入标准不透明且调整周期长：创新药进入医保目录的标准不明确，且调整周期较长，影响企业的市场推广。政策应增加准入透明度，设立动态调整机制，使高临床价值创新药及时纳入医保。</w:t>
      </w:r>
    </w:p>
    <w:p w14:paraId="72371CCF">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2、</w:t>
      </w:r>
      <w:r>
        <w:rPr>
          <w:rFonts w:hint="eastAsia" w:ascii="仿宋_GB2312" w:eastAsia="仿宋_GB2312"/>
          <w:sz w:val="30"/>
          <w:szCs w:val="30"/>
        </w:rPr>
        <w:t>医保支付比例低且缺乏动态调整：即便创新药进入医保，报销比例往往较低，患者负担较重，影响市场接受度。政策文件强调加大创新药的临床综合评价力度，建议依据真实世界数据动态调整支付比例，使其更加符合临床价值。</w:t>
      </w:r>
    </w:p>
    <w:p w14:paraId="30B2A3F3">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3、</w:t>
      </w:r>
      <w:r>
        <w:rPr>
          <w:rFonts w:hint="eastAsia" w:ascii="仿宋_GB2312" w:eastAsia="仿宋_GB2312"/>
          <w:sz w:val="30"/>
          <w:szCs w:val="30"/>
        </w:rPr>
        <w:t>商业健康保险的创新药覆盖率低：商业保险对创新药的覆盖有限，患者仍面临高额支付压力。政策文件建议推动商业健康保险扩大创新药支付范围，建议鼓励商业保险将创新药纳入保障，拓宽药企的市场渠道。</w:t>
      </w:r>
    </w:p>
    <w:p w14:paraId="26E9BEAF">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eastAsia="zh-CN"/>
        </w:rPr>
        <w:t>（</w:t>
      </w:r>
      <w:r>
        <w:rPr>
          <w:rFonts w:hint="eastAsia" w:ascii="仿宋_GB2312" w:eastAsia="仿宋_GB2312"/>
          <w:sz w:val="30"/>
          <w:szCs w:val="30"/>
          <w:lang w:val="en-US" w:eastAsia="zh-CN"/>
        </w:rPr>
        <w:t>4</w:t>
      </w:r>
      <w:r>
        <w:rPr>
          <w:rFonts w:hint="eastAsia" w:ascii="仿宋_GB2312" w:eastAsia="仿宋_GB2312"/>
          <w:sz w:val="30"/>
          <w:szCs w:val="30"/>
          <w:lang w:eastAsia="zh-CN"/>
        </w:rPr>
        <w:t>）</w:t>
      </w:r>
      <w:r>
        <w:rPr>
          <w:rFonts w:hint="eastAsia" w:ascii="仿宋_GB2312" w:eastAsia="仿宋_GB2312"/>
          <w:sz w:val="30"/>
          <w:szCs w:val="30"/>
        </w:rPr>
        <w:t>市场推广和应用阶段</w:t>
      </w:r>
    </w:p>
    <w:p w14:paraId="1F041F31">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1、</w:t>
      </w:r>
      <w:r>
        <w:rPr>
          <w:rFonts w:hint="eastAsia" w:ascii="仿宋_GB2312" w:eastAsia="仿宋_GB2312"/>
          <w:sz w:val="30"/>
          <w:szCs w:val="30"/>
        </w:rPr>
        <w:t>创新药在医院难以落地：部分创新药虽进入医保目录，但在医院的药品采购环节仍受限，存在“进医保但难进医院”的情况。政策应加强“双通道”政策覆盖，将定点零售药店纳入供应体系，确保创新药的可及性。</w:t>
      </w:r>
    </w:p>
    <w:p w14:paraId="0909ED96">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2、</w:t>
      </w:r>
      <w:r>
        <w:rPr>
          <w:rFonts w:hint="eastAsia" w:ascii="仿宋_GB2312" w:eastAsia="仿宋_GB2312"/>
          <w:sz w:val="30"/>
          <w:szCs w:val="30"/>
        </w:rPr>
        <w:t>医保目录调整频次低：创新药更新较快，但医保目录调整相对滞后，影响药企的市场占有率。政策应逐步实现医保目录的动态调整，定期对高价值创新药进行复评和支付标准调整，确保药品的可持续市场竞争力。</w:t>
      </w:r>
    </w:p>
    <w:p w14:paraId="6A1B851A">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eastAsia="zh-CN"/>
        </w:rPr>
        <w:t>（</w:t>
      </w:r>
      <w:r>
        <w:rPr>
          <w:rFonts w:hint="eastAsia" w:ascii="仿宋_GB2312" w:eastAsia="仿宋_GB2312"/>
          <w:sz w:val="30"/>
          <w:szCs w:val="30"/>
          <w:lang w:val="en-US" w:eastAsia="zh-CN"/>
        </w:rPr>
        <w:t>5</w:t>
      </w:r>
      <w:r>
        <w:rPr>
          <w:rFonts w:hint="eastAsia" w:ascii="仿宋_GB2312" w:eastAsia="仿宋_GB2312"/>
          <w:sz w:val="30"/>
          <w:szCs w:val="30"/>
          <w:lang w:eastAsia="zh-CN"/>
        </w:rPr>
        <w:t>）</w:t>
      </w:r>
      <w:r>
        <w:rPr>
          <w:rFonts w:hint="eastAsia" w:ascii="仿宋_GB2312" w:eastAsia="仿宋_GB2312"/>
          <w:sz w:val="30"/>
          <w:szCs w:val="30"/>
        </w:rPr>
        <w:t>专利保护和市场独占支持</w:t>
      </w:r>
    </w:p>
    <w:p w14:paraId="08F41909">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1、</w:t>
      </w:r>
      <w:r>
        <w:rPr>
          <w:rFonts w:hint="eastAsia" w:ascii="仿宋_GB2312" w:eastAsia="仿宋_GB2312"/>
          <w:sz w:val="30"/>
          <w:szCs w:val="30"/>
        </w:rPr>
        <w:t>专利保护期补偿机制不完善：创新药的研发周期长、投入高，当前的专利保护期不足以覆盖企业的成本。尽管已有补偿期制度，但流程复杂，建议政策简化申请流程，延长专利保护期，保障企业的长期创新收益。</w:t>
      </w:r>
    </w:p>
    <w:p w14:paraId="0D1B52D0">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2、</w:t>
      </w:r>
      <w:r>
        <w:rPr>
          <w:rFonts w:hint="eastAsia" w:ascii="仿宋_GB2312" w:eastAsia="仿宋_GB2312"/>
          <w:sz w:val="30"/>
          <w:szCs w:val="30"/>
        </w:rPr>
        <w:t>市场独占期政策支持不足：国际上部分国家对罕见病和特定药物提供市场独占期支持，但我国此类支持政策有限。为鼓励创新药尤其是罕见病药物的研发，建议提供市场独占支持，符合快速审批通道和鼓励罕见病药物研发的政策导向。</w:t>
      </w:r>
    </w:p>
    <w:p w14:paraId="3734C611">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eastAsia="zh-CN"/>
        </w:rPr>
        <w:t>（</w:t>
      </w:r>
      <w:r>
        <w:rPr>
          <w:rFonts w:hint="eastAsia" w:ascii="仿宋_GB2312" w:eastAsia="仿宋_GB2312"/>
          <w:sz w:val="30"/>
          <w:szCs w:val="30"/>
          <w:lang w:val="en-US" w:eastAsia="zh-CN"/>
        </w:rPr>
        <w:t>6</w:t>
      </w:r>
      <w:r>
        <w:rPr>
          <w:rFonts w:hint="eastAsia" w:ascii="仿宋_GB2312" w:eastAsia="仿宋_GB2312"/>
          <w:sz w:val="30"/>
          <w:szCs w:val="30"/>
          <w:lang w:eastAsia="zh-CN"/>
        </w:rPr>
        <w:t>）</w:t>
      </w:r>
      <w:r>
        <w:rPr>
          <w:rFonts w:hint="eastAsia" w:ascii="仿宋_GB2312" w:eastAsia="仿宋_GB2312"/>
          <w:sz w:val="30"/>
          <w:szCs w:val="30"/>
        </w:rPr>
        <w:t>整体监管和全链条支持</w:t>
      </w:r>
    </w:p>
    <w:p w14:paraId="6056D822">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1、</w:t>
      </w:r>
      <w:r>
        <w:rPr>
          <w:rFonts w:hint="eastAsia" w:ascii="仿宋_GB2312" w:eastAsia="仿宋_GB2312"/>
          <w:sz w:val="30"/>
          <w:szCs w:val="30"/>
        </w:rPr>
        <w:t>全链条支持体系不完善：创新药从研发到上市的各环节由不同监管部门负责，政策上存在断层，缺乏协调管理。政策文件中强调全链条支持创新药发展，建议建立跨部门协调机制，覆盖研发、审批、准入到支付的各环节。</w:t>
      </w:r>
    </w:p>
    <w:p w14:paraId="60D40A46">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2、</w:t>
      </w:r>
      <w:r>
        <w:rPr>
          <w:rFonts w:hint="eastAsia" w:ascii="仿宋_GB2312" w:eastAsia="仿宋_GB2312"/>
          <w:sz w:val="30"/>
          <w:szCs w:val="30"/>
        </w:rPr>
        <w:t>政策监管碎片化，缺乏统一协调：创新药各阶段的政策和管理由医保局、药监局等部门分别负责，缺乏协调性，增加了企业的合规成本。建议设立政策联动机制，确保各环节政策协同，为创新药顺利上市提供制度保障。</w:t>
      </w:r>
    </w:p>
    <w:p w14:paraId="394974EB">
      <w:pPr>
        <w:widowControl w:val="0"/>
        <w:spacing w:line="580" w:lineRule="exact"/>
        <w:ind w:firstLine="600" w:firstLineChars="200"/>
        <w:rPr>
          <w:rFonts w:hint="eastAsia" w:ascii="仿宋_GB2312" w:eastAsia="仿宋_GB2312"/>
          <w:sz w:val="30"/>
          <w:szCs w:val="30"/>
        </w:rPr>
      </w:pPr>
    </w:p>
    <w:p w14:paraId="2AC1DCEC">
      <w:pPr>
        <w:widowControl w:val="0"/>
        <w:spacing w:line="580" w:lineRule="exact"/>
        <w:ind w:firstLine="602" w:firstLineChars="200"/>
        <w:jc w:val="center"/>
        <w:rPr>
          <w:rFonts w:hint="eastAsia" w:ascii="仿宋_GB2312" w:eastAsia="仿宋_GB2312"/>
          <w:b/>
          <w:bCs/>
          <w:sz w:val="30"/>
          <w:szCs w:val="30"/>
        </w:rPr>
      </w:pPr>
      <w:r>
        <w:rPr>
          <w:rFonts w:hint="eastAsia" w:ascii="仿宋_GB2312" w:eastAsia="仿宋_GB2312"/>
          <w:b/>
          <w:bCs/>
          <w:sz w:val="30"/>
          <w:szCs w:val="30"/>
        </w:rPr>
        <w:t>企业融资的政策和市场问题清单</w:t>
      </w:r>
    </w:p>
    <w:p w14:paraId="683FC5AA">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eastAsia="zh-CN"/>
        </w:rPr>
        <w:t>（</w:t>
      </w:r>
      <w:r>
        <w:rPr>
          <w:rFonts w:hint="eastAsia" w:ascii="仿宋_GB2312" w:eastAsia="仿宋_GB2312"/>
          <w:sz w:val="30"/>
          <w:szCs w:val="30"/>
          <w:lang w:val="en-US" w:eastAsia="zh-CN"/>
        </w:rPr>
        <w:t>1</w:t>
      </w:r>
      <w:r>
        <w:rPr>
          <w:rFonts w:hint="eastAsia" w:ascii="仿宋_GB2312" w:eastAsia="仿宋_GB2312"/>
          <w:sz w:val="30"/>
          <w:szCs w:val="30"/>
          <w:lang w:eastAsia="zh-CN"/>
        </w:rPr>
        <w:t>）</w:t>
      </w:r>
      <w:r>
        <w:rPr>
          <w:rFonts w:hint="eastAsia" w:ascii="仿宋_GB2312" w:eastAsia="仿宋_GB2312"/>
          <w:sz w:val="30"/>
          <w:szCs w:val="30"/>
        </w:rPr>
        <w:t>一级市场融资（私募和风险投资）</w:t>
      </w:r>
    </w:p>
    <w:p w14:paraId="494454A2">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1、</w:t>
      </w:r>
      <w:r>
        <w:rPr>
          <w:rFonts w:hint="eastAsia" w:ascii="仿宋_GB2312" w:eastAsia="仿宋_GB2312"/>
          <w:sz w:val="30"/>
          <w:szCs w:val="30"/>
        </w:rPr>
        <w:t>融资渠道有限且资本门槛高：创新药研发周期长、风险高，一级市场的私募和风投基金对创新药企的投资意愿相对谨慎，尤其在项目初期。国内的风投机构通常更偏向于后期项目，早期创新药研发的资金供给不足。</w:t>
      </w:r>
    </w:p>
    <w:p w14:paraId="511A56E7">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2、</w:t>
      </w:r>
      <w:r>
        <w:rPr>
          <w:rFonts w:hint="eastAsia" w:ascii="仿宋_GB2312" w:eastAsia="仿宋_GB2312"/>
          <w:sz w:val="30"/>
          <w:szCs w:val="30"/>
        </w:rPr>
        <w:t>政策支持力度不足：目前针对创新药企的早期融资政策支持有限，缺乏税收优惠和风险分担机制。政府虽然在特定地区设有科技创新基金，但覆盖面不广、审批流程复杂，难以满足创新药企业早期融资需求。</w:t>
      </w:r>
    </w:p>
    <w:p w14:paraId="521F3DAC">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3、</w:t>
      </w:r>
      <w:r>
        <w:rPr>
          <w:rFonts w:hint="eastAsia" w:ascii="仿宋_GB2312" w:eastAsia="仿宋_GB2312"/>
          <w:sz w:val="30"/>
          <w:szCs w:val="30"/>
        </w:rPr>
        <w:t>退出渠道缺乏稳定性：一级市场投资人对退出机制要求高，主要依赖企业上市或并购来实现投资回报。然而，创新药企上市面临的审批和合规要求严格，而并购市场尚不成熟，退出渠道不稳定降低了一级市场的投资意愿。</w:t>
      </w:r>
    </w:p>
    <w:p w14:paraId="7984DF42">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4、</w:t>
      </w:r>
      <w:r>
        <w:rPr>
          <w:rFonts w:hint="eastAsia" w:ascii="仿宋_GB2312" w:eastAsia="仿宋_GB2312"/>
          <w:sz w:val="30"/>
          <w:szCs w:val="30"/>
        </w:rPr>
        <w:t>药品研发成果不稳定性增加融资风险：创新药研发的不确定性较高，临床试验失败或市场反馈差会影响企业估值，导致一级市场投资者对创新药企的项目评估较为保守，融资难度进一步增加。</w:t>
      </w:r>
    </w:p>
    <w:p w14:paraId="38824911">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eastAsia="zh-CN"/>
        </w:rPr>
        <w:t>（</w:t>
      </w:r>
      <w:r>
        <w:rPr>
          <w:rFonts w:hint="eastAsia" w:ascii="仿宋_GB2312" w:eastAsia="仿宋_GB2312"/>
          <w:sz w:val="30"/>
          <w:szCs w:val="30"/>
          <w:lang w:val="en-US" w:eastAsia="zh-CN"/>
        </w:rPr>
        <w:t>2</w:t>
      </w:r>
      <w:r>
        <w:rPr>
          <w:rFonts w:hint="eastAsia" w:ascii="仿宋_GB2312" w:eastAsia="仿宋_GB2312"/>
          <w:sz w:val="30"/>
          <w:szCs w:val="30"/>
          <w:lang w:eastAsia="zh-CN"/>
        </w:rPr>
        <w:t>）</w:t>
      </w:r>
      <w:r>
        <w:rPr>
          <w:rFonts w:hint="eastAsia" w:ascii="仿宋_GB2312" w:eastAsia="仿宋_GB2312"/>
          <w:sz w:val="30"/>
          <w:szCs w:val="30"/>
        </w:rPr>
        <w:t>二级市场融资（公开上市）</w:t>
      </w:r>
    </w:p>
    <w:p w14:paraId="73B54374">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1、</w:t>
      </w:r>
      <w:r>
        <w:rPr>
          <w:rFonts w:hint="eastAsia" w:ascii="仿宋_GB2312" w:eastAsia="仿宋_GB2312"/>
          <w:sz w:val="30"/>
          <w:szCs w:val="30"/>
        </w:rPr>
        <w:t>上市标准高，创新药企较难达标：我国资本市场对创新药企的上市标准较高，尤其是财务门槛和盈利要求，使得许多研发中的创新药企在二级市场的融资路径受限。尽管科创板放宽了盈利要求，但仍需具备一定的营收规模和技术实力。</w:t>
      </w:r>
    </w:p>
    <w:p w14:paraId="6A27A477">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2、</w:t>
      </w:r>
      <w:r>
        <w:rPr>
          <w:rFonts w:hint="eastAsia" w:ascii="仿宋_GB2312" w:eastAsia="仿宋_GB2312"/>
          <w:sz w:val="30"/>
          <w:szCs w:val="30"/>
        </w:rPr>
        <w:t>政策监管不确定性影响估值：创新药企在二级市场的估值受政策变动影响较大，医保谈判、药品定价、支付比例等因素直接影响药企的盈利预期，进而影响二级市场投资者的信心。</w:t>
      </w:r>
    </w:p>
    <w:p w14:paraId="5ADC0E1F">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3、</w:t>
      </w:r>
      <w:r>
        <w:rPr>
          <w:rFonts w:hint="eastAsia" w:ascii="仿宋_GB2312" w:eastAsia="仿宋_GB2312"/>
          <w:sz w:val="30"/>
          <w:szCs w:val="30"/>
        </w:rPr>
        <w:t>融资环境受宏观市场波动影响大：二级市场融资环境随宏观经济波动较大，市场流动性和投资者偏好会影响创新药企的融资成本和资本获取难度。尤其在经济下行或监管收紧时，创新药企的估值和融资能力都会受到较大冲击。</w:t>
      </w:r>
    </w:p>
    <w:p w14:paraId="4CB72DC8">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4、</w:t>
      </w:r>
      <w:r>
        <w:rPr>
          <w:rFonts w:hint="eastAsia" w:ascii="仿宋_GB2312" w:eastAsia="仿宋_GB2312"/>
          <w:sz w:val="30"/>
          <w:szCs w:val="30"/>
        </w:rPr>
        <w:t>股价波动性高，影响长期融资能力：创新药企的股价通常波动较大，受研发进展、政策变化等因素影响显著，导致企业的融资能力和再融资稳定性较差。股价波动过大可能导致投资者信心下降，影响后续的融资效果。</w:t>
      </w:r>
    </w:p>
    <w:p w14:paraId="6D763A36">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eastAsia="zh-CN"/>
        </w:rPr>
        <w:t>（</w:t>
      </w:r>
      <w:r>
        <w:rPr>
          <w:rFonts w:hint="eastAsia" w:ascii="仿宋_GB2312" w:eastAsia="仿宋_GB2312"/>
          <w:sz w:val="30"/>
          <w:szCs w:val="30"/>
          <w:lang w:val="en-US" w:eastAsia="zh-CN"/>
        </w:rPr>
        <w:t>3</w:t>
      </w:r>
      <w:r>
        <w:rPr>
          <w:rFonts w:hint="eastAsia" w:ascii="仿宋_GB2312" w:eastAsia="仿宋_GB2312"/>
          <w:sz w:val="30"/>
          <w:szCs w:val="30"/>
          <w:lang w:eastAsia="zh-CN"/>
        </w:rPr>
        <w:t>）</w:t>
      </w:r>
      <w:r>
        <w:rPr>
          <w:rFonts w:hint="eastAsia" w:ascii="仿宋_GB2312" w:eastAsia="仿宋_GB2312"/>
          <w:sz w:val="30"/>
          <w:szCs w:val="30"/>
        </w:rPr>
        <w:t>整体融资支持体系不完善</w:t>
      </w:r>
    </w:p>
    <w:p w14:paraId="4C08C146">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1、</w:t>
      </w:r>
      <w:r>
        <w:rPr>
          <w:rFonts w:hint="eastAsia" w:ascii="仿宋_GB2312" w:eastAsia="仿宋_GB2312"/>
          <w:sz w:val="30"/>
          <w:szCs w:val="30"/>
        </w:rPr>
        <w:t>缺乏针对创新药企的融资激励政策：目前政策多集中于补贴和项目资助，针对一级和二级市场的融资激励政策较少，缺乏对创新药企的税收减免、低息贷款等直接融资支持。</w:t>
      </w:r>
    </w:p>
    <w:p w14:paraId="7C2358CB">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2、</w:t>
      </w:r>
      <w:r>
        <w:rPr>
          <w:rFonts w:hint="eastAsia" w:ascii="仿宋_GB2312" w:eastAsia="仿宋_GB2312"/>
          <w:sz w:val="30"/>
          <w:szCs w:val="30"/>
        </w:rPr>
        <w:t>资本市场对创新药企业估值体系不成熟：创新药企的研发周期长、投入大，但资本市场对该类企业的估值体系不完善，往往难以合理评估其长期价值，导致部分创新药企被低估，难以获得足够的融资支持。</w:t>
      </w:r>
    </w:p>
    <w:p w14:paraId="56E0677C">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3、</w:t>
      </w:r>
      <w:r>
        <w:rPr>
          <w:rFonts w:hint="eastAsia" w:ascii="仿宋_GB2312" w:eastAsia="仿宋_GB2312"/>
          <w:sz w:val="30"/>
          <w:szCs w:val="30"/>
        </w:rPr>
        <w:t>金融产品和风险分担机制欠缺：创新药研发的高风险特性需要多元化的融资工具和风险分担机制支持。目前市场缺乏专门针对创新药企的风险投资基金、创新药债券、政策性保险等金融产品，企业融资手段单一，抗风险能力较弱。</w:t>
      </w:r>
    </w:p>
    <w:p w14:paraId="38898577">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eastAsia="zh-CN"/>
        </w:rPr>
        <w:t>（</w:t>
      </w:r>
      <w:r>
        <w:rPr>
          <w:rFonts w:hint="eastAsia" w:ascii="仿宋_GB2312" w:eastAsia="仿宋_GB2312"/>
          <w:sz w:val="30"/>
          <w:szCs w:val="30"/>
          <w:lang w:val="en-US" w:eastAsia="zh-CN"/>
        </w:rPr>
        <w:t>4</w:t>
      </w:r>
      <w:r>
        <w:rPr>
          <w:rFonts w:hint="eastAsia" w:ascii="仿宋_GB2312" w:eastAsia="仿宋_GB2312"/>
          <w:sz w:val="30"/>
          <w:szCs w:val="30"/>
          <w:lang w:eastAsia="zh-CN"/>
        </w:rPr>
        <w:t>）</w:t>
      </w:r>
      <w:r>
        <w:rPr>
          <w:rFonts w:hint="eastAsia" w:ascii="仿宋_GB2312" w:eastAsia="仿宋_GB2312"/>
          <w:sz w:val="30"/>
          <w:szCs w:val="30"/>
        </w:rPr>
        <w:t>国际融资环境制约</w:t>
      </w:r>
    </w:p>
    <w:p w14:paraId="132BB8D4">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1、</w:t>
      </w:r>
      <w:r>
        <w:rPr>
          <w:rFonts w:hint="eastAsia" w:ascii="仿宋_GB2312" w:eastAsia="仿宋_GB2312"/>
          <w:sz w:val="30"/>
          <w:szCs w:val="30"/>
        </w:rPr>
        <w:t>跨境融资政策限制：随着中美关系的变化，创新药企通过海外资本市场融资的渠道受限。例如，一些创新药企希望在美国纳斯达克上市以获得更多国际投资，但跨境融资政策限制使得企业在选择上市地和融资方式时面临挑战。</w:t>
      </w:r>
    </w:p>
    <w:p w14:paraId="1A7B7787">
      <w:pPr>
        <w:widowControl w:val="0"/>
        <w:spacing w:line="580" w:lineRule="exact"/>
        <w:ind w:firstLine="600" w:firstLineChars="200"/>
        <w:rPr>
          <w:rFonts w:hint="eastAsia" w:ascii="仿宋_GB2312" w:eastAsia="仿宋_GB2312"/>
          <w:sz w:val="30"/>
          <w:szCs w:val="30"/>
        </w:rPr>
      </w:pPr>
      <w:r>
        <w:rPr>
          <w:rFonts w:hint="eastAsia" w:ascii="仿宋_GB2312" w:eastAsia="仿宋_GB2312"/>
          <w:sz w:val="30"/>
          <w:szCs w:val="30"/>
          <w:lang w:val="en-US" w:eastAsia="zh-CN"/>
        </w:rPr>
        <w:t>2、</w:t>
      </w:r>
      <w:r>
        <w:rPr>
          <w:rFonts w:hint="eastAsia" w:ascii="仿宋_GB2312" w:eastAsia="仿宋_GB2312"/>
          <w:sz w:val="30"/>
          <w:szCs w:val="30"/>
        </w:rPr>
        <w:t>外资投资比例和流动性限制：尽管国内引入了部分外资机构，但外资在创新药领域的投资比例和流动性仍有限，限制了跨国资本对国内创新药企的支持。政策上需进一步优化外资参与机制，以增强创新药企的国际竞争力。</w:t>
      </w:r>
    </w:p>
    <w:p w14:paraId="610DEB60">
      <w:pPr>
        <w:widowControl w:val="0"/>
        <w:spacing w:line="580" w:lineRule="exact"/>
        <w:ind w:firstLine="600" w:firstLineChars="200"/>
        <w:rPr>
          <w:rFonts w:hint="eastAsia" w:ascii="仿宋_GB2312" w:eastAsia="仿宋_GB2312"/>
          <w:sz w:val="30"/>
          <w:szCs w:val="30"/>
        </w:rPr>
      </w:pPr>
    </w:p>
    <w:p w14:paraId="1BB8FA84">
      <w:pPr>
        <w:widowControl w:val="0"/>
        <w:spacing w:line="580" w:lineRule="exact"/>
        <w:ind w:firstLine="600" w:firstLineChars="200"/>
        <w:rPr>
          <w:rFonts w:hint="eastAsia" w:ascii="仿宋_GB2312" w:eastAsia="仿宋_GB2312"/>
          <w:sz w:val="30"/>
          <w:szCs w:val="30"/>
        </w:rPr>
      </w:pPr>
    </w:p>
    <w:p w14:paraId="475BBBF3">
      <w:pPr>
        <w:widowControl w:val="0"/>
        <w:spacing w:line="580" w:lineRule="exact"/>
        <w:ind w:firstLine="600" w:firstLineChars="200"/>
        <w:rPr>
          <w:rFonts w:hint="eastAsia" w:ascii="仿宋_GB2312" w:eastAsia="仿宋_GB2312"/>
          <w:sz w:val="30"/>
          <w:szCs w:val="30"/>
          <w:lang w:val="en-US" w:eastAsia="zh-CN"/>
        </w:rPr>
      </w:pPr>
      <w:r>
        <w:rPr>
          <w:rFonts w:hint="eastAsia" w:ascii="仿宋_GB2312" w:eastAsia="仿宋_GB2312"/>
          <w:sz w:val="30"/>
          <w:szCs w:val="30"/>
          <w:lang w:val="en-US" w:eastAsia="zh-CN"/>
        </w:rPr>
        <w:t>其他问题</w:t>
      </w:r>
      <w:bookmarkStart w:id="3" w:name="_GoBack"/>
      <w:bookmarkEnd w:id="3"/>
      <w:r>
        <w:rPr>
          <w:rFonts w:hint="eastAsia" w:ascii="仿宋_GB2312" w:eastAsia="仿宋_GB2312"/>
          <w:sz w:val="30"/>
          <w:szCs w:val="30"/>
          <w:lang w:val="en-US" w:eastAsia="zh-CN"/>
        </w:rPr>
        <w:t>方向：</w:t>
      </w:r>
    </w:p>
    <w:p w14:paraId="721F70BB">
      <w:pPr>
        <w:widowControl w:val="0"/>
        <w:spacing w:line="580" w:lineRule="exact"/>
        <w:ind w:firstLine="600" w:firstLineChars="200"/>
        <w:rPr>
          <w:rFonts w:hint="eastAsia" w:ascii="仿宋_GB2312" w:eastAsia="仿宋_GB2312"/>
          <w:sz w:val="30"/>
          <w:szCs w:val="30"/>
          <w:lang w:val="en-US" w:eastAsia="zh-CN"/>
        </w:rPr>
      </w:pPr>
      <w:r>
        <w:rPr>
          <w:rFonts w:hint="eastAsia" w:ascii="仿宋_GB2312" w:eastAsia="仿宋_GB2312"/>
          <w:sz w:val="30"/>
          <w:szCs w:val="30"/>
          <w:lang w:val="en-US" w:eastAsia="zh-CN"/>
        </w:rPr>
        <w:t>1、审批多主体</w:t>
      </w:r>
    </w:p>
    <w:p w14:paraId="06FDD03B">
      <w:pPr>
        <w:widowControl w:val="0"/>
        <w:spacing w:line="580" w:lineRule="exact"/>
        <w:ind w:firstLine="600" w:firstLineChars="200"/>
        <w:rPr>
          <w:rFonts w:hint="eastAsia" w:ascii="仿宋_GB2312" w:eastAsia="仿宋_GB2312"/>
          <w:sz w:val="30"/>
          <w:szCs w:val="30"/>
          <w:lang w:val="en-US" w:eastAsia="zh-CN"/>
        </w:rPr>
      </w:pPr>
      <w:r>
        <w:rPr>
          <w:rFonts w:hint="eastAsia" w:ascii="仿宋_GB2312" w:eastAsia="仿宋_GB2312"/>
          <w:sz w:val="30"/>
          <w:szCs w:val="30"/>
          <w:lang w:val="en-US" w:eastAsia="zh-CN"/>
        </w:rPr>
        <w:t>2、创新药进医保但不进医院——医院的机制</w:t>
      </w:r>
    </w:p>
    <w:p w14:paraId="16E0D52F">
      <w:pPr>
        <w:widowControl w:val="0"/>
        <w:spacing w:line="580" w:lineRule="exact"/>
        <w:ind w:firstLine="600" w:firstLineChars="200"/>
        <w:rPr>
          <w:rFonts w:hint="eastAsia" w:ascii="仿宋_GB2312" w:eastAsia="仿宋_GB2312"/>
          <w:sz w:val="30"/>
          <w:szCs w:val="30"/>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 w:date="2024-11-03T14:31:35Z" w:initials="">
    <w:p w14:paraId="7C5957ED">
      <w:pPr>
        <w:pStyle w:val="2"/>
        <w:rPr>
          <w:rFonts w:hint="default" w:eastAsiaTheme="minorEastAsia"/>
          <w:lang w:val="en-US" w:eastAsia="zh-CN"/>
        </w:rPr>
      </w:pPr>
      <w:r>
        <w:rPr>
          <w:rFonts w:hint="eastAsia"/>
          <w:lang w:val="en-US" w:eastAsia="zh-CN"/>
        </w:rPr>
        <w:t>定价有较大争议，医保认为创新药企提供的药创新不足，企业认为应该得到这个回报，每次医保谈判过程中创新药会存在评级，临床价值角度切入，判断这个药到底有没有价值；创新药的评价，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C5957E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仿宋_GB2312">
    <w:altName w:val="方正仿宋_GBK"/>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4BF"/>
    <w:rsid w:val="002E7605"/>
    <w:rsid w:val="009374BF"/>
    <w:rsid w:val="FAA3B82D"/>
    <w:rsid w:val="FBF7B410"/>
    <w:rsid w:val="FD4DDD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kern w:val="0"/>
      <w:sz w:val="24"/>
      <w:szCs w:val="24"/>
      <w:lang w:val="en-US" w:eastAsia="zh-CN" w:bidi="ar-SA"/>
      <w14:ligatures w14:val="none"/>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annotation text"/>
    <w:basedOn w:val="1"/>
    <w:semiHidden/>
    <w:unhideWhenUsed/>
    <w:uiPriority w:val="99"/>
    <w:pPr>
      <w:jc w:val="left"/>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141</Words>
  <Characters>805</Characters>
  <Lines>6</Lines>
  <Paragraphs>1</Paragraphs>
  <TotalTime>126</TotalTime>
  <ScaleCrop>false</ScaleCrop>
  <LinksUpToDate>false</LinksUpToDate>
  <CharactersWithSpaces>945</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2024-10-30T01:21:00Z</dcterms:created>
  <dc:creator>xiaojiong wang</dc:creator>
  <cp:lastModifiedBy>W</cp:lastModifiedBy>
  <dcterms:modified xsi:type="dcterms:W3CDTF">2024-11-03T15:01:01Z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D613548DF0AB9A679EC32067FA4E3333_42</vt:lpwstr>
  </property>
</Properties>
</file>